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46"/>
          <w:szCs w:val="46"/>
          <w:color w:val="00162F"/>
        </w:rPr>
        <w:t>2025 Annual report</w:t>
      </w:r>
    </w:p>
    <w:p>
      <w:pPr>
        <w:spacing w:after="0" w:line="71" w:lineRule="exact"/>
        <w:rPr>
          <w:sz w:val="24"/>
          <w:szCs w:val="24"/>
          <w:color w:val="auto"/>
        </w:rPr>
      </w:pPr>
    </w:p>
    <w:p>
      <w:pPr>
        <w:spacing w:after="0"/>
        <w:rPr>
          <w:sz w:val="20"/>
          <w:szCs w:val="20"/>
          <w:color w:val="auto"/>
        </w:rPr>
      </w:pPr>
      <w:r>
        <w:rPr>
          <w:rFonts w:ascii="Arial" w:cs="Arial" w:eastAsia="Arial" w:hAnsi="Arial"/>
          <w:sz w:val="46"/>
          <w:szCs w:val="46"/>
          <w:color w:val="00162F"/>
        </w:rPr>
        <w:t>on Form 10-K</w:t>
      </w:r>
    </w:p>
    <w:p>
      <w:pPr>
        <w:sectPr>
          <w:pgSz w:w="11880" w:h="15480" w:orient="portrait"/>
          <w:cols w:equalWidth="0" w:num="1">
            <w:col w:w="9760"/>
          </w:cols>
          <w:pgMar w:left="680" w:top="1440" w:right="1440" w:bottom="252" w:gutter="0" w:footer="0" w:header="0"/>
        </w:sectPr>
      </w:pPr>
    </w:p>
    <w:p>
      <w:pPr>
        <w:spacing w:after="0" w:line="77" w:lineRule="exact"/>
        <w:rPr>
          <w:sz w:val="24"/>
          <w:szCs w:val="24"/>
          <w:color w:val="auto"/>
        </w:rPr>
      </w:pPr>
    </w:p>
    <w:p>
      <w:pPr>
        <w:spacing w:after="0"/>
        <w:rPr>
          <w:sz w:val="20"/>
          <w:szCs w:val="20"/>
          <w:color w:val="auto"/>
        </w:rPr>
      </w:pPr>
      <w:r>
        <w:rPr>
          <w:rFonts w:ascii="Arial" w:cs="Arial" w:eastAsia="Arial" w:hAnsi="Arial"/>
          <w:sz w:val="32"/>
          <w:szCs w:val="32"/>
          <w:color w:val="00162F"/>
        </w:rPr>
        <w:t>American Airlines Group Inc.</w:t>
      </w:r>
    </w:p>
    <w:p>
      <w:pPr>
        <w:sectPr>
          <w:pgSz w:w="11880" w:h="15480" w:orient="portrait"/>
          <w:cols w:equalWidth="0" w:num="1">
            <w:col w:w="9760"/>
          </w:cols>
          <w:pgMar w:left="680" w:top="1440" w:right="1440" w:bottom="252" w:gutter="0" w:footer="0" w:header="0"/>
          <w:type w:val="continuous"/>
        </w:sectPr>
      </w:pPr>
    </w:p>
    <w:bookmarkStart w:id="1" w:name="page2"/>
    <w:bookmarkEnd w:id="1"/>
    <w:p>
      <w:pPr>
        <w:jc w:val="center"/>
        <w:ind w:right="-44"/>
        <w:spacing w:after="0"/>
        <w:rPr>
          <w:sz w:val="20"/>
          <w:szCs w:val="20"/>
          <w:color w:val="auto"/>
        </w:rPr>
      </w:pPr>
      <w:r>
        <w:rPr>
          <w:rFonts w:ascii="Arial" w:cs="Arial" w:eastAsia="Arial" w:hAnsi="Arial"/>
          <w:sz w:val="26"/>
          <w:szCs w:val="26"/>
          <w:b w:val="1"/>
          <w:bCs w:val="1"/>
          <w:color w:val="00162F"/>
        </w:rPr>
        <w:drawing>
          <wp:anchor simplePos="0" relativeHeight="251657728" behindDoc="1" locked="0" layoutInCell="0" allowOverlap="1">
            <wp:simplePos x="0" y="0"/>
            <wp:positionH relativeFrom="page">
              <wp:posOffset>556895</wp:posOffset>
            </wp:positionH>
            <wp:positionV relativeFrom="page">
              <wp:posOffset>313690</wp:posOffset>
            </wp:positionV>
            <wp:extent cx="643001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0010" cy="25400"/>
                    </a:xfrm>
                    <a:prstGeom prst="rect">
                      <a:avLst/>
                    </a:prstGeom>
                    <a:noFill/>
                  </pic:spPr>
                </pic:pic>
              </a:graphicData>
            </a:graphic>
          </wp:anchor>
        </w:drawing>
        <w:drawing>
          <wp:anchor simplePos="0" relativeHeight="251657728" behindDoc="1" locked="0" layoutInCell="0" allowOverlap="1">
            <wp:simplePos x="0" y="0"/>
            <wp:positionH relativeFrom="page">
              <wp:posOffset>556895</wp:posOffset>
            </wp:positionH>
            <wp:positionV relativeFrom="page">
              <wp:posOffset>367030</wp:posOffset>
            </wp:positionV>
            <wp:extent cx="643001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0010" cy="12700"/>
                    </a:xfrm>
                    <a:prstGeom prst="rect">
                      <a:avLst/>
                    </a:prstGeom>
                    <a:noFill/>
                  </pic:spPr>
                </pic:pic>
              </a:graphicData>
            </a:graphic>
          </wp:anchor>
        </w:drawing>
        <w:t>UNITED STATES SECURITIES AND EXCHANGE COMMISSION</w:t>
      </w:r>
    </w:p>
    <w:p>
      <w:pPr>
        <w:spacing w:after="0" w:line="10" w:lineRule="exact"/>
        <w:rPr>
          <w:sz w:val="20"/>
          <w:szCs w:val="20"/>
          <w:color w:val="auto"/>
        </w:rPr>
      </w:pPr>
    </w:p>
    <w:p>
      <w:pPr>
        <w:jc w:val="center"/>
        <w:ind w:right="-44"/>
        <w:spacing w:after="0"/>
        <w:rPr>
          <w:sz w:val="20"/>
          <w:szCs w:val="20"/>
          <w:color w:val="auto"/>
        </w:rPr>
      </w:pPr>
      <w:r>
        <w:rPr>
          <w:rFonts w:ascii="Arial" w:cs="Arial" w:eastAsia="Arial" w:hAnsi="Arial"/>
          <w:sz w:val="26"/>
          <w:szCs w:val="26"/>
          <w:b w:val="1"/>
          <w:bCs w:val="1"/>
          <w:color w:val="00162F"/>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109220</wp:posOffset>
            </wp:positionV>
            <wp:extent cx="250761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7615" cy="12700"/>
                    </a:xfrm>
                    <a:prstGeom prst="rect">
                      <a:avLst/>
                    </a:prstGeom>
                    <a:noFill/>
                  </pic:spPr>
                </pic:pic>
              </a:graphicData>
            </a:graphic>
          </wp:anchor>
        </w:drawing>
      </w:r>
    </w:p>
    <w:p>
      <w:pPr>
        <w:spacing w:after="0" w:line="210" w:lineRule="exact"/>
        <w:rPr>
          <w:sz w:val="20"/>
          <w:szCs w:val="20"/>
          <w:color w:val="auto"/>
        </w:rPr>
      </w:pPr>
    </w:p>
    <w:p>
      <w:pPr>
        <w:jc w:val="center"/>
        <w:ind w:right="155"/>
        <w:spacing w:after="0"/>
        <w:rPr>
          <w:sz w:val="20"/>
          <w:szCs w:val="20"/>
          <w:color w:val="auto"/>
        </w:rPr>
      </w:pPr>
      <w:r>
        <w:rPr>
          <w:rFonts w:ascii="Arial" w:cs="Arial" w:eastAsia="Arial" w:hAnsi="Arial"/>
          <w:sz w:val="26"/>
          <w:szCs w:val="26"/>
          <w:b w:val="1"/>
          <w:bCs w:val="1"/>
          <w:color w:val="00162F"/>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65405</wp:posOffset>
            </wp:positionV>
            <wp:extent cx="250761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7615" cy="12700"/>
                    </a:xfrm>
                    <a:prstGeom prst="rect">
                      <a:avLst/>
                    </a:prstGeom>
                    <a:noFill/>
                  </pic:spPr>
                </pic:pic>
              </a:graphicData>
            </a:graphic>
          </wp:anchor>
        </w:drawing>
      </w:r>
    </w:p>
    <w:p>
      <w:pPr>
        <w:spacing w:after="0" w:line="361" w:lineRule="exact"/>
        <w:rPr>
          <w:sz w:val="20"/>
          <w:szCs w:val="20"/>
          <w:color w:val="auto"/>
        </w:rPr>
      </w:pPr>
    </w:p>
    <w:p>
      <w:pPr>
        <w:ind w:left="645" w:hanging="593"/>
        <w:spacing w:after="0" w:line="251" w:lineRule="auto"/>
        <w:tabs>
          <w:tab w:leader="none" w:pos="645" w:val="left"/>
        </w:tabs>
        <w:numPr>
          <w:ilvl w:val="0"/>
          <w:numId w:val="1"/>
        </w:numPr>
        <w:rPr>
          <w:rFonts w:ascii="Arial" w:cs="Arial" w:eastAsia="Arial" w:hAnsi="Arial"/>
          <w:sz w:val="20"/>
          <w:szCs w:val="20"/>
          <w:color w:val="00162F"/>
        </w:rPr>
      </w:pPr>
      <w:r>
        <w:rPr>
          <w:rFonts w:ascii="Arial" w:cs="Arial" w:eastAsia="Arial" w:hAnsi="Arial"/>
          <w:sz w:val="22"/>
          <w:szCs w:val="22"/>
          <w:b w:val="1"/>
          <w:bCs w:val="1"/>
          <w:color w:val="00162F"/>
        </w:rPr>
        <w:t>ANNUAL REPORT PURSUANT TO SECTION 13 OR 15(d) OF THE SECURITIES EXCHANGE ACT OF 1934</w:t>
      </w:r>
    </w:p>
    <w:p>
      <w:pPr>
        <w:spacing w:after="0" w:line="93" w:lineRule="exact"/>
        <w:rPr>
          <w:sz w:val="20"/>
          <w:szCs w:val="20"/>
          <w:color w:val="auto"/>
        </w:rPr>
      </w:pPr>
    </w:p>
    <w:p>
      <w:pPr>
        <w:ind w:left="485"/>
        <w:spacing w:after="0"/>
        <w:rPr>
          <w:sz w:val="20"/>
          <w:szCs w:val="20"/>
          <w:color w:val="auto"/>
        </w:rPr>
      </w:pPr>
      <w:r>
        <w:rPr>
          <w:rFonts w:ascii="Arial" w:cs="Arial" w:eastAsia="Arial" w:hAnsi="Arial"/>
          <w:sz w:val="20"/>
          <w:szCs w:val="20"/>
          <w:b w:val="1"/>
          <w:bCs w:val="1"/>
          <w:color w:val="00162F"/>
        </w:rPr>
        <w:t>For the Fiscal Year Ended December 31, 2025</w:t>
      </w:r>
    </w:p>
    <w:p>
      <w:pPr>
        <w:spacing w:after="0" w:line="331" w:lineRule="exact"/>
        <w:rPr>
          <w:sz w:val="20"/>
          <w:szCs w:val="20"/>
          <w:color w:val="auto"/>
        </w:rPr>
      </w:pPr>
    </w:p>
    <w:p>
      <w:pPr>
        <w:ind w:left="645" w:hanging="593"/>
        <w:spacing w:after="0" w:line="251" w:lineRule="auto"/>
        <w:tabs>
          <w:tab w:leader="none" w:pos="645" w:val="left"/>
        </w:tabs>
        <w:numPr>
          <w:ilvl w:val="0"/>
          <w:numId w:val="2"/>
        </w:numPr>
        <w:rPr>
          <w:rFonts w:ascii="Arial" w:cs="Arial" w:eastAsia="Arial" w:hAnsi="Arial"/>
          <w:sz w:val="20"/>
          <w:szCs w:val="20"/>
          <w:color w:val="00162F"/>
        </w:rPr>
      </w:pPr>
      <w:r>
        <w:rPr>
          <w:rFonts w:ascii="Arial" w:cs="Arial" w:eastAsia="Arial" w:hAnsi="Arial"/>
          <w:sz w:val="22"/>
          <w:szCs w:val="22"/>
          <w:b w:val="1"/>
          <w:bCs w:val="1"/>
          <w:color w:val="00162F"/>
        </w:rPr>
        <w:t>TRANSITION REPORT PURSUANT TO SECTION 13 OR 15(d) OF THE SECURITIES EXCHANGE ACT OF 1934</w:t>
      </w:r>
    </w:p>
    <w:p>
      <w:pPr>
        <w:spacing w:after="0" w:line="13" w:lineRule="exact"/>
        <w:rPr>
          <w:sz w:val="20"/>
          <w:szCs w:val="20"/>
          <w:color w:val="auto"/>
        </w:rPr>
      </w:pPr>
    </w:p>
    <w:p>
      <w:pPr>
        <w:ind w:left="485"/>
        <w:spacing w:after="0"/>
        <w:tabs>
          <w:tab w:leader="none" w:pos="4805" w:val="left"/>
        </w:tabs>
        <w:rPr>
          <w:sz w:val="20"/>
          <w:szCs w:val="20"/>
          <w:color w:val="auto"/>
        </w:rPr>
      </w:pPr>
      <w:r>
        <w:rPr>
          <w:rFonts w:ascii="Arial" w:cs="Arial" w:eastAsia="Arial" w:hAnsi="Arial"/>
          <w:sz w:val="20"/>
          <w:szCs w:val="20"/>
          <w:b w:val="1"/>
          <w:bCs w:val="1"/>
          <w:color w:val="00162F"/>
        </w:rPr>
        <w:t>For the Transition Period From</w:t>
      </w:r>
      <w:r>
        <w:rPr>
          <w:sz w:val="20"/>
          <w:szCs w:val="20"/>
          <w:color w:val="auto"/>
        </w:rPr>
        <w:tab/>
      </w:r>
      <w:r>
        <w:rPr>
          <w:rFonts w:ascii="Arial" w:cs="Arial" w:eastAsia="Arial" w:hAnsi="Arial"/>
          <w:sz w:val="19"/>
          <w:szCs w:val="19"/>
          <w:b w:val="1"/>
          <w:bCs w:val="1"/>
          <w:color w:val="00162F"/>
        </w:rPr>
        <w:t>to</w:t>
      </w:r>
    </w:p>
    <w:p>
      <w:pPr>
        <w:spacing w:after="0" w:line="127" w:lineRule="exact"/>
        <w:rPr>
          <w:sz w:val="20"/>
          <w:szCs w:val="20"/>
          <w:color w:val="auto"/>
        </w:rPr>
      </w:pPr>
    </w:p>
    <w:p>
      <w:pPr>
        <w:jc w:val="center"/>
        <w:ind w:right="-44"/>
        <w:spacing w:after="0"/>
        <w:rPr>
          <w:sz w:val="20"/>
          <w:szCs w:val="20"/>
          <w:color w:val="auto"/>
        </w:rPr>
      </w:pPr>
      <w:r>
        <w:rPr>
          <w:rFonts w:ascii="Arial" w:cs="Arial" w:eastAsia="Arial" w:hAnsi="Arial"/>
          <w:sz w:val="20"/>
          <w:szCs w:val="20"/>
          <w:color w:val="00162F"/>
        </w:rPr>
        <w:t>Commission file number 1-8400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108585</wp:posOffset>
            </wp:positionV>
            <wp:extent cx="376174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61740" cy="12700"/>
                    </a:xfrm>
                    <a:prstGeom prst="rect">
                      <a:avLst/>
                    </a:prstGeom>
                    <a:noFill/>
                  </pic:spPr>
                </pic:pic>
              </a:graphicData>
            </a:graphic>
          </wp:anchor>
        </w:drawing>
      </w:r>
    </w:p>
    <w:p>
      <w:pPr>
        <w:spacing w:after="0" w:line="248" w:lineRule="exact"/>
        <w:rPr>
          <w:sz w:val="20"/>
          <w:szCs w:val="20"/>
          <w:color w:val="auto"/>
        </w:rPr>
      </w:pPr>
    </w:p>
    <w:p>
      <w:pPr>
        <w:jc w:val="center"/>
        <w:ind w:right="-44"/>
        <w:spacing w:after="0"/>
        <w:rPr>
          <w:sz w:val="20"/>
          <w:szCs w:val="20"/>
          <w:color w:val="auto"/>
        </w:rPr>
      </w:pPr>
      <w:r>
        <w:rPr>
          <w:rFonts w:ascii="Arial" w:cs="Arial" w:eastAsia="Arial" w:hAnsi="Arial"/>
          <w:sz w:val="26"/>
          <w:szCs w:val="26"/>
          <w:b w:val="1"/>
          <w:bCs w:val="1"/>
          <w:color w:val="00162F"/>
        </w:rPr>
        <w:t>American Airlines Group Inc.</w:t>
      </w:r>
    </w:p>
    <w:p>
      <w:pPr>
        <w:spacing w:after="0" w:line="56" w:lineRule="exact"/>
        <w:rPr>
          <w:sz w:val="20"/>
          <w:szCs w:val="20"/>
          <w:color w:val="auto"/>
        </w:rPr>
      </w:pPr>
    </w:p>
    <w:p>
      <w:pPr>
        <w:jc w:val="center"/>
        <w:ind w:right="-44"/>
        <w:spacing w:after="0"/>
        <w:rPr>
          <w:sz w:val="20"/>
          <w:szCs w:val="20"/>
          <w:color w:val="auto"/>
        </w:rPr>
      </w:pPr>
      <w:r>
        <w:rPr>
          <w:rFonts w:ascii="Arial" w:cs="Arial" w:eastAsia="Arial" w:hAnsi="Arial"/>
          <w:sz w:val="20"/>
          <w:szCs w:val="20"/>
          <w:color w:val="00162F"/>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66675</wp:posOffset>
            </wp:positionV>
            <wp:extent cx="376174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61740" cy="12700"/>
                    </a:xfrm>
                    <a:prstGeom prst="rect">
                      <a:avLst/>
                    </a:prstGeom>
                    <a:noFill/>
                  </pic:spPr>
                </pic:pic>
              </a:graphicData>
            </a:graphic>
          </wp:anchor>
        </w:drawing>
      </w:r>
    </w:p>
    <w:p>
      <w:pPr>
        <w:spacing w:after="0" w:line="309" w:lineRule="exact"/>
        <w:rPr>
          <w:sz w:val="20"/>
          <w:szCs w:val="20"/>
          <w:color w:val="auto"/>
        </w:rPr>
      </w:pPr>
    </w:p>
    <w:tbl>
      <w:tblPr>
        <w:tblLayout w:type="fixed"/>
        <w:tblInd w:w="65" w:type="dxa"/>
        <w:tblCellMar>
          <w:top w:w="0" w:type="dxa"/>
          <w:left w:w="0" w:type="dxa"/>
          <w:bottom w:w="0" w:type="dxa"/>
          <w:right w:w="0" w:type="dxa"/>
        </w:tblCellMar>
      </w:tblPr>
      <w:tr>
        <w:trPr>
          <w:trHeight w:val="274"/>
        </w:trPr>
        <w:tc>
          <w:tcPr>
            <w:tcW w:w="5460" w:type="dxa"/>
            <w:vAlign w:val="bottom"/>
          </w:tcPr>
          <w:p>
            <w:pPr>
              <w:jc w:val="center"/>
              <w:ind w:right="241"/>
              <w:spacing w:after="0"/>
              <w:rPr>
                <w:sz w:val="20"/>
                <w:szCs w:val="20"/>
                <w:color w:val="auto"/>
              </w:rPr>
            </w:pPr>
            <w:r>
              <w:rPr>
                <w:rFonts w:ascii="Arial" w:cs="Arial" w:eastAsia="Arial" w:hAnsi="Arial"/>
                <w:sz w:val="20"/>
                <w:szCs w:val="20"/>
                <w:b w:val="1"/>
                <w:bCs w:val="1"/>
                <w:color w:val="00162F"/>
              </w:rPr>
              <w:t>Delaware</w:t>
            </w:r>
          </w:p>
        </w:tc>
        <w:tc>
          <w:tcPr>
            <w:tcW w:w="4900" w:type="dxa"/>
            <w:vAlign w:val="bottom"/>
          </w:tcPr>
          <w:p>
            <w:pPr>
              <w:jc w:val="center"/>
              <w:ind w:left="261"/>
              <w:spacing w:after="0"/>
              <w:rPr>
                <w:sz w:val="20"/>
                <w:szCs w:val="20"/>
                <w:color w:val="auto"/>
              </w:rPr>
            </w:pPr>
            <w:r>
              <w:rPr>
                <w:rFonts w:ascii="Arial" w:cs="Arial" w:eastAsia="Arial" w:hAnsi="Arial"/>
                <w:sz w:val="20"/>
                <w:szCs w:val="20"/>
                <w:b w:val="1"/>
                <w:bCs w:val="1"/>
                <w:color w:val="00162F"/>
                <w:w w:val="99"/>
              </w:rPr>
              <w:t>75-1825172</w:t>
            </w:r>
          </w:p>
        </w:tc>
      </w:tr>
      <w:tr>
        <w:trPr>
          <w:trHeight w:val="287"/>
        </w:trPr>
        <w:tc>
          <w:tcPr>
            <w:tcW w:w="5460" w:type="dxa"/>
            <w:vAlign w:val="bottom"/>
          </w:tcPr>
          <w:p>
            <w:pPr>
              <w:jc w:val="center"/>
              <w:ind w:right="261"/>
              <w:spacing w:after="0"/>
              <w:rPr>
                <w:sz w:val="20"/>
                <w:szCs w:val="20"/>
                <w:color w:val="auto"/>
              </w:rPr>
            </w:pPr>
            <w:r>
              <w:rPr>
                <w:rFonts w:ascii="Arial" w:cs="Arial" w:eastAsia="Arial" w:hAnsi="Arial"/>
                <w:sz w:val="20"/>
                <w:szCs w:val="20"/>
                <w:i w:val="1"/>
                <w:iCs w:val="1"/>
                <w:color w:val="00162F"/>
                <w:w w:val="98"/>
              </w:rPr>
              <w:t>(State or other jurisdiction of incorporation or organization)</w:t>
            </w:r>
          </w:p>
        </w:tc>
        <w:tc>
          <w:tcPr>
            <w:tcW w:w="4900" w:type="dxa"/>
            <w:vAlign w:val="bottom"/>
          </w:tcPr>
          <w:p>
            <w:pPr>
              <w:jc w:val="center"/>
              <w:ind w:left="281"/>
              <w:spacing w:after="0"/>
              <w:rPr>
                <w:sz w:val="20"/>
                <w:szCs w:val="20"/>
                <w:color w:val="auto"/>
              </w:rPr>
            </w:pPr>
            <w:r>
              <w:rPr>
                <w:rFonts w:ascii="Arial" w:cs="Arial" w:eastAsia="Arial" w:hAnsi="Arial"/>
                <w:sz w:val="20"/>
                <w:szCs w:val="20"/>
                <w:i w:val="1"/>
                <w:iCs w:val="1"/>
                <w:color w:val="00162F"/>
                <w:w w:val="98"/>
              </w:rPr>
              <w:t>(I.R.S. Employer Identification No.)</w:t>
            </w:r>
          </w:p>
        </w:tc>
      </w:tr>
      <w:tr>
        <w:trPr>
          <w:trHeight w:val="277"/>
        </w:trPr>
        <w:tc>
          <w:tcPr>
            <w:tcW w:w="5460" w:type="dxa"/>
            <w:vAlign w:val="bottom"/>
          </w:tcPr>
          <w:p>
            <w:pPr>
              <w:ind w:left="500"/>
              <w:spacing w:after="0"/>
              <w:rPr>
                <w:sz w:val="20"/>
                <w:szCs w:val="20"/>
                <w:color w:val="auto"/>
              </w:rPr>
            </w:pPr>
            <w:r>
              <w:rPr>
                <w:rFonts w:ascii="Arial" w:cs="Arial" w:eastAsia="Arial" w:hAnsi="Arial"/>
                <w:sz w:val="20"/>
                <w:szCs w:val="20"/>
                <w:b w:val="1"/>
                <w:bCs w:val="1"/>
                <w:color w:val="00162F"/>
              </w:rPr>
              <w:t>1 Skyview Drive, Fort Worth,  Texas  76155</w:t>
            </w:r>
          </w:p>
        </w:tc>
        <w:tc>
          <w:tcPr>
            <w:tcW w:w="4900" w:type="dxa"/>
            <w:vAlign w:val="bottom"/>
          </w:tcPr>
          <w:p>
            <w:pPr>
              <w:jc w:val="right"/>
              <w:ind w:right="1421"/>
              <w:spacing w:after="0"/>
              <w:rPr>
                <w:sz w:val="20"/>
                <w:szCs w:val="20"/>
                <w:color w:val="auto"/>
              </w:rPr>
            </w:pPr>
            <w:r>
              <w:rPr>
                <w:rFonts w:ascii="Arial" w:cs="Arial" w:eastAsia="Arial" w:hAnsi="Arial"/>
                <w:sz w:val="20"/>
                <w:szCs w:val="20"/>
                <w:b w:val="1"/>
                <w:bCs w:val="1"/>
                <w:color w:val="00162F"/>
              </w:rPr>
              <w:t>(682) 278-9000</w:t>
            </w:r>
          </w:p>
        </w:tc>
      </w:tr>
      <w:tr>
        <w:trPr>
          <w:trHeight w:val="272"/>
        </w:trPr>
        <w:tc>
          <w:tcPr>
            <w:tcW w:w="5460" w:type="dxa"/>
            <w:vAlign w:val="bottom"/>
          </w:tcPr>
          <w:p>
            <w:pPr>
              <w:jc w:val="center"/>
              <w:ind w:right="241"/>
              <w:spacing w:after="0"/>
              <w:rPr>
                <w:sz w:val="20"/>
                <w:szCs w:val="20"/>
                <w:color w:val="auto"/>
              </w:rPr>
            </w:pPr>
            <w:r>
              <w:rPr>
                <w:rFonts w:ascii="Arial" w:cs="Arial" w:eastAsia="Arial" w:hAnsi="Arial"/>
                <w:sz w:val="20"/>
                <w:szCs w:val="20"/>
                <w:i w:val="1"/>
                <w:iCs w:val="1"/>
                <w:color w:val="00162F"/>
                <w:w w:val="99"/>
              </w:rPr>
              <w:t>(Address of principal executive offices, including zip code)</w:t>
            </w:r>
          </w:p>
        </w:tc>
        <w:tc>
          <w:tcPr>
            <w:tcW w:w="4900" w:type="dxa"/>
            <w:vAlign w:val="bottom"/>
          </w:tcPr>
          <w:p>
            <w:pPr>
              <w:jc w:val="center"/>
              <w:ind w:left="281"/>
              <w:spacing w:after="0"/>
              <w:rPr>
                <w:sz w:val="20"/>
                <w:szCs w:val="20"/>
                <w:color w:val="auto"/>
              </w:rPr>
            </w:pPr>
            <w:r>
              <w:rPr>
                <w:rFonts w:ascii="Arial" w:cs="Arial" w:eastAsia="Arial" w:hAnsi="Arial"/>
                <w:sz w:val="20"/>
                <w:szCs w:val="20"/>
                <w:i w:val="1"/>
                <w:iCs w:val="1"/>
                <w:color w:val="00162F"/>
                <w:w w:val="98"/>
              </w:rPr>
              <w:t>Registrant’s telephone number, including area code</w:t>
            </w:r>
          </w:p>
        </w:tc>
      </w:tr>
    </w:tbl>
    <w:p>
      <w:pPr>
        <w:spacing w:after="0" w:line="200" w:lineRule="exact"/>
        <w:rPr>
          <w:sz w:val="20"/>
          <w:szCs w:val="20"/>
          <w:color w:val="auto"/>
        </w:rPr>
      </w:pPr>
    </w:p>
    <w:p>
      <w:pPr>
        <w:spacing w:after="0" w:line="340" w:lineRule="exact"/>
        <w:rPr>
          <w:sz w:val="20"/>
          <w:szCs w:val="20"/>
          <w:color w:val="auto"/>
        </w:rPr>
      </w:pPr>
    </w:p>
    <w:p>
      <w:pPr>
        <w:jc w:val="center"/>
        <w:ind w:right="-44"/>
        <w:spacing w:after="0"/>
        <w:rPr>
          <w:sz w:val="20"/>
          <w:szCs w:val="20"/>
          <w:color w:val="auto"/>
        </w:rPr>
      </w:pPr>
      <w:r>
        <w:rPr>
          <w:rFonts w:ascii="Arial" w:cs="Arial" w:eastAsia="Arial" w:hAnsi="Arial"/>
          <w:sz w:val="20"/>
          <w:szCs w:val="20"/>
          <w:b w:val="1"/>
          <w:bCs w:val="1"/>
          <w:color w:val="00162F"/>
        </w:rPr>
        <w:t>Securities registered pursuant to Section 12(b) of the Act:</w:t>
      </w:r>
    </w:p>
    <w:p>
      <w:pPr>
        <w:spacing w:after="0" w:line="143" w:lineRule="exact"/>
        <w:rPr>
          <w:sz w:val="20"/>
          <w:szCs w:val="20"/>
          <w:color w:val="auto"/>
        </w:rPr>
      </w:pPr>
    </w:p>
    <w:tbl>
      <w:tblPr>
        <w:tblLayout w:type="fixed"/>
        <w:tblInd w:w="105" w:type="dxa"/>
        <w:tblCellMar>
          <w:top w:w="0" w:type="dxa"/>
          <w:left w:w="0" w:type="dxa"/>
          <w:bottom w:w="0" w:type="dxa"/>
          <w:right w:w="0" w:type="dxa"/>
        </w:tblCellMar>
      </w:tblPr>
      <w:tr>
        <w:trPr>
          <w:trHeight w:val="230"/>
        </w:trPr>
        <w:tc>
          <w:tcPr>
            <w:tcW w:w="4320" w:type="dxa"/>
            <w:vAlign w:val="bottom"/>
            <w:vMerge w:val="restart"/>
          </w:tcPr>
          <w:p>
            <w:pPr>
              <w:jc w:val="center"/>
              <w:spacing w:after="0"/>
              <w:rPr>
                <w:sz w:val="20"/>
                <w:szCs w:val="20"/>
                <w:color w:val="auto"/>
              </w:rPr>
            </w:pPr>
            <w:r>
              <w:rPr>
                <w:rFonts w:ascii="Arial" w:cs="Arial" w:eastAsia="Arial" w:hAnsi="Arial"/>
                <w:sz w:val="20"/>
                <w:szCs w:val="20"/>
                <w:b w:val="1"/>
                <w:bCs w:val="1"/>
                <w:color w:val="00162F"/>
                <w:w w:val="99"/>
              </w:rPr>
              <w:t>Title of each class</w:t>
            </w:r>
          </w:p>
        </w:tc>
        <w:tc>
          <w:tcPr>
            <w:tcW w:w="160" w:type="dxa"/>
            <w:vAlign w:val="bottom"/>
          </w:tcPr>
          <w:p>
            <w:pPr>
              <w:spacing w:after="0"/>
              <w:rPr>
                <w:sz w:val="19"/>
                <w:szCs w:val="19"/>
                <w:color w:val="auto"/>
              </w:rPr>
            </w:pPr>
          </w:p>
        </w:tc>
        <w:tc>
          <w:tcPr>
            <w:tcW w:w="2100" w:type="dxa"/>
            <w:vAlign w:val="bottom"/>
            <w:vMerge w:val="restart"/>
          </w:tcPr>
          <w:p>
            <w:pPr>
              <w:jc w:val="center"/>
              <w:spacing w:after="0"/>
              <w:rPr>
                <w:sz w:val="20"/>
                <w:szCs w:val="20"/>
                <w:color w:val="auto"/>
              </w:rPr>
            </w:pPr>
            <w:r>
              <w:rPr>
                <w:rFonts w:ascii="Arial" w:cs="Arial" w:eastAsia="Arial" w:hAnsi="Arial"/>
                <w:sz w:val="20"/>
                <w:szCs w:val="20"/>
                <w:b w:val="1"/>
                <w:bCs w:val="1"/>
                <w:color w:val="00162F"/>
                <w:w w:val="99"/>
              </w:rPr>
              <w:t>Trading Symbol(s)</w:t>
            </w:r>
          </w:p>
        </w:tc>
        <w:tc>
          <w:tcPr>
            <w:tcW w:w="16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20"/>
                <w:szCs w:val="20"/>
                <w:b w:val="1"/>
                <w:bCs w:val="1"/>
                <w:color w:val="00162F"/>
                <w:w w:val="99"/>
              </w:rPr>
              <w:t>Name of each exchange on which</w:t>
            </w:r>
          </w:p>
        </w:tc>
        <w:tc>
          <w:tcPr>
            <w:tcW w:w="0" w:type="dxa"/>
            <w:vAlign w:val="bottom"/>
          </w:tcPr>
          <w:p>
            <w:pPr>
              <w:spacing w:after="0"/>
              <w:rPr>
                <w:sz w:val="1"/>
                <w:szCs w:val="1"/>
                <w:color w:val="auto"/>
              </w:rPr>
            </w:pPr>
          </w:p>
        </w:tc>
      </w:tr>
      <w:tr>
        <w:trPr>
          <w:trHeight w:val="259"/>
        </w:trPr>
        <w:tc>
          <w:tcPr>
            <w:tcW w:w="4320" w:type="dxa"/>
            <w:vAlign w:val="bottom"/>
            <w:tcBorders>
              <w:bottom w:val="single" w:sz="8" w:color="00162F"/>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tcBorders>
              <w:bottom w:val="single" w:sz="8" w:color="00162F"/>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3740" w:type="dxa"/>
            <w:vAlign w:val="bottom"/>
            <w:tcBorders>
              <w:bottom w:val="single" w:sz="8" w:color="00162F"/>
            </w:tcBorders>
          </w:tcPr>
          <w:p>
            <w:pPr>
              <w:jc w:val="center"/>
              <w:spacing w:after="0"/>
              <w:rPr>
                <w:sz w:val="20"/>
                <w:szCs w:val="20"/>
                <w:color w:val="auto"/>
              </w:rPr>
            </w:pPr>
            <w:r>
              <w:rPr>
                <w:rFonts w:ascii="Arial" w:cs="Arial" w:eastAsia="Arial" w:hAnsi="Arial"/>
                <w:sz w:val="20"/>
                <w:szCs w:val="20"/>
                <w:b w:val="1"/>
                <w:bCs w:val="1"/>
                <w:color w:val="00162F"/>
                <w:w w:val="97"/>
              </w:rPr>
              <w:t>registered</w:t>
            </w:r>
          </w:p>
        </w:tc>
        <w:tc>
          <w:tcPr>
            <w:tcW w:w="0" w:type="dxa"/>
            <w:vAlign w:val="bottom"/>
          </w:tcPr>
          <w:p>
            <w:pPr>
              <w:spacing w:after="0"/>
              <w:rPr>
                <w:sz w:val="1"/>
                <w:szCs w:val="1"/>
                <w:color w:val="auto"/>
              </w:rPr>
            </w:pPr>
          </w:p>
        </w:tc>
      </w:tr>
      <w:tr>
        <w:trPr>
          <w:trHeight w:val="274"/>
        </w:trPr>
        <w:tc>
          <w:tcPr>
            <w:tcW w:w="4320" w:type="dxa"/>
            <w:vAlign w:val="bottom"/>
          </w:tcPr>
          <w:p>
            <w:pPr>
              <w:jc w:val="center"/>
              <w:spacing w:after="0"/>
              <w:rPr>
                <w:sz w:val="20"/>
                <w:szCs w:val="20"/>
                <w:color w:val="auto"/>
              </w:rPr>
            </w:pPr>
            <w:r>
              <w:rPr>
                <w:rFonts w:ascii="Arial" w:cs="Arial" w:eastAsia="Arial" w:hAnsi="Arial"/>
                <w:sz w:val="20"/>
                <w:szCs w:val="20"/>
                <w:b w:val="1"/>
                <w:bCs w:val="1"/>
                <w:color w:val="00162F"/>
                <w:w w:val="98"/>
              </w:rPr>
              <w:t>Common Stock, $0.01 par value per share</w:t>
            </w:r>
          </w:p>
        </w:tc>
        <w:tc>
          <w:tcPr>
            <w:tcW w:w="160" w:type="dxa"/>
            <w:vAlign w:val="bottom"/>
          </w:tcPr>
          <w:p>
            <w:pPr>
              <w:spacing w:after="0"/>
              <w:rPr>
                <w:sz w:val="23"/>
                <w:szCs w:val="23"/>
                <w:color w:val="auto"/>
              </w:rPr>
            </w:pPr>
          </w:p>
        </w:tc>
        <w:tc>
          <w:tcPr>
            <w:tcW w:w="2100" w:type="dxa"/>
            <w:vAlign w:val="bottom"/>
          </w:tcPr>
          <w:p>
            <w:pPr>
              <w:jc w:val="center"/>
              <w:spacing w:after="0"/>
              <w:rPr>
                <w:sz w:val="20"/>
                <w:szCs w:val="20"/>
                <w:color w:val="auto"/>
              </w:rPr>
            </w:pPr>
            <w:r>
              <w:rPr>
                <w:rFonts w:ascii="Arial" w:cs="Arial" w:eastAsia="Arial" w:hAnsi="Arial"/>
                <w:sz w:val="20"/>
                <w:szCs w:val="20"/>
                <w:b w:val="1"/>
                <w:bCs w:val="1"/>
                <w:color w:val="00162F"/>
              </w:rPr>
              <w:t>AAL</w:t>
            </w:r>
          </w:p>
        </w:tc>
        <w:tc>
          <w:tcPr>
            <w:tcW w:w="16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b w:val="1"/>
                <w:bCs w:val="1"/>
                <w:color w:val="00162F"/>
                <w:w w:val="99"/>
              </w:rPr>
              <w:t>The Nasdaq Global Select Market</w:t>
            </w:r>
          </w:p>
        </w:tc>
        <w:tc>
          <w:tcPr>
            <w:tcW w:w="0" w:type="dxa"/>
            <w:vAlign w:val="bottom"/>
          </w:tcPr>
          <w:p>
            <w:pPr>
              <w:spacing w:after="0"/>
              <w:rPr>
                <w:sz w:val="1"/>
                <w:szCs w:val="1"/>
                <w:color w:val="auto"/>
              </w:rPr>
            </w:pPr>
          </w:p>
        </w:tc>
      </w:tr>
      <w:tr>
        <w:trPr>
          <w:trHeight w:val="283"/>
        </w:trPr>
        <w:tc>
          <w:tcPr>
            <w:tcW w:w="4320" w:type="dxa"/>
            <w:vAlign w:val="bottom"/>
          </w:tcPr>
          <w:p>
            <w:pPr>
              <w:jc w:val="center"/>
              <w:spacing w:after="0"/>
              <w:rPr>
                <w:sz w:val="20"/>
                <w:szCs w:val="20"/>
                <w:color w:val="auto"/>
              </w:rPr>
            </w:pPr>
            <w:r>
              <w:rPr>
                <w:rFonts w:ascii="Arial" w:cs="Arial" w:eastAsia="Arial" w:hAnsi="Arial"/>
                <w:sz w:val="20"/>
                <w:szCs w:val="20"/>
                <w:b w:val="1"/>
                <w:bCs w:val="1"/>
                <w:color w:val="00162F"/>
                <w:w w:val="98"/>
              </w:rPr>
              <w:t>Preferred Stock Purchase Rights</w:t>
            </w:r>
          </w:p>
        </w:tc>
        <w:tc>
          <w:tcPr>
            <w:tcW w:w="16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20"/>
                <w:szCs w:val="20"/>
                <w:color w:val="00162F"/>
                <w:w w:val="89"/>
              </w:rPr>
              <w:t>—</w:t>
            </w:r>
          </w:p>
        </w:tc>
        <w:tc>
          <w:tcPr>
            <w:tcW w:w="3900" w:type="dxa"/>
            <w:vAlign w:val="bottom"/>
            <w:gridSpan w:val="2"/>
          </w:tcPr>
          <w:p>
            <w:pPr>
              <w:jc w:val="center"/>
              <w:ind w:left="96"/>
              <w:spacing w:after="0"/>
              <w:rPr>
                <w:sz w:val="20"/>
                <w:szCs w:val="20"/>
                <w:color w:val="auto"/>
              </w:rPr>
            </w:pPr>
            <w:r>
              <w:rPr>
                <w:rFonts w:ascii="Arial" w:cs="Arial" w:eastAsia="Arial" w:hAnsi="Arial"/>
                <w:sz w:val="13"/>
                <w:szCs w:val="13"/>
                <w:b w:val="1"/>
                <w:bCs w:val="1"/>
                <w:color w:val="00162F"/>
                <w:w w:val="87"/>
              </w:rPr>
              <w:t>(1)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65" w:hanging="165"/>
        <w:spacing w:after="0"/>
        <w:tabs>
          <w:tab w:leader="none" w:pos="165" w:val="left"/>
        </w:tabs>
        <w:numPr>
          <w:ilvl w:val="0"/>
          <w:numId w:val="3"/>
        </w:numPr>
        <w:rPr>
          <w:rFonts w:ascii="Arial" w:cs="Arial" w:eastAsia="Arial" w:hAnsi="Arial"/>
          <w:sz w:val="10"/>
          <w:szCs w:val="10"/>
          <w:color w:val="00162F"/>
        </w:rPr>
      </w:pPr>
      <w:r>
        <w:rPr>
          <w:rFonts w:ascii="Arial" w:cs="Arial" w:eastAsia="Arial" w:hAnsi="Arial"/>
          <w:sz w:val="16"/>
          <w:szCs w:val="16"/>
          <w:color w:val="00162F"/>
        </w:rPr>
        <w:t>Attached to the Common Stock</w:t>
      </w:r>
    </w:p>
    <w:p>
      <w:pPr>
        <w:spacing w:after="0" w:line="93" w:lineRule="exact"/>
        <w:rPr>
          <w:sz w:val="20"/>
          <w:szCs w:val="20"/>
          <w:color w:val="auto"/>
        </w:rPr>
      </w:pPr>
    </w:p>
    <w:p>
      <w:pPr>
        <w:jc w:val="center"/>
        <w:ind w:right="-44"/>
        <w:spacing w:after="0"/>
        <w:rPr>
          <w:sz w:val="20"/>
          <w:szCs w:val="20"/>
          <w:color w:val="auto"/>
        </w:rPr>
      </w:pPr>
      <w:r>
        <w:rPr>
          <w:rFonts w:ascii="Arial" w:cs="Arial" w:eastAsia="Arial" w:hAnsi="Arial"/>
          <w:sz w:val="20"/>
          <w:szCs w:val="20"/>
          <w:b w:val="1"/>
          <w:bCs w:val="1"/>
          <w:color w:val="00162F"/>
        </w:rPr>
        <w:t>Securities registered pursuant to Section 12(g) of the Act: None</w:t>
      </w:r>
    </w:p>
    <w:p>
      <w:pPr>
        <w:spacing w:after="0" w:line="133"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00162F"/>
        </w:rPr>
        <w:t>Commission file number 1-2691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104775</wp:posOffset>
            </wp:positionV>
            <wp:extent cx="376174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1740" cy="12700"/>
                    </a:xfrm>
                    <a:prstGeom prst="rect">
                      <a:avLst/>
                    </a:prstGeom>
                    <a:noFill/>
                  </pic:spPr>
                </pic:pic>
              </a:graphicData>
            </a:graphic>
          </wp:anchor>
        </w:drawing>
      </w:r>
    </w:p>
    <w:p>
      <w:pPr>
        <w:spacing w:after="0" w:line="242" w:lineRule="exact"/>
        <w:rPr>
          <w:sz w:val="20"/>
          <w:szCs w:val="20"/>
          <w:color w:val="auto"/>
        </w:rPr>
      </w:pPr>
    </w:p>
    <w:p>
      <w:pPr>
        <w:jc w:val="center"/>
        <w:ind w:right="-44"/>
        <w:spacing w:after="0"/>
        <w:rPr>
          <w:sz w:val="20"/>
          <w:szCs w:val="20"/>
          <w:color w:val="auto"/>
        </w:rPr>
      </w:pPr>
      <w:r>
        <w:rPr>
          <w:rFonts w:ascii="Arial" w:cs="Arial" w:eastAsia="Arial" w:hAnsi="Arial"/>
          <w:sz w:val="26"/>
          <w:szCs w:val="26"/>
          <w:b w:val="1"/>
          <w:bCs w:val="1"/>
          <w:color w:val="00162F"/>
        </w:rPr>
        <w:t>American Airlines, Inc.</w:t>
      </w:r>
    </w:p>
    <w:p>
      <w:pPr>
        <w:spacing w:after="0" w:line="56" w:lineRule="exact"/>
        <w:rPr>
          <w:sz w:val="20"/>
          <w:szCs w:val="20"/>
          <w:color w:val="auto"/>
        </w:rPr>
      </w:pPr>
    </w:p>
    <w:p>
      <w:pPr>
        <w:jc w:val="center"/>
        <w:ind w:right="-44"/>
        <w:spacing w:after="0"/>
        <w:rPr>
          <w:sz w:val="20"/>
          <w:szCs w:val="20"/>
          <w:color w:val="auto"/>
        </w:rPr>
      </w:pPr>
      <w:r>
        <w:rPr>
          <w:rFonts w:ascii="Arial" w:cs="Arial" w:eastAsia="Arial" w:hAnsi="Arial"/>
          <w:sz w:val="20"/>
          <w:szCs w:val="20"/>
          <w:color w:val="00162F"/>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66675</wp:posOffset>
            </wp:positionV>
            <wp:extent cx="3761740"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61740" cy="12700"/>
                    </a:xfrm>
                    <a:prstGeom prst="rect">
                      <a:avLst/>
                    </a:prstGeom>
                    <a:noFill/>
                  </pic:spPr>
                </pic:pic>
              </a:graphicData>
            </a:graphic>
          </wp:anchor>
        </w:drawing>
      </w:r>
    </w:p>
    <w:p>
      <w:pPr>
        <w:spacing w:after="0" w:line="309" w:lineRule="exact"/>
        <w:rPr>
          <w:sz w:val="20"/>
          <w:szCs w:val="20"/>
          <w:color w:val="auto"/>
        </w:rPr>
      </w:pPr>
    </w:p>
    <w:tbl>
      <w:tblPr>
        <w:tblLayout w:type="fixed"/>
        <w:tblInd w:w="225" w:type="dxa"/>
        <w:tblCellMar>
          <w:top w:w="0" w:type="dxa"/>
          <w:left w:w="0" w:type="dxa"/>
          <w:bottom w:w="0" w:type="dxa"/>
          <w:right w:w="0" w:type="dxa"/>
        </w:tblCellMar>
      </w:tblPr>
      <w:tr>
        <w:trPr>
          <w:trHeight w:val="274"/>
        </w:trPr>
        <w:tc>
          <w:tcPr>
            <w:tcW w:w="5460" w:type="dxa"/>
            <w:vAlign w:val="bottom"/>
          </w:tcPr>
          <w:p>
            <w:pPr>
              <w:jc w:val="center"/>
              <w:ind w:right="281"/>
              <w:spacing w:after="0"/>
              <w:rPr>
                <w:sz w:val="20"/>
                <w:szCs w:val="20"/>
                <w:color w:val="auto"/>
              </w:rPr>
            </w:pPr>
            <w:r>
              <w:rPr>
                <w:rFonts w:ascii="Arial" w:cs="Arial" w:eastAsia="Arial" w:hAnsi="Arial"/>
                <w:sz w:val="20"/>
                <w:szCs w:val="20"/>
                <w:b w:val="1"/>
                <w:bCs w:val="1"/>
                <w:color w:val="00162F"/>
              </w:rPr>
              <w:t>Delaware</w:t>
            </w:r>
          </w:p>
        </w:tc>
        <w:tc>
          <w:tcPr>
            <w:tcW w:w="4880" w:type="dxa"/>
            <w:vAlign w:val="bottom"/>
          </w:tcPr>
          <w:p>
            <w:pPr>
              <w:jc w:val="center"/>
              <w:ind w:left="241"/>
              <w:spacing w:after="0"/>
              <w:rPr>
                <w:sz w:val="20"/>
                <w:szCs w:val="20"/>
                <w:color w:val="auto"/>
              </w:rPr>
            </w:pPr>
            <w:r>
              <w:rPr>
                <w:rFonts w:ascii="Arial" w:cs="Arial" w:eastAsia="Arial" w:hAnsi="Arial"/>
                <w:sz w:val="20"/>
                <w:szCs w:val="20"/>
                <w:b w:val="1"/>
                <w:bCs w:val="1"/>
                <w:color w:val="00162F"/>
                <w:w w:val="99"/>
              </w:rPr>
              <w:t>13-1502798</w:t>
            </w:r>
          </w:p>
        </w:tc>
      </w:tr>
      <w:tr>
        <w:trPr>
          <w:trHeight w:val="287"/>
        </w:trPr>
        <w:tc>
          <w:tcPr>
            <w:tcW w:w="5460" w:type="dxa"/>
            <w:vAlign w:val="bottom"/>
          </w:tcPr>
          <w:p>
            <w:pPr>
              <w:jc w:val="center"/>
              <w:ind w:right="261"/>
              <w:spacing w:after="0"/>
              <w:rPr>
                <w:sz w:val="20"/>
                <w:szCs w:val="20"/>
                <w:color w:val="auto"/>
              </w:rPr>
            </w:pPr>
            <w:r>
              <w:rPr>
                <w:rFonts w:ascii="Arial" w:cs="Arial" w:eastAsia="Arial" w:hAnsi="Arial"/>
                <w:sz w:val="20"/>
                <w:szCs w:val="20"/>
                <w:i w:val="1"/>
                <w:iCs w:val="1"/>
                <w:color w:val="00162F"/>
                <w:w w:val="98"/>
              </w:rPr>
              <w:t>(State or other jurisdiction of incorporation or organization)</w:t>
            </w:r>
          </w:p>
        </w:tc>
        <w:tc>
          <w:tcPr>
            <w:tcW w:w="4880" w:type="dxa"/>
            <w:vAlign w:val="bottom"/>
          </w:tcPr>
          <w:p>
            <w:pPr>
              <w:jc w:val="center"/>
              <w:ind w:left="261"/>
              <w:spacing w:after="0"/>
              <w:rPr>
                <w:sz w:val="20"/>
                <w:szCs w:val="20"/>
                <w:color w:val="auto"/>
              </w:rPr>
            </w:pPr>
            <w:r>
              <w:rPr>
                <w:rFonts w:ascii="Arial" w:cs="Arial" w:eastAsia="Arial" w:hAnsi="Arial"/>
                <w:sz w:val="20"/>
                <w:szCs w:val="20"/>
                <w:i w:val="1"/>
                <w:iCs w:val="1"/>
                <w:color w:val="00162F"/>
                <w:w w:val="98"/>
              </w:rPr>
              <w:t>(I.R.S. Employer Identification No.)</w:t>
            </w:r>
          </w:p>
        </w:tc>
      </w:tr>
      <w:tr>
        <w:trPr>
          <w:trHeight w:val="277"/>
        </w:trPr>
        <w:tc>
          <w:tcPr>
            <w:tcW w:w="5460" w:type="dxa"/>
            <w:vAlign w:val="bottom"/>
          </w:tcPr>
          <w:p>
            <w:pPr>
              <w:ind w:left="480"/>
              <w:spacing w:after="0"/>
              <w:rPr>
                <w:sz w:val="20"/>
                <w:szCs w:val="20"/>
                <w:color w:val="auto"/>
              </w:rPr>
            </w:pPr>
            <w:r>
              <w:rPr>
                <w:rFonts w:ascii="Arial" w:cs="Arial" w:eastAsia="Arial" w:hAnsi="Arial"/>
                <w:sz w:val="20"/>
                <w:szCs w:val="20"/>
                <w:b w:val="1"/>
                <w:bCs w:val="1"/>
                <w:color w:val="00162F"/>
              </w:rPr>
              <w:t>1 Skyview Drive, Fort Worth,  Texas  76155</w:t>
            </w:r>
          </w:p>
        </w:tc>
        <w:tc>
          <w:tcPr>
            <w:tcW w:w="4880" w:type="dxa"/>
            <w:vAlign w:val="bottom"/>
          </w:tcPr>
          <w:p>
            <w:pPr>
              <w:jc w:val="right"/>
              <w:ind w:right="1281"/>
              <w:spacing w:after="0"/>
              <w:rPr>
                <w:sz w:val="20"/>
                <w:szCs w:val="20"/>
                <w:color w:val="auto"/>
              </w:rPr>
            </w:pPr>
            <w:r>
              <w:rPr>
                <w:rFonts w:ascii="Arial" w:cs="Arial" w:eastAsia="Arial" w:hAnsi="Arial"/>
                <w:sz w:val="20"/>
                <w:szCs w:val="20"/>
                <w:b w:val="1"/>
                <w:bCs w:val="1"/>
                <w:color w:val="00162F"/>
              </w:rPr>
              <w:t>(682) 278-9000</w:t>
            </w:r>
          </w:p>
        </w:tc>
      </w:tr>
      <w:tr>
        <w:trPr>
          <w:trHeight w:val="272"/>
        </w:trPr>
        <w:tc>
          <w:tcPr>
            <w:tcW w:w="5460" w:type="dxa"/>
            <w:vAlign w:val="bottom"/>
          </w:tcPr>
          <w:p>
            <w:pPr>
              <w:jc w:val="center"/>
              <w:ind w:right="281"/>
              <w:spacing w:after="0"/>
              <w:rPr>
                <w:sz w:val="20"/>
                <w:szCs w:val="20"/>
                <w:color w:val="auto"/>
              </w:rPr>
            </w:pPr>
            <w:r>
              <w:rPr>
                <w:rFonts w:ascii="Arial" w:cs="Arial" w:eastAsia="Arial" w:hAnsi="Arial"/>
                <w:sz w:val="20"/>
                <w:szCs w:val="20"/>
                <w:i w:val="1"/>
                <w:iCs w:val="1"/>
                <w:color w:val="00162F"/>
                <w:w w:val="99"/>
              </w:rPr>
              <w:t>(Address of principal executive offices, including zip code)</w:t>
            </w:r>
          </w:p>
        </w:tc>
        <w:tc>
          <w:tcPr>
            <w:tcW w:w="4880" w:type="dxa"/>
            <w:vAlign w:val="bottom"/>
          </w:tcPr>
          <w:p>
            <w:pPr>
              <w:jc w:val="center"/>
              <w:ind w:left="261"/>
              <w:spacing w:after="0"/>
              <w:rPr>
                <w:sz w:val="20"/>
                <w:szCs w:val="20"/>
                <w:color w:val="auto"/>
              </w:rPr>
            </w:pPr>
            <w:r>
              <w:rPr>
                <w:rFonts w:ascii="Arial" w:cs="Arial" w:eastAsia="Arial" w:hAnsi="Arial"/>
                <w:sz w:val="20"/>
                <w:szCs w:val="20"/>
                <w:i w:val="1"/>
                <w:iCs w:val="1"/>
                <w:color w:val="00162F"/>
                <w:w w:val="98"/>
              </w:rPr>
              <w:t>Registrant’s telephone number, including area code</w:t>
            </w:r>
          </w:p>
        </w:tc>
      </w:tr>
    </w:tbl>
    <w:p>
      <w:pPr>
        <w:spacing w:after="0" w:line="85" w:lineRule="exact"/>
        <w:rPr>
          <w:sz w:val="20"/>
          <w:szCs w:val="20"/>
          <w:color w:val="auto"/>
        </w:rPr>
      </w:pPr>
    </w:p>
    <w:p>
      <w:pPr>
        <w:ind w:left="2365"/>
        <w:spacing w:after="0"/>
        <w:rPr>
          <w:sz w:val="20"/>
          <w:szCs w:val="20"/>
          <w:color w:val="auto"/>
        </w:rPr>
      </w:pPr>
      <w:r>
        <w:rPr>
          <w:rFonts w:ascii="Arial" w:cs="Arial" w:eastAsia="Arial" w:hAnsi="Arial"/>
          <w:sz w:val="20"/>
          <w:szCs w:val="20"/>
          <w:b w:val="1"/>
          <w:bCs w:val="1"/>
          <w:color w:val="00162F"/>
        </w:rPr>
        <w:t>Securities registered pursuant to Section 12(b) of the Act: None</w:t>
      </w:r>
    </w:p>
    <w:p>
      <w:pPr>
        <w:spacing w:after="0" w:line="97" w:lineRule="exact"/>
        <w:rPr>
          <w:sz w:val="20"/>
          <w:szCs w:val="20"/>
          <w:color w:val="auto"/>
        </w:rPr>
      </w:pPr>
    </w:p>
    <w:p>
      <w:pPr>
        <w:ind w:left="2365"/>
        <w:spacing w:after="0"/>
        <w:rPr>
          <w:sz w:val="20"/>
          <w:szCs w:val="20"/>
          <w:color w:val="auto"/>
        </w:rPr>
      </w:pPr>
      <w:r>
        <w:rPr>
          <w:rFonts w:ascii="Arial" w:cs="Arial" w:eastAsia="Arial" w:hAnsi="Arial"/>
          <w:sz w:val="20"/>
          <w:szCs w:val="20"/>
          <w:b w:val="1"/>
          <w:bCs w:val="1"/>
          <w:color w:val="00162F"/>
        </w:rPr>
        <w:t>Securities registered pursuant to Section 12(g) of the Act: None</w:t>
      </w:r>
    </w:p>
    <w:p>
      <w:pPr>
        <w:spacing w:after="0" w:line="8" w:lineRule="exact"/>
        <w:rPr>
          <w:sz w:val="20"/>
          <w:szCs w:val="20"/>
          <w:color w:val="auto"/>
        </w:rPr>
      </w:pPr>
    </w:p>
    <w:p>
      <w:pPr>
        <w:ind w:left="2485"/>
        <w:spacing w:after="0"/>
        <w:rPr>
          <w:sz w:val="20"/>
          <w:szCs w:val="20"/>
          <w:color w:val="auto"/>
        </w:rPr>
      </w:pPr>
      <w:r>
        <w:rPr>
          <w:rFonts w:ascii="Arial" w:cs="Arial" w:eastAsia="Arial" w:hAnsi="Arial"/>
          <w:sz w:val="20"/>
          <w:szCs w:val="20"/>
          <w:b w:val="1"/>
          <w:bCs w:val="1"/>
          <w:color w:val="00162F"/>
        </w:rPr>
        <w:t>____________________________________________________</w:t>
      </w:r>
    </w:p>
    <w:p>
      <w:pPr>
        <w:sectPr>
          <w:pgSz w:w="11880" w:h="15480" w:orient="portrait"/>
          <w:cols w:equalWidth="0" w:num="1">
            <w:col w:w="10645"/>
          </w:cols>
          <w:pgMar w:left="595" w:top="614" w:right="640" w:bottom="1440" w:gutter="0" w:footer="0" w:header="0"/>
        </w:sectPr>
      </w:pPr>
    </w:p>
    <w:bookmarkStart w:id="2" w:name="page3"/>
    <w:bookmarkEnd w:id="2"/>
    <w:p>
      <w:pPr>
        <w:ind w:left="120"/>
        <w:spacing w:after="0"/>
        <w:rPr>
          <w:sz w:val="20"/>
          <w:szCs w:val="20"/>
          <w:color w:val="auto"/>
        </w:rPr>
      </w:pPr>
      <w:r>
        <w:rPr>
          <w:rFonts w:ascii="Arial" w:cs="Arial" w:eastAsia="Arial" w:hAnsi="Arial"/>
          <w:sz w:val="19"/>
          <w:szCs w:val="19"/>
          <w:color w:val="00162F"/>
        </w:rPr>
        <w:t>Indicate by check mark if the registrant is a well-known seasoned issuer, as defined in Rule 405 of the Securities Act.</w:t>
      </w:r>
    </w:p>
    <w:p>
      <w:pPr>
        <w:sectPr>
          <w:pgSz w:w="11880" w:h="15480" w:orient="portrait"/>
          <w:cols w:equalWidth="0" w:num="1">
            <w:col w:w="10680"/>
          </w:cols>
          <w:pgMar w:left="600" w:top="458" w:right="600" w:bottom="495" w:gutter="0" w:footer="0" w:header="0"/>
        </w:sectPr>
      </w:pPr>
    </w:p>
    <w:p>
      <w:pPr>
        <w:spacing w:after="0" w:line="190"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American Airlines Group Inc.</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20"/>
          <w:szCs w:val="20"/>
          <w:color w:val="00162F"/>
        </w:rPr>
        <w:t>American Airlines, Inc.</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00162F"/>
        </w:rPr>
        <w:t>Yes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00162F"/>
        </w:rPr>
        <w:t>Yes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9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00162F"/>
        </w:rPr>
        <w:t>No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162F"/>
        </w:rPr>
        <w:t>No</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9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193" w:lineRule="exact"/>
        <w:rPr>
          <w:sz w:val="20"/>
          <w:szCs w:val="20"/>
          <w:color w:val="auto"/>
        </w:rPr>
      </w:pPr>
    </w:p>
    <w:p>
      <w:pPr>
        <w:sectPr>
          <w:pgSz w:w="11880" w:h="15480" w:orient="portrait"/>
          <w:cols w:equalWidth="0" w:num="5">
            <w:col w:w="8260" w:space="720"/>
            <w:col w:w="280" w:space="180"/>
            <w:col w:w="140" w:space="540"/>
            <w:col w:w="240" w:space="140"/>
            <w:col w:w="180"/>
          </w:cols>
          <w:pgMar w:left="600" w:top="458" w:right="600" w:bottom="495" w:gutter="0" w:footer="0" w:header="0"/>
          <w:type w:val="continuous"/>
        </w:sectPr>
      </w:pPr>
    </w:p>
    <w:p>
      <w:pPr>
        <w:ind w:left="120"/>
        <w:spacing w:after="0"/>
        <w:rPr>
          <w:sz w:val="20"/>
          <w:szCs w:val="20"/>
          <w:color w:val="auto"/>
        </w:rPr>
      </w:pPr>
      <w:r>
        <w:rPr>
          <w:rFonts w:ascii="Arial" w:cs="Arial" w:eastAsia="Arial" w:hAnsi="Arial"/>
          <w:sz w:val="19"/>
          <w:szCs w:val="19"/>
          <w:color w:val="00162F"/>
        </w:rPr>
        <w:t>Indicate by check mark if the registrant is not required to file reports pursuant to Section 13 or Section 15(d) of the Act.</w:t>
      </w:r>
    </w:p>
    <w:p>
      <w:pPr>
        <w:sectPr>
          <w:pgSz w:w="11880" w:h="15480" w:orient="portrait"/>
          <w:cols w:equalWidth="0" w:num="1">
            <w:col w:w="10680"/>
          </w:cols>
          <w:pgMar w:left="600" w:top="458" w:right="600" w:bottom="495" w:gutter="0" w:footer="0" w:header="0"/>
          <w:type w:val="continuous"/>
        </w:sectPr>
      </w:pPr>
    </w:p>
    <w:p>
      <w:pPr>
        <w:spacing w:after="0" w:line="190"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American Airlines Group Inc.</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20"/>
          <w:szCs w:val="20"/>
          <w:color w:val="00162F"/>
        </w:rPr>
        <w:t>American Airlines, Inc.</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00162F"/>
        </w:rPr>
        <w:t>Yes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00162F"/>
        </w:rPr>
        <w:t>Yes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9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00162F"/>
        </w:rPr>
        <w:t>No</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00162F"/>
        </w:rPr>
        <w:t>No</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9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193" w:lineRule="exact"/>
        <w:rPr>
          <w:sz w:val="20"/>
          <w:szCs w:val="20"/>
          <w:color w:val="auto"/>
        </w:rPr>
      </w:pPr>
    </w:p>
    <w:p>
      <w:pPr>
        <w:sectPr>
          <w:pgSz w:w="11880" w:h="15480" w:orient="portrait"/>
          <w:cols w:equalWidth="0" w:num="5">
            <w:col w:w="8260" w:space="720"/>
            <w:col w:w="280" w:space="180"/>
            <w:col w:w="140" w:space="560"/>
            <w:col w:w="220" w:space="140"/>
            <w:col w:w="180"/>
          </w:cols>
          <w:pgMar w:left="600" w:top="458" w:right="600" w:bottom="495" w:gutter="0" w:footer="0" w:header="0"/>
          <w:type w:val="continuous"/>
        </w:sectPr>
      </w:pPr>
    </w:p>
    <w:p>
      <w:pPr>
        <w:jc w:val="both"/>
        <w:ind w:firstLine="134"/>
        <w:spacing w:after="0" w:line="265" w:lineRule="auto"/>
        <w:rPr>
          <w:sz w:val="20"/>
          <w:szCs w:val="20"/>
          <w:color w:val="auto"/>
        </w:rPr>
      </w:pPr>
      <w:r>
        <w:rPr>
          <w:rFonts w:ascii="Arial" w:cs="Arial" w:eastAsia="Arial" w:hAnsi="Arial"/>
          <w:sz w:val="20"/>
          <w:szCs w:val="20"/>
          <w:color w:val="00162F"/>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880" w:h="15480" w:orient="portrait"/>
          <w:cols w:equalWidth="0" w:num="1">
            <w:col w:w="10680"/>
          </w:cols>
          <w:pgMar w:left="600" w:top="458" w:right="600" w:bottom="495"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American Airlines Group Inc.</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20"/>
          <w:szCs w:val="20"/>
          <w:color w:val="00162F"/>
        </w:rPr>
        <w:t>American Airlines, Inc.</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00162F"/>
        </w:rPr>
        <w:t>Yes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00162F"/>
        </w:rPr>
        <w:t>Yes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9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00162F"/>
        </w:rPr>
        <w:t>No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162F"/>
        </w:rPr>
        <w:t>No</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9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193" w:lineRule="exact"/>
        <w:rPr>
          <w:sz w:val="20"/>
          <w:szCs w:val="20"/>
          <w:color w:val="auto"/>
        </w:rPr>
      </w:pPr>
    </w:p>
    <w:p>
      <w:pPr>
        <w:sectPr>
          <w:pgSz w:w="11880" w:h="15480" w:orient="portrait"/>
          <w:cols w:equalWidth="0" w:num="5">
            <w:col w:w="8260" w:space="720"/>
            <w:col w:w="280" w:space="180"/>
            <w:col w:w="140" w:space="540"/>
            <w:col w:w="240" w:space="140"/>
            <w:col w:w="180"/>
          </w:cols>
          <w:pgMar w:left="600" w:top="458" w:right="600" w:bottom="495" w:gutter="0" w:footer="0" w:header="0"/>
          <w:type w:val="continuous"/>
        </w:sectPr>
      </w:pPr>
    </w:p>
    <w:p>
      <w:pPr>
        <w:jc w:val="both"/>
        <w:ind w:firstLine="134"/>
        <w:spacing w:after="0" w:line="265" w:lineRule="auto"/>
        <w:rPr>
          <w:sz w:val="20"/>
          <w:szCs w:val="20"/>
          <w:color w:val="auto"/>
        </w:rPr>
      </w:pPr>
      <w:r>
        <w:rPr>
          <w:rFonts w:ascii="Arial" w:cs="Arial" w:eastAsia="Arial" w:hAnsi="Arial"/>
          <w:sz w:val="20"/>
          <w:szCs w:val="20"/>
          <w:color w:val="00162F"/>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5720" w:type="dxa"/>
            <w:vAlign w:val="bottom"/>
          </w:tcPr>
          <w:p>
            <w:pPr>
              <w:spacing w:after="0"/>
              <w:rPr>
                <w:sz w:val="20"/>
                <w:szCs w:val="20"/>
                <w:color w:val="auto"/>
              </w:rPr>
            </w:pPr>
            <w:r>
              <w:rPr>
                <w:rFonts w:ascii="Arial" w:cs="Arial" w:eastAsia="Arial" w:hAnsi="Arial"/>
                <w:sz w:val="20"/>
                <w:szCs w:val="20"/>
                <w:color w:val="00162F"/>
              </w:rPr>
              <w:t>American Airlines Group Inc.</w:t>
            </w:r>
          </w:p>
        </w:tc>
        <w:tc>
          <w:tcPr>
            <w:tcW w:w="3580" w:type="dxa"/>
            <w:vAlign w:val="bottom"/>
          </w:tcPr>
          <w:p>
            <w:pPr>
              <w:ind w:left="3220"/>
              <w:spacing w:after="0"/>
              <w:rPr>
                <w:sz w:val="20"/>
                <w:szCs w:val="20"/>
                <w:color w:val="auto"/>
              </w:rPr>
            </w:pPr>
            <w:r>
              <w:rPr>
                <w:rFonts w:ascii="Arial" w:cs="Arial" w:eastAsia="Arial" w:hAnsi="Arial"/>
                <w:sz w:val="18"/>
                <w:szCs w:val="18"/>
                <w:color w:val="00162F"/>
              </w:rPr>
              <w:t>Yes</w:t>
            </w:r>
          </w:p>
        </w:tc>
        <w:tc>
          <w:tcPr>
            <w:tcW w:w="500" w:type="dxa"/>
            <w:vAlign w:val="bottom"/>
          </w:tcPr>
          <w:p>
            <w:pPr>
              <w:ind w:left="100"/>
              <w:spacing w:after="0" w:line="201" w:lineRule="exact"/>
              <w:rPr>
                <w:sz w:val="20"/>
                <w:szCs w:val="20"/>
                <w:color w:val="auto"/>
              </w:rPr>
            </w:pPr>
            <w:r>
              <w:rPr>
                <w:rFonts w:ascii="MS PGothic" w:cs="MS PGothic" w:eastAsia="MS PGothic" w:hAnsi="MS PGothic"/>
                <w:sz w:val="20"/>
                <w:szCs w:val="20"/>
                <w:color w:val="00162F"/>
              </w:rPr>
              <w:t>☒</w:t>
            </w:r>
          </w:p>
        </w:tc>
        <w:tc>
          <w:tcPr>
            <w:tcW w:w="580" w:type="dxa"/>
            <w:vAlign w:val="bottom"/>
          </w:tcPr>
          <w:p>
            <w:pPr>
              <w:ind w:left="280"/>
              <w:spacing w:after="0"/>
              <w:rPr>
                <w:sz w:val="20"/>
                <w:szCs w:val="20"/>
                <w:color w:val="auto"/>
              </w:rPr>
            </w:pPr>
            <w:r>
              <w:rPr>
                <w:rFonts w:ascii="Arial" w:cs="Arial" w:eastAsia="Arial" w:hAnsi="Arial"/>
                <w:sz w:val="20"/>
                <w:szCs w:val="20"/>
                <w:color w:val="00162F"/>
              </w:rPr>
              <w:t>No</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00162F"/>
                <w:w w:val="74"/>
              </w:rPr>
              <w:t>☐</w:t>
            </w:r>
          </w:p>
        </w:tc>
      </w:tr>
      <w:tr>
        <w:trPr>
          <w:trHeight w:val="302"/>
        </w:trPr>
        <w:tc>
          <w:tcPr>
            <w:tcW w:w="5720" w:type="dxa"/>
            <w:vAlign w:val="bottom"/>
          </w:tcPr>
          <w:p>
            <w:pPr>
              <w:spacing w:after="0"/>
              <w:rPr>
                <w:sz w:val="20"/>
                <w:szCs w:val="20"/>
                <w:color w:val="auto"/>
              </w:rPr>
            </w:pPr>
            <w:r>
              <w:rPr>
                <w:rFonts w:ascii="Arial" w:cs="Arial" w:eastAsia="Arial" w:hAnsi="Arial"/>
                <w:sz w:val="20"/>
                <w:szCs w:val="20"/>
                <w:color w:val="00162F"/>
              </w:rPr>
              <w:t>American Airlines, Inc.</w:t>
            </w:r>
          </w:p>
        </w:tc>
        <w:tc>
          <w:tcPr>
            <w:tcW w:w="3580" w:type="dxa"/>
            <w:vAlign w:val="bottom"/>
          </w:tcPr>
          <w:p>
            <w:pPr>
              <w:ind w:left="3220"/>
              <w:spacing w:after="0"/>
              <w:rPr>
                <w:sz w:val="20"/>
                <w:szCs w:val="20"/>
                <w:color w:val="auto"/>
              </w:rPr>
            </w:pPr>
            <w:r>
              <w:rPr>
                <w:rFonts w:ascii="Arial" w:cs="Arial" w:eastAsia="Arial" w:hAnsi="Arial"/>
                <w:sz w:val="18"/>
                <w:szCs w:val="18"/>
                <w:color w:val="00162F"/>
              </w:rPr>
              <w:t>Yes</w:t>
            </w:r>
          </w:p>
        </w:tc>
        <w:tc>
          <w:tcPr>
            <w:tcW w:w="500" w:type="dxa"/>
            <w:vAlign w:val="bottom"/>
          </w:tcPr>
          <w:p>
            <w:pPr>
              <w:ind w:left="100"/>
              <w:spacing w:after="0" w:line="201" w:lineRule="exact"/>
              <w:rPr>
                <w:sz w:val="20"/>
                <w:szCs w:val="20"/>
                <w:color w:val="auto"/>
              </w:rPr>
            </w:pPr>
            <w:r>
              <w:rPr>
                <w:rFonts w:ascii="MS PGothic" w:cs="MS PGothic" w:eastAsia="MS PGothic" w:hAnsi="MS PGothic"/>
                <w:sz w:val="20"/>
                <w:szCs w:val="20"/>
                <w:color w:val="00162F"/>
              </w:rPr>
              <w:t>☒</w:t>
            </w:r>
          </w:p>
        </w:tc>
        <w:tc>
          <w:tcPr>
            <w:tcW w:w="580" w:type="dxa"/>
            <w:vAlign w:val="bottom"/>
          </w:tcPr>
          <w:p>
            <w:pPr>
              <w:ind w:left="280"/>
              <w:spacing w:after="0"/>
              <w:rPr>
                <w:sz w:val="20"/>
                <w:szCs w:val="20"/>
                <w:color w:val="auto"/>
              </w:rPr>
            </w:pPr>
            <w:r>
              <w:rPr>
                <w:rFonts w:ascii="Arial" w:cs="Arial" w:eastAsia="Arial" w:hAnsi="Arial"/>
                <w:sz w:val="20"/>
                <w:szCs w:val="20"/>
                <w:color w:val="00162F"/>
              </w:rPr>
              <w:t>No</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00162F"/>
                <w:w w:val="74"/>
              </w:rPr>
              <w:t>☐</w:t>
            </w:r>
          </w:p>
        </w:tc>
      </w:tr>
    </w:tbl>
    <w:p>
      <w:pPr>
        <w:spacing w:after="0" w:line="41" w:lineRule="exact"/>
        <w:rPr>
          <w:sz w:val="20"/>
          <w:szCs w:val="20"/>
          <w:color w:val="auto"/>
        </w:rPr>
      </w:pPr>
    </w:p>
    <w:p>
      <w:pPr>
        <w:jc w:val="both"/>
        <w:ind w:firstLine="134"/>
        <w:spacing w:after="0" w:line="265" w:lineRule="auto"/>
        <w:rPr>
          <w:sz w:val="20"/>
          <w:szCs w:val="20"/>
          <w:color w:val="auto"/>
        </w:rPr>
      </w:pPr>
      <w:r>
        <w:rPr>
          <w:rFonts w:ascii="Arial" w:cs="Arial" w:eastAsia="Arial" w:hAnsi="Arial"/>
          <w:sz w:val="20"/>
          <w:szCs w:val="20"/>
          <w:color w:val="00162F"/>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680"/>
          </w:cols>
          <w:pgMar w:left="600" w:top="458" w:right="600" w:bottom="495" w:gutter="0" w:footer="0" w:header="0"/>
          <w:type w:val="continuous"/>
        </w:sectPr>
      </w:pPr>
    </w:p>
    <w:p>
      <w:pPr>
        <w:spacing w:after="0" w:line="138" w:lineRule="exact"/>
        <w:rPr>
          <w:sz w:val="20"/>
          <w:szCs w:val="20"/>
          <w:color w:val="auto"/>
        </w:rPr>
      </w:pPr>
    </w:p>
    <w:p>
      <w:pPr>
        <w:ind w:left="40"/>
        <w:spacing w:after="0"/>
        <w:rPr>
          <w:sz w:val="20"/>
          <w:szCs w:val="20"/>
          <w:color w:val="auto"/>
        </w:rPr>
      </w:pPr>
      <w:r>
        <w:rPr>
          <w:rFonts w:ascii="Arial" w:cs="Arial" w:eastAsia="Arial" w:hAnsi="Arial"/>
          <w:sz w:val="13"/>
          <w:szCs w:val="13"/>
          <w:color w:val="00162F"/>
        </w:rPr>
        <w:t>American Airlines Group Inc.</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4"/>
          <w:szCs w:val="14"/>
          <w:color w:val="00162F"/>
        </w:rPr>
        <w:t>American Airlines, Inc.</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both"/>
        <w:spacing w:after="0" w:line="264" w:lineRule="exact"/>
        <w:rPr>
          <w:sz w:val="20"/>
          <w:szCs w:val="20"/>
          <w:color w:val="auto"/>
        </w:rPr>
      </w:pPr>
      <w:r>
        <w:rPr>
          <w:rFonts w:ascii="MS PGothic" w:cs="MS PGothic" w:eastAsia="MS PGothic" w:hAnsi="MS PGothic"/>
          <w:sz w:val="19"/>
          <w:szCs w:val="19"/>
          <w:color w:val="00162F"/>
        </w:rPr>
        <w:t>☒</w:t>
      </w:r>
      <w:r>
        <w:rPr>
          <w:rFonts w:ascii="Arial" w:cs="Arial" w:eastAsia="Arial" w:hAnsi="Arial"/>
          <w:sz w:val="14"/>
          <w:szCs w:val="14"/>
          <w:color w:val="00162F"/>
        </w:rPr>
        <w:t xml:space="preserve"> Large accelerated filer </w:t>
      </w:r>
      <w:r>
        <w:rPr>
          <w:rFonts w:ascii="MS PGothic" w:cs="MS PGothic" w:eastAsia="MS PGothic" w:hAnsi="MS PGothic"/>
          <w:sz w:val="19"/>
          <w:szCs w:val="19"/>
          <w:color w:val="00162F"/>
        </w:rPr>
        <w:t>☐</w:t>
      </w:r>
      <w:r>
        <w:rPr>
          <w:rFonts w:ascii="Arial" w:cs="Arial" w:eastAsia="Arial" w:hAnsi="Arial"/>
          <w:sz w:val="14"/>
          <w:szCs w:val="14"/>
          <w:color w:val="00162F"/>
        </w:rPr>
        <w:t xml:space="preserve"> Large accelerated filer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both"/>
        <w:spacing w:after="0" w:line="264" w:lineRule="exact"/>
        <w:rPr>
          <w:sz w:val="20"/>
          <w:szCs w:val="20"/>
          <w:color w:val="auto"/>
        </w:rPr>
      </w:pPr>
      <w:r>
        <w:rPr>
          <w:rFonts w:ascii="MS PGothic" w:cs="MS PGothic" w:eastAsia="MS PGothic" w:hAnsi="MS PGothic"/>
          <w:sz w:val="19"/>
          <w:szCs w:val="19"/>
          <w:color w:val="00162F"/>
        </w:rPr>
        <w:t>☐</w:t>
      </w:r>
      <w:r>
        <w:rPr>
          <w:rFonts w:ascii="Arial" w:cs="Arial" w:eastAsia="Arial" w:hAnsi="Arial"/>
          <w:sz w:val="14"/>
          <w:szCs w:val="14"/>
          <w:color w:val="00162F"/>
        </w:rPr>
        <w:t xml:space="preserve"> Accelerated filer </w:t>
      </w:r>
      <w:r>
        <w:rPr>
          <w:rFonts w:ascii="MS PGothic" w:cs="MS PGothic" w:eastAsia="MS PGothic" w:hAnsi="MS PGothic"/>
          <w:sz w:val="19"/>
          <w:szCs w:val="19"/>
          <w:color w:val="00162F"/>
        </w:rPr>
        <w:t>☐</w:t>
      </w:r>
      <w:r>
        <w:rPr>
          <w:rFonts w:ascii="Arial" w:cs="Arial" w:eastAsia="Arial" w:hAnsi="Arial"/>
          <w:sz w:val="14"/>
          <w:szCs w:val="14"/>
          <w:color w:val="00162F"/>
        </w:rPr>
        <w:t xml:space="preserve"> Accelerated filer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both"/>
        <w:spacing w:after="0" w:line="264" w:lineRule="exact"/>
        <w:rPr>
          <w:sz w:val="20"/>
          <w:szCs w:val="20"/>
          <w:color w:val="auto"/>
        </w:rPr>
      </w:pPr>
      <w:r>
        <w:rPr>
          <w:rFonts w:ascii="MS PGothic" w:cs="MS PGothic" w:eastAsia="MS PGothic" w:hAnsi="MS PGothic"/>
          <w:sz w:val="19"/>
          <w:szCs w:val="19"/>
          <w:color w:val="00162F"/>
        </w:rPr>
        <w:t>☐</w:t>
      </w:r>
      <w:r>
        <w:rPr>
          <w:rFonts w:ascii="Arial" w:cs="Arial" w:eastAsia="Arial" w:hAnsi="Arial"/>
          <w:sz w:val="14"/>
          <w:szCs w:val="14"/>
          <w:color w:val="00162F"/>
        </w:rPr>
        <w:t xml:space="preserve"> Non-accelerated filer </w:t>
      </w:r>
      <w:r>
        <w:rPr>
          <w:rFonts w:ascii="MS PGothic" w:cs="MS PGothic" w:eastAsia="MS PGothic" w:hAnsi="MS PGothic"/>
          <w:sz w:val="19"/>
          <w:szCs w:val="19"/>
          <w:color w:val="00162F"/>
        </w:rPr>
        <w:t>☒</w:t>
      </w:r>
      <w:r>
        <w:rPr>
          <w:rFonts w:ascii="Arial" w:cs="Arial" w:eastAsia="Arial" w:hAnsi="Arial"/>
          <w:sz w:val="14"/>
          <w:szCs w:val="14"/>
          <w:color w:val="00162F"/>
        </w:rPr>
        <w:t xml:space="preserve"> Non-accelerated filer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both"/>
        <w:spacing w:after="0" w:line="264" w:lineRule="exact"/>
        <w:rPr>
          <w:sz w:val="20"/>
          <w:szCs w:val="20"/>
          <w:color w:val="auto"/>
        </w:rPr>
      </w:pPr>
      <w:r>
        <w:rPr>
          <w:rFonts w:ascii="MS PGothic" w:cs="MS PGothic" w:eastAsia="MS PGothic" w:hAnsi="MS PGothic"/>
          <w:sz w:val="18"/>
          <w:szCs w:val="18"/>
          <w:color w:val="00162F"/>
        </w:rPr>
        <w:t>☐</w:t>
      </w:r>
      <w:r>
        <w:rPr>
          <w:rFonts w:ascii="Arial" w:cs="Arial" w:eastAsia="Arial" w:hAnsi="Arial"/>
          <w:sz w:val="13"/>
          <w:szCs w:val="13"/>
          <w:color w:val="00162F"/>
        </w:rPr>
        <w:t xml:space="preserve"> Smaller reporting company </w:t>
      </w:r>
      <w:r>
        <w:rPr>
          <w:rFonts w:ascii="MS PGothic" w:cs="MS PGothic" w:eastAsia="MS PGothic" w:hAnsi="MS PGothic"/>
          <w:sz w:val="18"/>
          <w:szCs w:val="18"/>
          <w:color w:val="00162F"/>
        </w:rPr>
        <w:t>☐</w:t>
      </w:r>
      <w:r>
        <w:rPr>
          <w:rFonts w:ascii="Arial" w:cs="Arial" w:eastAsia="Arial" w:hAnsi="Arial"/>
          <w:sz w:val="13"/>
          <w:szCs w:val="13"/>
          <w:color w:val="00162F"/>
        </w:rPr>
        <w:t xml:space="preserve"> Smaller reporting company</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both"/>
        <w:ind w:right="80"/>
        <w:spacing w:after="0" w:line="264" w:lineRule="exact"/>
        <w:rPr>
          <w:sz w:val="20"/>
          <w:szCs w:val="20"/>
          <w:color w:val="auto"/>
        </w:rPr>
      </w:pPr>
      <w:r>
        <w:rPr>
          <w:rFonts w:ascii="MS PGothic" w:cs="MS PGothic" w:eastAsia="MS PGothic" w:hAnsi="MS PGothic"/>
          <w:sz w:val="19"/>
          <w:szCs w:val="19"/>
          <w:color w:val="00162F"/>
        </w:rPr>
        <w:t>☐</w:t>
      </w:r>
      <w:r>
        <w:rPr>
          <w:rFonts w:ascii="Arial" w:cs="Arial" w:eastAsia="Arial" w:hAnsi="Arial"/>
          <w:sz w:val="14"/>
          <w:szCs w:val="14"/>
          <w:color w:val="00162F"/>
        </w:rPr>
        <w:t xml:space="preserve"> Emerging growth company </w:t>
      </w:r>
      <w:r>
        <w:rPr>
          <w:rFonts w:ascii="MS PGothic" w:cs="MS PGothic" w:eastAsia="MS PGothic" w:hAnsi="MS PGothic"/>
          <w:sz w:val="19"/>
          <w:szCs w:val="19"/>
          <w:color w:val="00162F"/>
        </w:rPr>
        <w:t>☐</w:t>
      </w:r>
      <w:r>
        <w:rPr>
          <w:rFonts w:ascii="Arial" w:cs="Arial" w:eastAsia="Arial" w:hAnsi="Arial"/>
          <w:sz w:val="14"/>
          <w:szCs w:val="14"/>
          <w:color w:val="00162F"/>
        </w:rPr>
        <w:t xml:space="preserve"> Emerging growth company</w:t>
      </w:r>
    </w:p>
    <w:p>
      <w:pPr>
        <w:spacing w:after="0" w:line="30" w:lineRule="exact"/>
        <w:rPr>
          <w:sz w:val="20"/>
          <w:szCs w:val="20"/>
          <w:color w:val="auto"/>
        </w:rPr>
      </w:pPr>
    </w:p>
    <w:p>
      <w:pPr>
        <w:sectPr>
          <w:pgSz w:w="11880" w:h="15480" w:orient="portrait"/>
          <w:cols w:equalWidth="0" w:num="6">
            <w:col w:w="1800" w:space="140"/>
            <w:col w:w="1620" w:space="120"/>
            <w:col w:w="1240" w:space="120"/>
            <w:col w:w="1540" w:space="120"/>
            <w:col w:w="1900" w:space="100"/>
            <w:col w:w="1980"/>
          </w:cols>
          <w:pgMar w:left="600" w:top="458" w:right="600" w:bottom="495" w:gutter="0" w:footer="0" w:header="0"/>
          <w:type w:val="continuous"/>
        </w:sectPr>
      </w:pPr>
    </w:p>
    <w:p>
      <w:pPr>
        <w:jc w:val="both"/>
        <w:ind w:firstLine="134"/>
        <w:spacing w:after="0" w:line="265" w:lineRule="auto"/>
        <w:rPr>
          <w:sz w:val="20"/>
          <w:szCs w:val="20"/>
          <w:color w:val="auto"/>
        </w:rPr>
      </w:pPr>
      <w:r>
        <w:rPr>
          <w:rFonts w:ascii="Arial" w:cs="Arial" w:eastAsia="Arial" w:hAnsi="Arial"/>
          <w:sz w:val="20"/>
          <w:szCs w:val="20"/>
          <w:color w:val="00162F"/>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880" w:h="15480" w:orient="portrait"/>
          <w:cols w:equalWidth="0" w:num="1">
            <w:col w:w="10680"/>
          </w:cols>
          <w:pgMar w:left="600" w:top="458" w:right="600" w:bottom="495"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American Airlines Group Inc.</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20"/>
          <w:szCs w:val="20"/>
          <w:color w:val="00162F"/>
        </w:rPr>
        <w:t>American Airlines, Inc.</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00162F"/>
        </w:rPr>
        <w:t>☐</w:t>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00162F"/>
        </w:rPr>
        <w:t>☐</w:t>
      </w:r>
    </w:p>
    <w:p>
      <w:pPr>
        <w:spacing w:after="0" w:line="173" w:lineRule="exact"/>
        <w:rPr>
          <w:sz w:val="20"/>
          <w:szCs w:val="20"/>
          <w:color w:val="auto"/>
        </w:rPr>
      </w:pPr>
    </w:p>
    <w:p>
      <w:pPr>
        <w:sectPr>
          <w:pgSz w:w="11880" w:h="15480" w:orient="portrait"/>
          <w:cols w:equalWidth="0" w:num="2">
            <w:col w:w="8600" w:space="720"/>
            <w:col w:w="1360"/>
          </w:cols>
          <w:pgMar w:left="600" w:top="458" w:right="600" w:bottom="495" w:gutter="0" w:footer="0" w:header="0"/>
          <w:type w:val="continuous"/>
        </w:sectPr>
      </w:pPr>
    </w:p>
    <w:p>
      <w:pPr>
        <w:jc w:val="both"/>
        <w:ind w:firstLine="134"/>
        <w:spacing w:after="0" w:line="265" w:lineRule="auto"/>
        <w:rPr>
          <w:sz w:val="20"/>
          <w:szCs w:val="20"/>
          <w:color w:val="auto"/>
        </w:rPr>
      </w:pPr>
      <w:r>
        <w:rPr>
          <w:rFonts w:ascii="Arial" w:cs="Arial" w:eastAsia="Arial" w:hAnsi="Arial"/>
          <w:sz w:val="20"/>
          <w:szCs w:val="20"/>
          <w:color w:val="00162F"/>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ectPr>
          <w:pgSz w:w="11880" w:h="15480" w:orient="portrait"/>
          <w:cols w:equalWidth="0" w:num="1">
            <w:col w:w="10680"/>
          </w:cols>
          <w:pgMar w:left="600" w:top="458" w:right="600" w:bottom="495"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American Airlines Group Inc.</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20"/>
          <w:szCs w:val="20"/>
          <w:color w:val="00162F"/>
        </w:rPr>
        <w:t>American Airlines, Inc.</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00162F"/>
        </w:rPr>
        <w:t>Yes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00162F"/>
        </w:rPr>
        <w:t>Yes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9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00162F"/>
        </w:rPr>
        <w:t>No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162F"/>
        </w:rPr>
        <w:t>No</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9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162F"/>
        </w:rPr>
        <w:t>☐</w:t>
      </w:r>
    </w:p>
    <w:p>
      <w:pPr>
        <w:spacing w:after="0" w:line="193" w:lineRule="exact"/>
        <w:rPr>
          <w:sz w:val="20"/>
          <w:szCs w:val="20"/>
          <w:color w:val="auto"/>
        </w:rPr>
      </w:pPr>
    </w:p>
    <w:p>
      <w:pPr>
        <w:sectPr>
          <w:pgSz w:w="11880" w:h="15480" w:orient="portrait"/>
          <w:cols w:equalWidth="0" w:num="5">
            <w:col w:w="8260" w:space="720"/>
            <w:col w:w="280" w:space="180"/>
            <w:col w:w="140" w:space="540"/>
            <w:col w:w="240" w:space="140"/>
            <w:col w:w="180"/>
          </w:cols>
          <w:pgMar w:left="600" w:top="458" w:right="600" w:bottom="495" w:gutter="0" w:footer="0" w:header="0"/>
          <w:type w:val="continuous"/>
        </w:sectPr>
      </w:pPr>
    </w:p>
    <w:p>
      <w:pPr>
        <w:ind w:firstLine="134"/>
        <w:spacing w:after="0" w:line="310" w:lineRule="auto"/>
        <w:rPr>
          <w:sz w:val="20"/>
          <w:szCs w:val="20"/>
          <w:color w:val="auto"/>
        </w:rPr>
      </w:pPr>
      <w:r>
        <w:rPr>
          <w:rFonts w:ascii="Arial" w:cs="Arial" w:eastAsia="Arial" w:hAnsi="Arial"/>
          <w:sz w:val="19"/>
          <w:szCs w:val="19"/>
          <w:color w:val="00162F"/>
        </w:rPr>
        <w:t>If securities are registered pursuant to Section 12(b) of the Act, indicate by check mark whether the financial statements of the registrant included in the filing reflect the correction of an error to previously issued financial statements.</w:t>
      </w:r>
    </w:p>
    <w:p>
      <w:pPr>
        <w:sectPr>
          <w:pgSz w:w="11880" w:h="15480" w:orient="portrait"/>
          <w:cols w:equalWidth="0" w:num="1">
            <w:col w:w="10680"/>
          </w:cols>
          <w:pgMar w:left="600" w:top="458" w:right="600" w:bottom="495" w:gutter="0" w:footer="0" w:header="0"/>
          <w:type w:val="continuous"/>
        </w:sectPr>
      </w:pPr>
    </w:p>
    <w:p>
      <w:pPr>
        <w:spacing w:after="0" w:line="82" w:lineRule="exact"/>
        <w:rPr>
          <w:sz w:val="20"/>
          <w:szCs w:val="20"/>
          <w:color w:val="auto"/>
        </w:rPr>
      </w:pPr>
    </w:p>
    <w:p>
      <w:pPr>
        <w:ind w:left="180"/>
        <w:spacing w:after="0"/>
        <w:rPr>
          <w:sz w:val="20"/>
          <w:szCs w:val="20"/>
          <w:color w:val="auto"/>
        </w:rPr>
      </w:pPr>
      <w:r>
        <w:rPr>
          <w:rFonts w:ascii="Arial" w:cs="Arial" w:eastAsia="Arial" w:hAnsi="Arial"/>
          <w:sz w:val="19"/>
          <w:szCs w:val="19"/>
          <w:color w:val="00162F"/>
        </w:rPr>
        <w:t>American Airlines Group Inc.</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20"/>
          <w:szCs w:val="20"/>
          <w:color w:val="00162F"/>
        </w:rPr>
        <w:t>American Airlines, Inc.</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00162F"/>
        </w:rPr>
        <w:t>☐</w:t>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00162F"/>
        </w:rPr>
        <w:t>☐</w:t>
      </w:r>
    </w:p>
    <w:p>
      <w:pPr>
        <w:spacing w:after="0" w:line="173" w:lineRule="exact"/>
        <w:rPr>
          <w:sz w:val="20"/>
          <w:szCs w:val="20"/>
          <w:color w:val="auto"/>
        </w:rPr>
      </w:pPr>
    </w:p>
    <w:p>
      <w:pPr>
        <w:sectPr>
          <w:pgSz w:w="11880" w:h="15480" w:orient="portrait"/>
          <w:cols w:equalWidth="0" w:num="2">
            <w:col w:w="8740" w:space="720"/>
            <w:col w:w="1220"/>
          </w:cols>
          <w:pgMar w:left="600" w:top="458" w:right="600" w:bottom="495" w:gutter="0" w:footer="0" w:header="0"/>
          <w:type w:val="continuous"/>
        </w:sectPr>
      </w:pPr>
    </w:p>
    <w:p>
      <w:pPr>
        <w:jc w:val="both"/>
        <w:ind w:firstLine="134"/>
        <w:spacing w:after="0" w:line="265" w:lineRule="auto"/>
        <w:rPr>
          <w:sz w:val="20"/>
          <w:szCs w:val="20"/>
          <w:color w:val="auto"/>
        </w:rPr>
      </w:pPr>
      <w:r>
        <w:rPr>
          <w:rFonts w:ascii="Arial" w:cs="Arial" w:eastAsia="Arial" w:hAnsi="Arial"/>
          <w:sz w:val="20"/>
          <w:szCs w:val="20"/>
          <w:color w:val="00162F"/>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80" w:type="dxa"/>
            <w:vAlign w:val="bottom"/>
          </w:tcPr>
          <w:p>
            <w:pPr>
              <w:ind w:left="140"/>
              <w:spacing w:after="0"/>
              <w:rPr>
                <w:sz w:val="20"/>
                <w:szCs w:val="20"/>
                <w:color w:val="auto"/>
              </w:rPr>
            </w:pPr>
            <w:r>
              <w:rPr>
                <w:rFonts w:ascii="Arial" w:cs="Arial" w:eastAsia="Arial" w:hAnsi="Arial"/>
                <w:sz w:val="20"/>
                <w:szCs w:val="20"/>
                <w:color w:val="00162F"/>
              </w:rPr>
              <w:t>American Airlines Group Inc.</w:t>
            </w:r>
          </w:p>
        </w:tc>
        <w:tc>
          <w:tcPr>
            <w:tcW w:w="3540" w:type="dxa"/>
            <w:vAlign w:val="bottom"/>
          </w:tcPr>
          <w:p>
            <w:pPr>
              <w:spacing w:after="0"/>
              <w:rPr>
                <w:sz w:val="20"/>
                <w:szCs w:val="20"/>
                <w:color w:val="auto"/>
              </w:rPr>
            </w:pPr>
          </w:p>
        </w:tc>
        <w:tc>
          <w:tcPr>
            <w:tcW w:w="500" w:type="dxa"/>
            <w:vAlign w:val="bottom"/>
          </w:tcPr>
          <w:p>
            <w:pPr>
              <w:ind w:left="100"/>
              <w:spacing w:after="0" w:line="201" w:lineRule="exact"/>
              <w:rPr>
                <w:sz w:val="20"/>
                <w:szCs w:val="20"/>
                <w:color w:val="auto"/>
              </w:rPr>
            </w:pPr>
            <w:r>
              <w:rPr>
                <w:rFonts w:ascii="MS PGothic" w:cs="MS PGothic" w:eastAsia="MS PGothic" w:hAnsi="MS PGothic"/>
                <w:sz w:val="20"/>
                <w:szCs w:val="20"/>
                <w:color w:val="00162F"/>
              </w:rPr>
              <w:t>☐</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93"/>
        </w:trPr>
        <w:tc>
          <w:tcPr>
            <w:tcW w:w="5780" w:type="dxa"/>
            <w:vAlign w:val="bottom"/>
          </w:tcPr>
          <w:p>
            <w:pPr>
              <w:ind w:left="140"/>
              <w:spacing w:after="0"/>
              <w:rPr>
                <w:sz w:val="20"/>
                <w:szCs w:val="20"/>
                <w:color w:val="auto"/>
              </w:rPr>
            </w:pPr>
            <w:r>
              <w:rPr>
                <w:rFonts w:ascii="Arial" w:cs="Arial" w:eastAsia="Arial" w:hAnsi="Arial"/>
                <w:sz w:val="20"/>
                <w:szCs w:val="20"/>
                <w:color w:val="00162F"/>
              </w:rPr>
              <w:t>American Airlines, Inc.</w:t>
            </w:r>
          </w:p>
        </w:tc>
        <w:tc>
          <w:tcPr>
            <w:tcW w:w="3540" w:type="dxa"/>
            <w:vAlign w:val="bottom"/>
          </w:tcPr>
          <w:p>
            <w:pPr>
              <w:spacing w:after="0"/>
              <w:rPr>
                <w:sz w:val="24"/>
                <w:szCs w:val="24"/>
                <w:color w:val="auto"/>
              </w:rPr>
            </w:pPr>
          </w:p>
        </w:tc>
        <w:tc>
          <w:tcPr>
            <w:tcW w:w="500" w:type="dxa"/>
            <w:vAlign w:val="bottom"/>
          </w:tcPr>
          <w:p>
            <w:pPr>
              <w:ind w:left="100"/>
              <w:spacing w:after="0" w:line="201" w:lineRule="exact"/>
              <w:rPr>
                <w:sz w:val="20"/>
                <w:szCs w:val="20"/>
                <w:color w:val="auto"/>
              </w:rPr>
            </w:pPr>
            <w:r>
              <w:rPr>
                <w:rFonts w:ascii="MS PGothic" w:cs="MS PGothic" w:eastAsia="MS PGothic" w:hAnsi="MS PGothic"/>
                <w:sz w:val="20"/>
                <w:szCs w:val="20"/>
                <w:color w:val="00162F"/>
              </w:rPr>
              <w: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4"/>
        </w:trPr>
        <w:tc>
          <w:tcPr>
            <w:tcW w:w="9320" w:type="dxa"/>
            <w:vAlign w:val="bottom"/>
            <w:gridSpan w:val="2"/>
          </w:tcPr>
          <w:p>
            <w:pPr>
              <w:ind w:left="80"/>
              <w:spacing w:after="0"/>
              <w:rPr>
                <w:sz w:val="20"/>
                <w:szCs w:val="20"/>
                <w:color w:val="auto"/>
              </w:rPr>
            </w:pPr>
            <w:r>
              <w:rPr>
                <w:rFonts w:ascii="Arial" w:cs="Arial" w:eastAsia="Arial" w:hAnsi="Arial"/>
                <w:sz w:val="20"/>
                <w:szCs w:val="20"/>
                <w:color w:val="00162F"/>
              </w:rPr>
              <w:t>Indicate by check mark whether the registrant is a shell company (as defined in Rule 12b-2 of the Act).</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4"/>
        </w:trPr>
        <w:tc>
          <w:tcPr>
            <w:tcW w:w="5780" w:type="dxa"/>
            <w:vAlign w:val="bottom"/>
          </w:tcPr>
          <w:p>
            <w:pPr>
              <w:spacing w:after="0"/>
              <w:rPr>
                <w:sz w:val="20"/>
                <w:szCs w:val="20"/>
                <w:color w:val="auto"/>
              </w:rPr>
            </w:pPr>
            <w:r>
              <w:rPr>
                <w:rFonts w:ascii="Arial" w:cs="Arial" w:eastAsia="Arial" w:hAnsi="Arial"/>
                <w:sz w:val="20"/>
                <w:szCs w:val="20"/>
                <w:color w:val="00162F"/>
              </w:rPr>
              <w:t>American Airlines Group Inc.</w:t>
            </w:r>
          </w:p>
        </w:tc>
        <w:tc>
          <w:tcPr>
            <w:tcW w:w="3540" w:type="dxa"/>
            <w:vAlign w:val="bottom"/>
          </w:tcPr>
          <w:p>
            <w:pPr>
              <w:ind w:left="3160"/>
              <w:spacing w:after="0"/>
              <w:rPr>
                <w:sz w:val="20"/>
                <w:szCs w:val="20"/>
                <w:color w:val="auto"/>
              </w:rPr>
            </w:pPr>
            <w:r>
              <w:rPr>
                <w:rFonts w:ascii="Arial" w:cs="Arial" w:eastAsia="Arial" w:hAnsi="Arial"/>
                <w:sz w:val="20"/>
                <w:szCs w:val="20"/>
                <w:color w:val="00162F"/>
              </w:rPr>
              <w:t>Yes</w:t>
            </w:r>
          </w:p>
        </w:tc>
        <w:tc>
          <w:tcPr>
            <w:tcW w:w="50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00162F"/>
              </w:rPr>
              <w:t>☐</w:t>
            </w:r>
          </w:p>
        </w:tc>
        <w:tc>
          <w:tcPr>
            <w:tcW w:w="560" w:type="dxa"/>
            <w:vAlign w:val="bottom"/>
          </w:tcPr>
          <w:p>
            <w:pPr>
              <w:ind w:left="260"/>
              <w:spacing w:after="0"/>
              <w:rPr>
                <w:sz w:val="20"/>
                <w:szCs w:val="20"/>
                <w:color w:val="auto"/>
              </w:rPr>
            </w:pPr>
            <w:r>
              <w:rPr>
                <w:rFonts w:ascii="Arial" w:cs="Arial" w:eastAsia="Arial" w:hAnsi="Arial"/>
                <w:sz w:val="20"/>
                <w:szCs w:val="20"/>
                <w:color w:val="00162F"/>
              </w:rPr>
              <w:t>No</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00162F"/>
                <w:w w:val="74"/>
              </w:rPr>
              <w:t>☒</w:t>
            </w:r>
          </w:p>
        </w:tc>
      </w:tr>
      <w:tr>
        <w:trPr>
          <w:trHeight w:val="302"/>
        </w:trPr>
        <w:tc>
          <w:tcPr>
            <w:tcW w:w="5780" w:type="dxa"/>
            <w:vAlign w:val="bottom"/>
          </w:tcPr>
          <w:p>
            <w:pPr>
              <w:spacing w:after="0"/>
              <w:rPr>
                <w:sz w:val="20"/>
                <w:szCs w:val="20"/>
                <w:color w:val="auto"/>
              </w:rPr>
            </w:pPr>
            <w:r>
              <w:rPr>
                <w:rFonts w:ascii="Arial" w:cs="Arial" w:eastAsia="Arial" w:hAnsi="Arial"/>
                <w:sz w:val="20"/>
                <w:szCs w:val="20"/>
                <w:color w:val="00162F"/>
              </w:rPr>
              <w:t>American Airlines, Inc.</w:t>
            </w:r>
          </w:p>
        </w:tc>
        <w:tc>
          <w:tcPr>
            <w:tcW w:w="3540" w:type="dxa"/>
            <w:vAlign w:val="bottom"/>
          </w:tcPr>
          <w:p>
            <w:pPr>
              <w:ind w:left="3160"/>
              <w:spacing w:after="0"/>
              <w:rPr>
                <w:sz w:val="20"/>
                <w:szCs w:val="20"/>
                <w:color w:val="auto"/>
              </w:rPr>
            </w:pPr>
            <w:r>
              <w:rPr>
                <w:rFonts w:ascii="Arial" w:cs="Arial" w:eastAsia="Arial" w:hAnsi="Arial"/>
                <w:sz w:val="20"/>
                <w:szCs w:val="20"/>
                <w:color w:val="00162F"/>
              </w:rPr>
              <w:t>Yes</w:t>
            </w:r>
          </w:p>
        </w:tc>
        <w:tc>
          <w:tcPr>
            <w:tcW w:w="50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00162F"/>
              </w:rPr>
              <w:t>☐</w:t>
            </w:r>
          </w:p>
        </w:tc>
        <w:tc>
          <w:tcPr>
            <w:tcW w:w="560" w:type="dxa"/>
            <w:vAlign w:val="bottom"/>
          </w:tcPr>
          <w:p>
            <w:pPr>
              <w:ind w:left="260"/>
              <w:spacing w:after="0"/>
              <w:rPr>
                <w:sz w:val="20"/>
                <w:szCs w:val="20"/>
                <w:color w:val="auto"/>
              </w:rPr>
            </w:pPr>
            <w:r>
              <w:rPr>
                <w:rFonts w:ascii="Arial" w:cs="Arial" w:eastAsia="Arial" w:hAnsi="Arial"/>
                <w:sz w:val="20"/>
                <w:szCs w:val="20"/>
                <w:color w:val="00162F"/>
              </w:rPr>
              <w:t>No</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00162F"/>
                <w:w w:val="74"/>
              </w:rPr>
              <w:t>☒</w:t>
            </w:r>
          </w:p>
        </w:tc>
      </w:tr>
    </w:tbl>
    <w:p>
      <w:pPr>
        <w:spacing w:after="0" w:line="41" w:lineRule="exact"/>
        <w:rPr>
          <w:sz w:val="20"/>
          <w:szCs w:val="20"/>
          <w:color w:val="auto"/>
        </w:rPr>
      </w:pPr>
    </w:p>
    <w:p>
      <w:pPr>
        <w:jc w:val="both"/>
        <w:ind w:firstLine="134"/>
        <w:spacing w:after="0" w:line="265" w:lineRule="auto"/>
        <w:rPr>
          <w:sz w:val="20"/>
          <w:szCs w:val="20"/>
          <w:color w:val="auto"/>
        </w:rPr>
      </w:pPr>
      <w:r>
        <w:rPr>
          <w:rFonts w:ascii="Arial" w:cs="Arial" w:eastAsia="Arial" w:hAnsi="Arial"/>
          <w:sz w:val="20"/>
          <w:szCs w:val="20"/>
          <w:color w:val="00162F"/>
        </w:rPr>
        <w:t>The aggregate market value of the voting stock held by non-affiliates of American Airlines Group Inc. as of June 30, 2025, was approximately $7.4 billion. As of February 13, 2026, there were 660,304,573 shares of American Airlines Group Inc. common stock outstanding.</w:t>
      </w:r>
    </w:p>
    <w:p>
      <w:pPr>
        <w:spacing w:after="0" w:line="70" w:lineRule="exact"/>
        <w:rPr>
          <w:sz w:val="20"/>
          <w:szCs w:val="20"/>
          <w:color w:val="auto"/>
        </w:rPr>
      </w:pPr>
    </w:p>
    <w:p>
      <w:pPr>
        <w:jc w:val="both"/>
        <w:ind w:firstLine="134"/>
        <w:spacing w:after="0" w:line="282" w:lineRule="auto"/>
        <w:rPr>
          <w:sz w:val="20"/>
          <w:szCs w:val="20"/>
          <w:color w:val="auto"/>
        </w:rPr>
      </w:pPr>
      <w:r>
        <w:rPr>
          <w:rFonts w:ascii="Arial" w:cs="Arial" w:eastAsia="Arial" w:hAnsi="Arial"/>
          <w:sz w:val="20"/>
          <w:szCs w:val="20"/>
          <w:color w:val="00162F"/>
        </w:rPr>
        <w:t>As of February 13, 2026, there were 1,000 shares of American Airlines, Inc. common stock outstanding, all of which were held by American Airlines Group Inc.</w:t>
      </w:r>
    </w:p>
    <w:p>
      <w:pPr>
        <w:sectPr>
          <w:pgSz w:w="11880" w:h="15480" w:orient="portrait"/>
          <w:cols w:equalWidth="0" w:num="1">
            <w:col w:w="10680"/>
          </w:cols>
          <w:pgMar w:left="600" w:top="458" w:right="600" w:bottom="495"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00162F"/>
        </w:rPr>
        <w:t>OMISSION OF CERTAIN INFORMATION</w:t>
      </w:r>
    </w:p>
    <w:p>
      <w:pPr>
        <w:spacing w:after="0" w:line="28" w:lineRule="exact"/>
        <w:rPr>
          <w:sz w:val="20"/>
          <w:szCs w:val="20"/>
          <w:color w:val="auto"/>
        </w:rPr>
      </w:pPr>
    </w:p>
    <w:p>
      <w:pPr>
        <w:jc w:val="both"/>
        <w:ind w:firstLine="134"/>
        <w:spacing w:after="0" w:line="265" w:lineRule="auto"/>
        <w:rPr>
          <w:sz w:val="20"/>
          <w:szCs w:val="20"/>
          <w:color w:val="auto"/>
        </w:rPr>
      </w:pPr>
      <w:r>
        <w:rPr>
          <w:rFonts w:ascii="Arial" w:cs="Arial" w:eastAsia="Arial" w:hAnsi="Arial"/>
          <w:sz w:val="20"/>
          <w:szCs w:val="20"/>
          <w:color w:val="00162F"/>
        </w:rPr>
        <w:t>American Airlines, Inc. meets the conditions set forth in General Instruction I(1)(a) and (b) of Form 10-K and has therefore omitted the information otherwise called for by Items 10-13 of Form 10-K as allowed under General Instruction I(2)(c).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162F"/>
        </w:rPr>
        <w:t>DOCUMENTS INCORPORATED BY REFERENCE</w:t>
      </w:r>
    </w:p>
    <w:p>
      <w:pPr>
        <w:spacing w:after="0" w:line="28" w:lineRule="exact"/>
        <w:rPr>
          <w:sz w:val="20"/>
          <w:szCs w:val="20"/>
          <w:color w:val="auto"/>
        </w:rPr>
      </w:pPr>
    </w:p>
    <w:p>
      <w:pPr>
        <w:jc w:val="both"/>
        <w:ind w:firstLine="134"/>
        <w:spacing w:after="0" w:line="259" w:lineRule="auto"/>
        <w:rPr>
          <w:sz w:val="20"/>
          <w:szCs w:val="20"/>
          <w:color w:val="auto"/>
        </w:rPr>
      </w:pPr>
      <w:r>
        <w:rPr>
          <w:rFonts w:ascii="Arial" w:cs="Arial" w:eastAsia="Arial" w:hAnsi="Arial"/>
          <w:sz w:val="20"/>
          <w:szCs w:val="20"/>
          <w:color w:val="00162F"/>
        </w:rPr>
        <w:t>Portions of the proxy statement related to American Airlines Group Inc.’s 2026 Annual Meeting of Stockholders, which proxy statement will be filed under the Securities Exchange Act of 1934 within 120 days of the end of American Airlines Group Inc.’s fiscal year ended December 31,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64135</wp:posOffset>
            </wp:positionV>
            <wp:extent cx="6448425"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8425" cy="1270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105410</wp:posOffset>
            </wp:positionV>
            <wp:extent cx="644842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8425" cy="25400"/>
                    </a:xfrm>
                    <a:prstGeom prst="rect">
                      <a:avLst/>
                    </a:prstGeom>
                    <a:noFill/>
                  </pic:spPr>
                </pic:pic>
              </a:graphicData>
            </a:graphic>
          </wp:anchor>
        </w:drawing>
      </w:r>
    </w:p>
    <w:p>
      <w:pPr>
        <w:sectPr>
          <w:pgSz w:w="11880" w:h="15480" w:orient="portrait"/>
          <w:cols w:equalWidth="0" w:num="1">
            <w:col w:w="10680"/>
          </w:cols>
          <w:pgMar w:left="600" w:top="457" w:right="600" w:bottom="1440" w:gutter="0" w:footer="0" w:header="0"/>
        </w:sectPr>
      </w:pPr>
    </w:p>
    <w:bookmarkStart w:id="4" w:name="page5"/>
    <w:bookmarkEnd w:id="4"/>
    <w:p>
      <w:pPr>
        <w:jc w:val="center"/>
        <w:ind w:left="1280"/>
        <w:spacing w:after="0"/>
        <w:rPr>
          <w:sz w:val="20"/>
          <w:szCs w:val="20"/>
          <w:color w:val="auto"/>
        </w:rPr>
      </w:pPr>
      <w:r>
        <w:rPr>
          <w:rFonts w:ascii="Arial" w:cs="Arial" w:eastAsia="Arial" w:hAnsi="Arial"/>
          <w:sz w:val="20"/>
          <w:szCs w:val="20"/>
          <w:b w:val="1"/>
          <w:bCs w:val="1"/>
          <w:color w:val="00162F"/>
        </w:rPr>
        <w:t>American Airlines Group Inc.</w:t>
      </w:r>
    </w:p>
    <w:p>
      <w:pPr>
        <w:spacing w:after="0" w:line="8" w:lineRule="exact"/>
        <w:rPr>
          <w:sz w:val="20"/>
          <w:szCs w:val="20"/>
          <w:color w:val="auto"/>
        </w:rPr>
      </w:pPr>
    </w:p>
    <w:p>
      <w:pPr>
        <w:jc w:val="center"/>
        <w:ind w:left="1280"/>
        <w:spacing w:after="0"/>
        <w:rPr>
          <w:sz w:val="20"/>
          <w:szCs w:val="20"/>
          <w:color w:val="auto"/>
        </w:rPr>
      </w:pPr>
      <w:r>
        <w:rPr>
          <w:rFonts w:ascii="Arial" w:cs="Arial" w:eastAsia="Arial" w:hAnsi="Arial"/>
          <w:sz w:val="20"/>
          <w:szCs w:val="20"/>
          <w:b w:val="1"/>
          <w:bCs w:val="1"/>
          <w:color w:val="00162F"/>
        </w:rPr>
        <w:t>American Airlines, Inc.</w:t>
      </w:r>
    </w:p>
    <w:p>
      <w:pPr>
        <w:spacing w:after="0" w:line="8" w:lineRule="exact"/>
        <w:rPr>
          <w:sz w:val="20"/>
          <w:szCs w:val="20"/>
          <w:color w:val="auto"/>
        </w:rPr>
      </w:pPr>
    </w:p>
    <w:p>
      <w:pPr>
        <w:jc w:val="center"/>
        <w:ind w:left="1280"/>
        <w:spacing w:after="0"/>
        <w:rPr>
          <w:sz w:val="20"/>
          <w:szCs w:val="20"/>
          <w:color w:val="auto"/>
        </w:rPr>
      </w:pPr>
      <w:r>
        <w:rPr>
          <w:rFonts w:ascii="Arial" w:cs="Arial" w:eastAsia="Arial" w:hAnsi="Arial"/>
          <w:sz w:val="20"/>
          <w:szCs w:val="20"/>
          <w:b w:val="1"/>
          <w:bCs w:val="1"/>
          <w:color w:val="00162F"/>
        </w:rPr>
        <w:t>Form 10-K</w:t>
      </w:r>
    </w:p>
    <w:p>
      <w:pPr>
        <w:spacing w:after="0" w:line="8" w:lineRule="exact"/>
        <w:rPr>
          <w:sz w:val="20"/>
          <w:szCs w:val="20"/>
          <w:color w:val="auto"/>
        </w:rPr>
      </w:pPr>
    </w:p>
    <w:p>
      <w:pPr>
        <w:jc w:val="center"/>
        <w:ind w:left="1280"/>
        <w:spacing w:after="0"/>
        <w:rPr>
          <w:sz w:val="20"/>
          <w:szCs w:val="20"/>
          <w:color w:val="auto"/>
        </w:rPr>
      </w:pPr>
      <w:r>
        <w:rPr>
          <w:rFonts w:ascii="Arial" w:cs="Arial" w:eastAsia="Arial" w:hAnsi="Arial"/>
          <w:sz w:val="20"/>
          <w:szCs w:val="20"/>
          <w:b w:val="1"/>
          <w:bCs w:val="1"/>
          <w:color w:val="00162F"/>
        </w:rPr>
        <w:t>Year Ended December 31, 2025</w:t>
      </w:r>
    </w:p>
    <w:p>
      <w:pPr>
        <w:spacing w:after="0" w:line="8" w:lineRule="exact"/>
        <w:rPr>
          <w:sz w:val="20"/>
          <w:szCs w:val="20"/>
          <w:color w:val="auto"/>
        </w:rPr>
      </w:pPr>
    </w:p>
    <w:p>
      <w:pPr>
        <w:jc w:val="center"/>
        <w:ind w:left="1240"/>
        <w:spacing w:after="0"/>
        <w:rPr>
          <w:sz w:val="20"/>
          <w:szCs w:val="20"/>
          <w:color w:val="auto"/>
        </w:rPr>
      </w:pPr>
      <w:r>
        <w:rPr>
          <w:rFonts w:ascii="Arial" w:cs="Arial" w:eastAsia="Arial" w:hAnsi="Arial"/>
          <w:sz w:val="20"/>
          <w:szCs w:val="20"/>
          <w:b w:val="1"/>
          <w:bCs w:val="1"/>
          <w:color w:val="00162F"/>
        </w:rPr>
        <w:t>Table of Contents</w:t>
      </w:r>
    </w:p>
    <w:p>
      <w:pPr>
        <w:spacing w:after="0" w:line="200" w:lineRule="exact"/>
        <w:rPr>
          <w:sz w:val="20"/>
          <w:szCs w:val="20"/>
          <w:color w:val="auto"/>
        </w:rPr>
      </w:pPr>
    </w:p>
    <w:p>
      <w:pPr>
        <w:spacing w:after="0" w:line="21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00162F"/>
        </w:rPr>
        <w:t>PART I</w:t>
      </w:r>
    </w:p>
    <w:p>
      <w:pPr>
        <w:spacing w:after="0" w:line="68"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1.</w:t>
      </w:r>
      <w:r>
        <w:rPr>
          <w:sz w:val="20"/>
          <w:szCs w:val="20"/>
          <w:color w:val="auto"/>
        </w:rPr>
        <w:tab/>
      </w:r>
      <w:r>
        <w:rPr>
          <w:rFonts w:ascii="Arial" w:cs="Arial" w:eastAsia="Arial" w:hAnsi="Arial"/>
          <w:sz w:val="19"/>
          <w:szCs w:val="19"/>
          <w:color w:val="00162F"/>
        </w:rPr>
        <w:t>Business</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1A.</w:t>
      </w:r>
      <w:r>
        <w:rPr>
          <w:sz w:val="20"/>
          <w:szCs w:val="20"/>
          <w:color w:val="auto"/>
        </w:rPr>
        <w:tab/>
      </w:r>
      <w:r>
        <w:rPr>
          <w:rFonts w:ascii="Arial" w:cs="Arial" w:eastAsia="Arial" w:hAnsi="Arial"/>
          <w:sz w:val="19"/>
          <w:szCs w:val="19"/>
          <w:color w:val="00162F"/>
        </w:rPr>
        <w:t>Risk Factors</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1B.</w:t>
      </w:r>
      <w:r>
        <w:rPr>
          <w:sz w:val="20"/>
          <w:szCs w:val="20"/>
          <w:color w:val="auto"/>
        </w:rPr>
        <w:tab/>
      </w:r>
      <w:r>
        <w:rPr>
          <w:rFonts w:ascii="Arial" w:cs="Arial" w:eastAsia="Arial" w:hAnsi="Arial"/>
          <w:sz w:val="19"/>
          <w:szCs w:val="19"/>
          <w:color w:val="00162F"/>
        </w:rPr>
        <w:t>Unresolved Staff Comments</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1C.</w:t>
      </w:r>
      <w:r>
        <w:rPr>
          <w:sz w:val="20"/>
          <w:szCs w:val="20"/>
          <w:color w:val="auto"/>
        </w:rPr>
        <w:tab/>
      </w:r>
      <w:r>
        <w:rPr>
          <w:rFonts w:ascii="Arial" w:cs="Arial" w:eastAsia="Arial" w:hAnsi="Arial"/>
          <w:sz w:val="19"/>
          <w:szCs w:val="19"/>
          <w:color w:val="00162F"/>
        </w:rPr>
        <w:t>Cybersecurity</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2.</w:t>
      </w:r>
      <w:r>
        <w:rPr>
          <w:sz w:val="20"/>
          <w:szCs w:val="20"/>
          <w:color w:val="auto"/>
        </w:rPr>
        <w:tab/>
      </w:r>
      <w:r>
        <w:rPr>
          <w:rFonts w:ascii="Arial" w:cs="Arial" w:eastAsia="Arial" w:hAnsi="Arial"/>
          <w:sz w:val="19"/>
          <w:szCs w:val="19"/>
          <w:color w:val="00162F"/>
        </w:rPr>
        <w:t>Properties</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3.</w:t>
      </w:r>
      <w:r>
        <w:rPr>
          <w:sz w:val="20"/>
          <w:szCs w:val="20"/>
          <w:color w:val="auto"/>
        </w:rPr>
        <w:tab/>
      </w:r>
      <w:r>
        <w:rPr>
          <w:rFonts w:ascii="Arial" w:cs="Arial" w:eastAsia="Arial" w:hAnsi="Arial"/>
          <w:sz w:val="19"/>
          <w:szCs w:val="19"/>
          <w:color w:val="00162F"/>
        </w:rPr>
        <w:t>Legal Proceedings</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4.</w:t>
      </w:r>
      <w:r>
        <w:rPr>
          <w:sz w:val="20"/>
          <w:szCs w:val="20"/>
          <w:color w:val="auto"/>
        </w:rPr>
        <w:tab/>
      </w:r>
      <w:r>
        <w:rPr>
          <w:rFonts w:ascii="Arial" w:cs="Arial" w:eastAsia="Arial" w:hAnsi="Arial"/>
          <w:sz w:val="19"/>
          <w:szCs w:val="19"/>
          <w:color w:val="00162F"/>
        </w:rPr>
        <w:t>Mine Safety Disclosures</w:t>
      </w:r>
    </w:p>
    <w:p>
      <w:pPr>
        <w:spacing w:after="0" w:line="363"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00162F"/>
        </w:rPr>
        <w:t>PART II</w:t>
      </w:r>
    </w:p>
    <w:p>
      <w:pPr>
        <w:spacing w:after="0" w:line="68" w:lineRule="exact"/>
        <w:rPr>
          <w:sz w:val="20"/>
          <w:szCs w:val="20"/>
          <w:color w:val="auto"/>
        </w:rPr>
      </w:pPr>
    </w:p>
    <w:p>
      <w:pPr>
        <w:ind w:left="1020" w:right="100" w:hanging="1009"/>
        <w:spacing w:after="0" w:line="241" w:lineRule="auto"/>
        <w:tabs>
          <w:tab w:leader="none" w:pos="1000" w:val="left"/>
        </w:tabs>
        <w:rPr>
          <w:sz w:val="20"/>
          <w:szCs w:val="20"/>
          <w:color w:val="auto"/>
        </w:rPr>
      </w:pPr>
      <w:r>
        <w:rPr>
          <w:rFonts w:ascii="Arial" w:cs="Arial" w:eastAsia="Arial" w:hAnsi="Arial"/>
          <w:sz w:val="20"/>
          <w:szCs w:val="20"/>
          <w:color w:val="00162F"/>
        </w:rPr>
        <w:t>Item 5.</w:t>
      </w:r>
      <w:r>
        <w:rPr>
          <w:sz w:val="20"/>
          <w:szCs w:val="20"/>
          <w:color w:val="auto"/>
        </w:rPr>
        <w:tab/>
      </w:r>
      <w:r>
        <w:rPr>
          <w:rFonts w:ascii="Arial" w:cs="Arial" w:eastAsia="Arial" w:hAnsi="Arial"/>
          <w:sz w:val="20"/>
          <w:szCs w:val="20"/>
          <w:color w:val="00162F"/>
        </w:rPr>
        <w:t>Market for American Airlines Group’s Common Stock, Related Stockholder Matters and Issuer Purchases of Equity Securities</w:t>
      </w:r>
    </w:p>
    <w:p>
      <w:pPr>
        <w:spacing w:after="0" w:line="28"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6.</w:t>
      </w:r>
      <w:r>
        <w:rPr>
          <w:sz w:val="20"/>
          <w:szCs w:val="20"/>
          <w:color w:val="auto"/>
        </w:rPr>
        <w:tab/>
      </w:r>
      <w:r>
        <w:rPr>
          <w:rFonts w:ascii="Arial" w:cs="Arial" w:eastAsia="Arial" w:hAnsi="Arial"/>
          <w:sz w:val="19"/>
          <w:szCs w:val="19"/>
          <w:color w:val="00162F"/>
        </w:rPr>
        <w:t>Selected Consolidated Financial Data</w:t>
      </w:r>
    </w:p>
    <w:p>
      <w:pPr>
        <w:spacing w:after="0" w:line="67" w:lineRule="exact"/>
        <w:rPr>
          <w:sz w:val="20"/>
          <w:szCs w:val="20"/>
          <w:color w:val="auto"/>
        </w:rPr>
      </w:pPr>
    </w:p>
    <w:p>
      <w:pPr>
        <w:ind w:right="540"/>
        <w:spacing w:after="0" w:line="309" w:lineRule="auto"/>
        <w:rPr>
          <w:sz w:val="20"/>
          <w:szCs w:val="20"/>
          <w:color w:val="auto"/>
        </w:rPr>
      </w:pPr>
      <w:r>
        <w:rPr>
          <w:rFonts w:ascii="Arial" w:cs="Arial" w:eastAsia="Arial" w:hAnsi="Arial"/>
          <w:sz w:val="20"/>
          <w:szCs w:val="20"/>
          <w:color w:val="00162F"/>
        </w:rPr>
        <w:t>Item 7. Management’s Discussion and Analysis of Financial Condition and Results of Operations Item 7A. Quantitative and Qualitative Disclosures About Market Risk</w:t>
      </w:r>
    </w:p>
    <w:p>
      <w:pPr>
        <w:spacing w:after="0" w:line="2"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8A.</w:t>
      </w:r>
      <w:r>
        <w:rPr>
          <w:sz w:val="20"/>
          <w:szCs w:val="20"/>
          <w:color w:val="auto"/>
        </w:rPr>
        <w:tab/>
      </w:r>
      <w:r>
        <w:rPr>
          <w:rFonts w:ascii="Arial" w:cs="Arial" w:eastAsia="Arial" w:hAnsi="Arial"/>
          <w:sz w:val="19"/>
          <w:szCs w:val="19"/>
          <w:color w:val="00162F"/>
        </w:rPr>
        <w:t>Consolidated Financial Statements and Supplementary Data of American Airlines Group Inc.</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8B.</w:t>
      </w:r>
      <w:r>
        <w:rPr>
          <w:sz w:val="20"/>
          <w:szCs w:val="20"/>
          <w:color w:val="auto"/>
        </w:rPr>
        <w:tab/>
      </w:r>
      <w:r>
        <w:rPr>
          <w:rFonts w:ascii="Arial" w:cs="Arial" w:eastAsia="Arial" w:hAnsi="Arial"/>
          <w:sz w:val="19"/>
          <w:szCs w:val="19"/>
          <w:color w:val="00162F"/>
        </w:rPr>
        <w:t>Consolidated Financial Statements and Supplementary Data of American Airlines, Inc.</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9.</w:t>
      </w:r>
      <w:r>
        <w:rPr>
          <w:sz w:val="20"/>
          <w:szCs w:val="20"/>
          <w:color w:val="auto"/>
        </w:rPr>
        <w:tab/>
      </w:r>
      <w:r>
        <w:rPr>
          <w:rFonts w:ascii="Arial" w:cs="Arial" w:eastAsia="Arial" w:hAnsi="Arial"/>
          <w:sz w:val="19"/>
          <w:szCs w:val="19"/>
          <w:color w:val="00162F"/>
        </w:rPr>
        <w:t>Changes In and Disagreements with Accountants on Accounting and Financial Disclosure</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9A.</w:t>
      </w:r>
      <w:r>
        <w:rPr>
          <w:sz w:val="20"/>
          <w:szCs w:val="20"/>
          <w:color w:val="auto"/>
        </w:rPr>
        <w:tab/>
      </w:r>
      <w:r>
        <w:rPr>
          <w:rFonts w:ascii="Arial" w:cs="Arial" w:eastAsia="Arial" w:hAnsi="Arial"/>
          <w:sz w:val="19"/>
          <w:szCs w:val="19"/>
          <w:color w:val="00162F"/>
        </w:rPr>
        <w:t>Controls and Procedures</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9B.</w:t>
      </w:r>
      <w:r>
        <w:rPr>
          <w:sz w:val="20"/>
          <w:szCs w:val="20"/>
          <w:color w:val="auto"/>
        </w:rPr>
        <w:tab/>
      </w:r>
      <w:r>
        <w:rPr>
          <w:rFonts w:ascii="Arial" w:cs="Arial" w:eastAsia="Arial" w:hAnsi="Arial"/>
          <w:sz w:val="19"/>
          <w:szCs w:val="19"/>
          <w:color w:val="00162F"/>
        </w:rPr>
        <w:t>Other Information</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9C.</w:t>
      </w:r>
      <w:r>
        <w:rPr>
          <w:sz w:val="20"/>
          <w:szCs w:val="20"/>
          <w:color w:val="auto"/>
        </w:rPr>
        <w:tab/>
      </w:r>
      <w:r>
        <w:rPr>
          <w:rFonts w:ascii="Arial" w:cs="Arial" w:eastAsia="Arial" w:hAnsi="Arial"/>
          <w:sz w:val="19"/>
          <w:szCs w:val="19"/>
          <w:color w:val="00162F"/>
        </w:rPr>
        <w:t>Disclosure Regarding Foreign Jurisdictions that Prevent Inspections</w:t>
      </w:r>
    </w:p>
    <w:p>
      <w:pPr>
        <w:spacing w:after="0" w:line="363"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00162F"/>
        </w:rPr>
        <w:t>PART III</w:t>
      </w:r>
    </w:p>
    <w:p>
      <w:pPr>
        <w:spacing w:after="0" w:line="68" w:lineRule="exact"/>
        <w:rPr>
          <w:sz w:val="20"/>
          <w:szCs w:val="20"/>
          <w:color w:val="auto"/>
        </w:rPr>
      </w:pPr>
    </w:p>
    <w:p>
      <w:pPr>
        <w:ind w:right="3360"/>
        <w:spacing w:after="0" w:line="309" w:lineRule="auto"/>
        <w:rPr>
          <w:sz w:val="20"/>
          <w:szCs w:val="20"/>
          <w:color w:val="auto"/>
        </w:rPr>
      </w:pPr>
      <w:r>
        <w:rPr>
          <w:rFonts w:ascii="Arial" w:cs="Arial" w:eastAsia="Arial" w:hAnsi="Arial"/>
          <w:sz w:val="20"/>
          <w:szCs w:val="20"/>
          <w:color w:val="00162F"/>
        </w:rPr>
        <w:t>Item 10. Directors, Executive Officers and Corporate Governance Item 11. Executive Compensation</w:t>
      </w:r>
    </w:p>
    <w:p>
      <w:pPr>
        <w:spacing w:after="0" w:line="2" w:lineRule="exact"/>
        <w:rPr>
          <w:sz w:val="20"/>
          <w:szCs w:val="20"/>
          <w:color w:val="auto"/>
        </w:rPr>
      </w:pPr>
    </w:p>
    <w:p>
      <w:pPr>
        <w:ind w:left="1020" w:right="200" w:hanging="1009"/>
        <w:spacing w:after="0" w:line="241" w:lineRule="auto"/>
        <w:tabs>
          <w:tab w:leader="none" w:pos="1000" w:val="left"/>
        </w:tabs>
        <w:rPr>
          <w:sz w:val="20"/>
          <w:szCs w:val="20"/>
          <w:color w:val="auto"/>
        </w:rPr>
      </w:pPr>
      <w:r>
        <w:rPr>
          <w:rFonts w:ascii="Arial" w:cs="Arial" w:eastAsia="Arial" w:hAnsi="Arial"/>
          <w:sz w:val="20"/>
          <w:szCs w:val="20"/>
          <w:color w:val="00162F"/>
        </w:rPr>
        <w:t>Item 12.</w:t>
        <w:tab/>
        <w:t>Security Ownership of Certain Beneficial Owners and Management and Related Stockholder Matters</w:t>
      </w:r>
    </w:p>
    <w:p>
      <w:pPr>
        <w:spacing w:after="0" w:line="28" w:lineRule="exact"/>
        <w:rPr>
          <w:sz w:val="20"/>
          <w:szCs w:val="20"/>
          <w:color w:val="auto"/>
        </w:rPr>
      </w:pPr>
    </w:p>
    <w:p>
      <w:pPr>
        <w:ind w:right="1620"/>
        <w:spacing w:after="0" w:line="344" w:lineRule="auto"/>
        <w:rPr>
          <w:sz w:val="20"/>
          <w:szCs w:val="20"/>
          <w:color w:val="auto"/>
        </w:rPr>
      </w:pPr>
      <w:r>
        <w:rPr>
          <w:rFonts w:ascii="Arial" w:cs="Arial" w:eastAsia="Arial" w:hAnsi="Arial"/>
          <w:sz w:val="20"/>
          <w:szCs w:val="20"/>
          <w:color w:val="00162F"/>
        </w:rPr>
        <w:t>Item 13. Certain Relationships and Related Transactions, and Director Independence Item 14. Principal Accountant Fees and Services</w:t>
      </w:r>
    </w:p>
    <w:p>
      <w:pPr>
        <w:spacing w:after="0" w:line="231"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00162F"/>
        </w:rPr>
        <w:t>PART IV</w:t>
      </w:r>
    </w:p>
    <w:p>
      <w:pPr>
        <w:spacing w:after="0" w:line="68"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15.</w:t>
      </w:r>
      <w:r>
        <w:rPr>
          <w:sz w:val="20"/>
          <w:szCs w:val="20"/>
          <w:color w:val="auto"/>
        </w:rPr>
        <w:tab/>
      </w:r>
      <w:r>
        <w:rPr>
          <w:rFonts w:ascii="Arial" w:cs="Arial" w:eastAsia="Arial" w:hAnsi="Arial"/>
          <w:sz w:val="19"/>
          <w:szCs w:val="19"/>
          <w:color w:val="00162F"/>
        </w:rPr>
        <w:t>Exhibits and Financial Statement Schedules</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00162F"/>
        </w:rPr>
        <w:t>Item 16.</w:t>
      </w:r>
      <w:r>
        <w:rPr>
          <w:sz w:val="20"/>
          <w:szCs w:val="20"/>
          <w:color w:val="auto"/>
        </w:rPr>
        <w:tab/>
      </w:r>
      <w:r>
        <w:rPr>
          <w:rFonts w:ascii="Arial" w:cs="Arial" w:eastAsia="Arial" w:hAnsi="Arial"/>
          <w:sz w:val="19"/>
          <w:szCs w:val="19"/>
          <w:color w:val="00162F"/>
        </w:rPr>
        <w:t>Form 10-K Summary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00162F"/>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162F"/>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-152400</wp:posOffset>
                </wp:positionH>
                <wp:positionV relativeFrom="paragraph">
                  <wp:posOffset>24130</wp:posOffset>
                </wp:positionV>
                <wp:extent cx="53657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4763"/>
                        </a:xfrm>
                        <a:prstGeom prst="line">
                          <a:avLst/>
                        </a:prstGeom>
                        <a:solidFill>
                          <a:srgbClr val="FFFFFF"/>
                        </a:solidFill>
                        <a:ln w="12700">
                          <a:solidFill>
                            <a:srgbClr val="00162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9pt" to="30.25pt,1.9pt" o:allowincell="f" strokecolor="#00162F" strokeweight="1pt"/>
            </w:pict>
          </mc:Fallback>
        </mc:AlternateConten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22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50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50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52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54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55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58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62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79</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81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126</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170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170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174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174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174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174</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174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174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174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175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201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00162F"/>
        </w:rPr>
        <w:t>202</w:t>
      </w:r>
    </w:p>
    <w:p>
      <w:pPr>
        <w:spacing w:after="0" w:line="200" w:lineRule="exact"/>
        <w:rPr>
          <w:sz w:val="20"/>
          <w:szCs w:val="20"/>
          <w:color w:val="auto"/>
        </w:rPr>
      </w:pPr>
    </w:p>
    <w:p>
      <w:pPr>
        <w:sectPr>
          <w:pgSz w:w="11880" w:h="15480" w:orient="portrait"/>
          <w:cols w:equalWidth="0" w:num="2">
            <w:col w:w="9320" w:space="720"/>
            <w:col w:w="560"/>
          </w:cols>
          <w:pgMar w:left="640" w:top="992"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00162F"/>
        </w:rPr>
        <w:t>4</w:t>
      </w:r>
    </w:p>
    <w:p>
      <w:pPr>
        <w:sectPr>
          <w:pgSz w:w="11880" w:h="15480" w:orient="portrait"/>
          <w:cols w:equalWidth="0" w:num="1">
            <w:col w:w="10600"/>
          </w:cols>
          <w:pgMar w:left="640" w:top="992" w:right="640" w:bottom="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00162F"/>
        </w:rPr>
        <w:t>General</w:t>
      </w:r>
    </w:p>
    <w:p>
      <w:pPr>
        <w:spacing w:after="0" w:line="97"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This report is filed by American Airlines Group Inc. (AAG) and its wholly-owned subsidiary American Airlines, Inc. (American). References in this Annual Report on Form 10-K to “we,” “us,” “our,” the “Company” and similar terms refer to AAG and its consolidated subsidiaries. References in this report to “mainline” refer to the operations of American only and exclude regional operations.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Note Concerning Forward-Looking Statements</w:t>
      </w:r>
    </w:p>
    <w:p>
      <w:pPr>
        <w:spacing w:after="0" w:line="97" w:lineRule="exact"/>
        <w:rPr>
          <w:sz w:val="20"/>
          <w:szCs w:val="20"/>
          <w:color w:val="auto"/>
        </w:rPr>
      </w:pPr>
    </w:p>
    <w:p>
      <w:pPr>
        <w:jc w:val="both"/>
        <w:ind w:firstLine="223"/>
        <w:spacing w:after="0" w:line="250" w:lineRule="auto"/>
        <w:rPr>
          <w:sz w:val="20"/>
          <w:szCs w:val="20"/>
          <w:color w:val="auto"/>
        </w:rPr>
      </w:pPr>
      <w:r>
        <w:rPr>
          <w:rFonts w:ascii="Arial" w:cs="Arial" w:eastAsia="Arial" w:hAnsi="Arial"/>
          <w:sz w:val="20"/>
          <w:szCs w:val="20"/>
          <w:color w:val="00162F"/>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1A. Risk Factors, Part II, Item 7. Management’s Discussion and Analysis of Financial Condition and Results of Operations and other risks and uncertainties listed from time to time in our filings with the Securities and Exchange Commission (the SEC).</w:t>
      </w:r>
    </w:p>
    <w:p>
      <w:pPr>
        <w:spacing w:after="0" w:line="152" w:lineRule="exact"/>
        <w:rPr>
          <w:sz w:val="20"/>
          <w:szCs w:val="20"/>
          <w:color w:val="auto"/>
        </w:rPr>
      </w:pPr>
    </w:p>
    <w:p>
      <w:pPr>
        <w:jc w:val="both"/>
        <w:ind w:firstLine="223"/>
        <w:spacing w:after="0" w:line="253" w:lineRule="auto"/>
        <w:rPr>
          <w:sz w:val="20"/>
          <w:szCs w:val="20"/>
          <w:color w:val="auto"/>
        </w:rPr>
      </w:pPr>
      <w:r>
        <w:rPr>
          <w:rFonts w:ascii="Arial" w:cs="Arial" w:eastAsia="Arial" w:hAnsi="Arial"/>
          <w:sz w:val="20"/>
          <w:szCs w:val="20"/>
          <w:color w:val="00162F"/>
        </w:rPr>
        <w:t>All of the forward-looking statements are qualified in their entirety by reference to the factors discussed in Part 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00162F"/>
        </w:rPr>
        <w:t>5</w:t>
      </w:r>
    </w:p>
    <w:p>
      <w:pPr>
        <w:sectPr>
          <w:pgSz w:w="11880" w:h="15480" w:orient="portrait"/>
          <w:cols w:equalWidth="0" w:num="1">
            <w:col w:w="10680"/>
          </w:cols>
          <w:pgMar w:left="600" w:top="992" w:right="600" w:bottom="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00162F"/>
        </w:rPr>
        <w:t>Summary of Risk Factors</w:t>
      </w:r>
    </w:p>
    <w:p>
      <w:pPr>
        <w:spacing w:after="0" w:line="97"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 Item 1A. Risk Factors. These risks include, among others, the following:</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Risks Related to our Business and Industry</w:t>
      </w:r>
    </w:p>
    <w:p>
      <w:pPr>
        <w:spacing w:after="0" w:line="200" w:lineRule="exact"/>
        <w:rPr>
          <w:sz w:val="20"/>
          <w:szCs w:val="20"/>
          <w:color w:val="auto"/>
        </w:rPr>
      </w:pPr>
    </w:p>
    <w:p>
      <w:pPr>
        <w:ind w:left="700" w:hanging="349"/>
        <w:spacing w:after="0"/>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Downturns in economic conditions could adversely affect our business.</w:t>
      </w:r>
    </w:p>
    <w:p>
      <w:pPr>
        <w:spacing w:after="0" w:line="187" w:lineRule="exact"/>
        <w:rPr>
          <w:rFonts w:ascii="Arial" w:cs="Arial" w:eastAsia="Arial" w:hAnsi="Arial"/>
          <w:sz w:val="24"/>
          <w:szCs w:val="24"/>
          <w:color w:val="00162F"/>
        </w:rPr>
      </w:pPr>
    </w:p>
    <w:p>
      <w:pPr>
        <w:ind w:left="700" w:hanging="349"/>
        <w:spacing w:after="0"/>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We will need to obtain sufficient financing or other capital to operate successfully.</w:t>
      </w:r>
    </w:p>
    <w:p>
      <w:pPr>
        <w:spacing w:after="0" w:line="200" w:lineRule="exact"/>
        <w:rPr>
          <w:rFonts w:ascii="Arial" w:cs="Arial" w:eastAsia="Arial" w:hAnsi="Arial"/>
          <w:sz w:val="24"/>
          <w:szCs w:val="24"/>
          <w:color w:val="00162F"/>
        </w:rPr>
      </w:pPr>
    </w:p>
    <w:p>
      <w:pPr>
        <w:jc w:val="both"/>
        <w:ind w:left="700" w:hanging="349"/>
        <w:spacing w:after="0" w:line="286" w:lineRule="auto"/>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156" w:lineRule="exact"/>
        <w:rPr>
          <w:rFonts w:ascii="Arial" w:cs="Arial" w:eastAsia="Arial" w:hAnsi="Arial"/>
          <w:sz w:val="24"/>
          <w:szCs w:val="24"/>
          <w:color w:val="00162F"/>
        </w:rPr>
      </w:pPr>
    </w:p>
    <w:p>
      <w:pPr>
        <w:ind w:left="700" w:hanging="349"/>
        <w:spacing w:after="0" w:line="284" w:lineRule="auto"/>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If our financial condition worsens, provisions in our credit card processing and other commercial agreements may adversely affect our liquidity.</w:t>
      </w:r>
    </w:p>
    <w:p>
      <w:pPr>
        <w:spacing w:after="0" w:line="149" w:lineRule="exact"/>
        <w:rPr>
          <w:rFonts w:ascii="Arial" w:cs="Arial" w:eastAsia="Arial" w:hAnsi="Arial"/>
          <w:sz w:val="24"/>
          <w:szCs w:val="24"/>
          <w:color w:val="00162F"/>
        </w:rPr>
      </w:pPr>
    </w:p>
    <w:p>
      <w:pPr>
        <w:ind w:left="700" w:hanging="349"/>
        <w:spacing w:after="0" w:line="284" w:lineRule="auto"/>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The loss of key personnel whom we depend on to operate our business, or the inability to attract, develop and retain additional qualified personnel could adversely affect our business.</w:t>
      </w:r>
    </w:p>
    <w:p>
      <w:pPr>
        <w:spacing w:after="0" w:line="149" w:lineRule="exact"/>
        <w:rPr>
          <w:rFonts w:ascii="Arial" w:cs="Arial" w:eastAsia="Arial" w:hAnsi="Arial"/>
          <w:sz w:val="24"/>
          <w:szCs w:val="24"/>
          <w:color w:val="00162F"/>
        </w:rPr>
      </w:pPr>
    </w:p>
    <w:p>
      <w:pPr>
        <w:jc w:val="both"/>
        <w:ind w:left="700" w:hanging="349"/>
        <w:spacing w:after="0" w:line="311" w:lineRule="auto"/>
        <w:tabs>
          <w:tab w:leader="none" w:pos="700" w:val="left"/>
        </w:tabs>
        <w:numPr>
          <w:ilvl w:val="0"/>
          <w:numId w:val="4"/>
        </w:numPr>
        <w:rPr>
          <w:rFonts w:ascii="Arial" w:cs="Arial" w:eastAsia="Arial" w:hAnsi="Arial"/>
          <w:sz w:val="23"/>
          <w:szCs w:val="23"/>
          <w:color w:val="00162F"/>
        </w:rPr>
      </w:pPr>
      <w:r>
        <w:rPr>
          <w:rFonts w:ascii="Arial" w:cs="Arial" w:eastAsia="Arial" w:hAnsi="Arial"/>
          <w:sz w:val="19"/>
          <w:szCs w:val="19"/>
          <w:color w:val="00162F"/>
        </w:rPr>
        <w:t>Our business has been and will continue to be materially affected by many changing economic, geopolitical, commercial, regulatory and other conditions beyond our control, including global events that affect travel behavior.</w:t>
      </w:r>
    </w:p>
    <w:p>
      <w:pPr>
        <w:spacing w:after="0" w:line="109" w:lineRule="exact"/>
        <w:rPr>
          <w:rFonts w:ascii="Arial" w:cs="Arial" w:eastAsia="Arial" w:hAnsi="Arial"/>
          <w:sz w:val="23"/>
          <w:szCs w:val="23"/>
          <w:color w:val="00162F"/>
        </w:rPr>
      </w:pPr>
    </w:p>
    <w:p>
      <w:pPr>
        <w:ind w:left="700" w:hanging="349"/>
        <w:spacing w:after="0"/>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The airline industry is intensely competitive and dynamic.</w:t>
      </w:r>
    </w:p>
    <w:p>
      <w:pPr>
        <w:spacing w:after="0" w:line="200" w:lineRule="exact"/>
        <w:rPr>
          <w:rFonts w:ascii="Arial" w:cs="Arial" w:eastAsia="Arial" w:hAnsi="Arial"/>
          <w:sz w:val="24"/>
          <w:szCs w:val="24"/>
          <w:color w:val="00162F"/>
        </w:rPr>
      </w:pPr>
    </w:p>
    <w:p>
      <w:pPr>
        <w:ind w:left="700" w:hanging="349"/>
        <w:spacing w:after="0" w:line="284" w:lineRule="auto"/>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Union disputes, employee strikes and other labor-related disruptions may adversely affect our operations and financial performance.</w:t>
      </w:r>
    </w:p>
    <w:p>
      <w:pPr>
        <w:spacing w:after="0" w:line="149" w:lineRule="exact"/>
        <w:rPr>
          <w:rFonts w:ascii="Arial" w:cs="Arial" w:eastAsia="Arial" w:hAnsi="Arial"/>
          <w:sz w:val="24"/>
          <w:szCs w:val="24"/>
          <w:color w:val="00162F"/>
        </w:rPr>
      </w:pPr>
    </w:p>
    <w:p>
      <w:pPr>
        <w:jc w:val="both"/>
        <w:ind w:left="700" w:hanging="349"/>
        <w:spacing w:after="0" w:line="286" w:lineRule="auto"/>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If we encounter problems with any of our third-party regional operators or third-party service providers, our operations could be adversely affected by a resulting decline in revenue or negative public perception about our services.</w:t>
      </w:r>
    </w:p>
    <w:p>
      <w:pPr>
        <w:spacing w:after="0" w:line="143" w:lineRule="exact"/>
        <w:rPr>
          <w:rFonts w:ascii="Arial" w:cs="Arial" w:eastAsia="Arial" w:hAnsi="Arial"/>
          <w:sz w:val="24"/>
          <w:szCs w:val="24"/>
          <w:color w:val="00162F"/>
        </w:rPr>
      </w:pPr>
    </w:p>
    <w:p>
      <w:pPr>
        <w:ind w:left="700" w:hanging="349"/>
        <w:spacing w:after="0"/>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Any damage to our reputation or brand image could adversely affect our business or financial results.</w:t>
      </w:r>
    </w:p>
    <w:p>
      <w:pPr>
        <w:spacing w:after="0" w:line="187" w:lineRule="exact"/>
        <w:rPr>
          <w:rFonts w:ascii="Arial" w:cs="Arial" w:eastAsia="Arial" w:hAnsi="Arial"/>
          <w:sz w:val="24"/>
          <w:szCs w:val="24"/>
          <w:color w:val="00162F"/>
        </w:rPr>
      </w:pPr>
    </w:p>
    <w:p>
      <w:pPr>
        <w:ind w:left="700" w:hanging="349"/>
        <w:spacing w:after="0"/>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Risks of losses and adverse publicity from any public incidents involving our company, people or brand.</w:t>
      </w:r>
    </w:p>
    <w:p>
      <w:pPr>
        <w:spacing w:after="0" w:line="200" w:lineRule="exact"/>
        <w:rPr>
          <w:rFonts w:ascii="Arial" w:cs="Arial" w:eastAsia="Arial" w:hAnsi="Arial"/>
          <w:sz w:val="24"/>
          <w:szCs w:val="24"/>
          <w:color w:val="00162F"/>
        </w:rPr>
      </w:pPr>
    </w:p>
    <w:p>
      <w:pPr>
        <w:ind w:left="700" w:hanging="349"/>
        <w:spacing w:after="0" w:line="284" w:lineRule="auto"/>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Changes to our business model that are designed to increase revenues and reduce costs may not be successful and may cause operational difficulties or decreased demand.</w:t>
      </w:r>
    </w:p>
    <w:p>
      <w:pPr>
        <w:spacing w:after="0" w:line="149" w:lineRule="exact"/>
        <w:rPr>
          <w:rFonts w:ascii="Arial" w:cs="Arial" w:eastAsia="Arial" w:hAnsi="Arial"/>
          <w:sz w:val="24"/>
          <w:szCs w:val="24"/>
          <w:color w:val="00162F"/>
        </w:rPr>
      </w:pPr>
    </w:p>
    <w:p>
      <w:pPr>
        <w:ind w:left="700" w:hanging="349"/>
        <w:spacing w:after="0" w:line="284" w:lineRule="auto"/>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Our intellectual property rights, particularly our branding rights, are valuable, and any inability to protect them may adversely affect our business and financial results.</w:t>
      </w:r>
    </w:p>
    <w:p>
      <w:pPr>
        <w:spacing w:after="0" w:line="149" w:lineRule="exact"/>
        <w:rPr>
          <w:rFonts w:ascii="Arial" w:cs="Arial" w:eastAsia="Arial" w:hAnsi="Arial"/>
          <w:sz w:val="24"/>
          <w:szCs w:val="24"/>
          <w:color w:val="00162F"/>
        </w:rPr>
      </w:pPr>
    </w:p>
    <w:p>
      <w:pPr>
        <w:ind w:left="700" w:hanging="349"/>
        <w:spacing w:after="0" w:line="284" w:lineRule="auto"/>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We may be a party to litigation in the normal course of business or otherwise, which could affect our financial position and liquidity.</w:t>
      </w:r>
    </w:p>
    <w:p>
      <w:pPr>
        <w:spacing w:after="0" w:line="149" w:lineRule="exact"/>
        <w:rPr>
          <w:rFonts w:ascii="Arial" w:cs="Arial" w:eastAsia="Arial" w:hAnsi="Arial"/>
          <w:sz w:val="24"/>
          <w:szCs w:val="24"/>
          <w:color w:val="00162F"/>
        </w:rPr>
      </w:pPr>
    </w:p>
    <w:p>
      <w:pPr>
        <w:ind w:left="700" w:hanging="349"/>
        <w:spacing w:after="0" w:line="284" w:lineRule="auto"/>
        <w:tabs>
          <w:tab w:leader="none" w:pos="700" w:val="left"/>
        </w:tabs>
        <w:numPr>
          <w:ilvl w:val="0"/>
          <w:numId w:val="4"/>
        </w:numPr>
        <w:rPr>
          <w:rFonts w:ascii="Arial" w:cs="Arial" w:eastAsia="Arial" w:hAnsi="Arial"/>
          <w:sz w:val="24"/>
          <w:szCs w:val="24"/>
          <w:color w:val="00162F"/>
        </w:rPr>
      </w:pPr>
      <w:r>
        <w:rPr>
          <w:rFonts w:ascii="Arial" w:cs="Arial" w:eastAsia="Arial" w:hAnsi="Arial"/>
          <w:sz w:val="20"/>
          <w:szCs w:val="20"/>
          <w:color w:val="00162F"/>
        </w:rPr>
        <w:t>We rely heavily on technology and automated systems, including artificial intelligence (AI), to operate our business, and any failures could harm our business, results of operations and financial condition.</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00162F"/>
        </w:rPr>
        <w:t>6</w:t>
      </w:r>
    </w:p>
    <w:p>
      <w:pPr>
        <w:sectPr>
          <w:pgSz w:w="11880" w:h="15480" w:orient="portrait"/>
          <w:cols w:equalWidth="0" w:num="1">
            <w:col w:w="10680"/>
          </w:cols>
          <w:pgMar w:left="600" w:top="992" w:right="600" w:bottom="0" w:gutter="0" w:footer="0" w:header="0"/>
          <w:type w:val="continuous"/>
        </w:sectPr>
      </w:pPr>
    </w:p>
    <w:bookmarkStart w:id="7" w:name="page8"/>
    <w:bookmarkEnd w:id="7"/>
    <w:p>
      <w:pPr>
        <w:jc w:val="both"/>
        <w:ind w:left="349" w:hanging="349"/>
        <w:spacing w:after="0" w:line="286"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Evolving data privacy requirements could increase our costs, and any significant cybersecurity incident could disrupt our operations, harm our reputation, expose us to legal risks and otherwise materially adversely affect our business, results of operations and financial condition.</w:t>
      </w:r>
    </w:p>
    <w:p>
      <w:pPr>
        <w:spacing w:after="0" w:line="156" w:lineRule="exact"/>
        <w:rPr>
          <w:rFonts w:ascii="Arial" w:cs="Arial" w:eastAsia="Arial" w:hAnsi="Arial"/>
          <w:sz w:val="24"/>
          <w:szCs w:val="24"/>
          <w:color w:val="00162F"/>
        </w:rPr>
      </w:pPr>
    </w:p>
    <w:p>
      <w:pPr>
        <w:ind w:left="349" w:hanging="349"/>
        <w:spacing w:after="0" w:line="284"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We are exposed to risks from cyberattacks, and any cybersecurity incidents involving us, our third-party service providers, or one of our AAdvantage partners or other business partners.</w:t>
      </w:r>
    </w:p>
    <w:p>
      <w:pPr>
        <w:spacing w:after="0" w:line="149" w:lineRule="exact"/>
        <w:rPr>
          <w:rFonts w:ascii="Arial" w:cs="Arial" w:eastAsia="Arial" w:hAnsi="Arial"/>
          <w:sz w:val="24"/>
          <w:szCs w:val="24"/>
          <w:color w:val="00162F"/>
        </w:rPr>
      </w:pPr>
    </w:p>
    <w:p>
      <w:pPr>
        <w:ind w:left="349" w:hanging="349"/>
        <w:spacing w:after="0" w:line="284"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We have a significant amount of goodwill, which is assessed for impairment at least annually. We may never realize the full value of our intangible or long-lived assets, causing us to record material impairment charges.</w:t>
      </w:r>
    </w:p>
    <w:p>
      <w:pPr>
        <w:spacing w:after="0" w:line="149" w:lineRule="exact"/>
        <w:rPr>
          <w:rFonts w:ascii="Arial" w:cs="Arial" w:eastAsia="Arial" w:hAnsi="Arial"/>
          <w:sz w:val="24"/>
          <w:szCs w:val="24"/>
          <w:color w:val="00162F"/>
        </w:rPr>
      </w:pPr>
    </w:p>
    <w:p>
      <w:pPr>
        <w:ind w:left="349" w:hanging="349"/>
        <w:spacing w:after="0" w:line="284"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The commercial relationships that we have with other companies, including any related equity investments, may not produce the returns or results we expect.</w:t>
      </w:r>
    </w:p>
    <w:p>
      <w:pPr>
        <w:spacing w:after="0" w:line="149" w:lineRule="exact"/>
        <w:rPr>
          <w:rFonts w:ascii="Arial" w:cs="Arial" w:eastAsia="Arial" w:hAnsi="Arial"/>
          <w:sz w:val="24"/>
          <w:szCs w:val="24"/>
          <w:color w:val="00162F"/>
        </w:rPr>
      </w:pPr>
    </w:p>
    <w:p>
      <w:pPr>
        <w:jc w:val="both"/>
        <w:ind w:left="349" w:hanging="349"/>
        <w:spacing w:after="0" w:line="286"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143" w:lineRule="exact"/>
        <w:rPr>
          <w:rFonts w:ascii="Arial" w:cs="Arial" w:eastAsia="Arial" w:hAnsi="Arial"/>
          <w:sz w:val="24"/>
          <w:szCs w:val="24"/>
          <w:color w:val="00162F"/>
        </w:rPr>
      </w:pPr>
    </w:p>
    <w:p>
      <w:pPr>
        <w:ind w:left="349" w:hanging="349"/>
        <w:spacing w:after="0"/>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Our business is subject to extensive government regulation.</w:t>
      </w:r>
    </w:p>
    <w:p>
      <w:pPr>
        <w:spacing w:after="0" w:line="187" w:lineRule="exact"/>
        <w:rPr>
          <w:rFonts w:ascii="Arial" w:cs="Arial" w:eastAsia="Arial" w:hAnsi="Arial"/>
          <w:sz w:val="24"/>
          <w:szCs w:val="24"/>
          <w:color w:val="00162F"/>
        </w:rPr>
      </w:pPr>
    </w:p>
    <w:p>
      <w:pPr>
        <w:ind w:left="349" w:hanging="349"/>
        <w:spacing w:after="0"/>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We can be adversely affected by any prolonged U.S. Government shutdown.</w:t>
      </w:r>
    </w:p>
    <w:p>
      <w:pPr>
        <w:spacing w:after="0" w:line="200" w:lineRule="exact"/>
        <w:rPr>
          <w:rFonts w:ascii="Arial" w:cs="Arial" w:eastAsia="Arial" w:hAnsi="Arial"/>
          <w:sz w:val="24"/>
          <w:szCs w:val="24"/>
          <w:color w:val="00162F"/>
        </w:rPr>
      </w:pPr>
    </w:p>
    <w:p>
      <w:pPr>
        <w:jc w:val="both"/>
        <w:ind w:left="349" w:hanging="349"/>
        <w:spacing w:after="0" w:line="286"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56" w:lineRule="exact"/>
        <w:rPr>
          <w:rFonts w:ascii="Arial" w:cs="Arial" w:eastAsia="Arial" w:hAnsi="Arial"/>
          <w:sz w:val="24"/>
          <w:szCs w:val="24"/>
          <w:color w:val="00162F"/>
        </w:rPr>
      </w:pPr>
    </w:p>
    <w:p>
      <w:pPr>
        <w:ind w:left="349" w:hanging="349"/>
        <w:spacing w:after="0" w:line="284"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We may be adversely affected by conflicts overseas, terrorist attacks or other acts of violence, domestically or abroad; the travel industry continues to face ongoing security concerns.</w:t>
      </w:r>
    </w:p>
    <w:p>
      <w:pPr>
        <w:spacing w:after="0" w:line="149" w:lineRule="exact"/>
        <w:rPr>
          <w:rFonts w:ascii="Arial" w:cs="Arial" w:eastAsia="Arial" w:hAnsi="Arial"/>
          <w:sz w:val="24"/>
          <w:szCs w:val="24"/>
          <w:color w:val="00162F"/>
        </w:rPr>
      </w:pPr>
    </w:p>
    <w:p>
      <w:pPr>
        <w:jc w:val="both"/>
        <w:ind w:left="349" w:hanging="349"/>
        <w:spacing w:after="0" w:line="286"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We are subject to risks associated with climate change, including increased regulation of our greenhouse gas (GHG) emissions, changing consumer preferences and the potential for increased impacts of severe weather events on our operations and infrastructure.</w:t>
      </w:r>
    </w:p>
    <w:p>
      <w:pPr>
        <w:spacing w:after="0" w:line="156" w:lineRule="exact"/>
        <w:rPr>
          <w:rFonts w:ascii="Arial" w:cs="Arial" w:eastAsia="Arial" w:hAnsi="Arial"/>
          <w:sz w:val="24"/>
          <w:szCs w:val="24"/>
          <w:color w:val="00162F"/>
        </w:rPr>
      </w:pPr>
    </w:p>
    <w:p>
      <w:pPr>
        <w:ind w:left="349" w:hanging="349"/>
        <w:spacing w:after="0" w:line="284"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We are subject to various risks associated with environmental and social matters, and many forms of environmental and noise regulation.</w:t>
      </w:r>
    </w:p>
    <w:p>
      <w:pPr>
        <w:spacing w:after="0" w:line="136" w:lineRule="exact"/>
        <w:rPr>
          <w:rFonts w:ascii="Arial" w:cs="Arial" w:eastAsia="Arial" w:hAnsi="Arial"/>
          <w:sz w:val="24"/>
          <w:szCs w:val="24"/>
          <w:color w:val="00162F"/>
        </w:rPr>
      </w:pPr>
    </w:p>
    <w:p>
      <w:pPr>
        <w:ind w:left="349" w:hanging="349"/>
        <w:spacing w:after="0"/>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A shortage of pilots or other personnel could materially adversely affect our business.</w:t>
      </w:r>
    </w:p>
    <w:p>
      <w:pPr>
        <w:spacing w:after="0" w:line="200" w:lineRule="exact"/>
        <w:rPr>
          <w:rFonts w:ascii="Arial" w:cs="Arial" w:eastAsia="Arial" w:hAnsi="Arial"/>
          <w:sz w:val="24"/>
          <w:szCs w:val="24"/>
          <w:color w:val="00162F"/>
        </w:rPr>
      </w:pPr>
    </w:p>
    <w:p>
      <w:pPr>
        <w:jc w:val="both"/>
        <w:ind w:left="349" w:hanging="349"/>
        <w:spacing w:after="0" w:line="289"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w:t>
      </w:r>
    </w:p>
    <w:p>
      <w:pPr>
        <w:spacing w:after="0" w:line="155" w:lineRule="exact"/>
        <w:rPr>
          <w:rFonts w:ascii="Arial" w:cs="Arial" w:eastAsia="Arial" w:hAnsi="Arial"/>
          <w:sz w:val="24"/>
          <w:szCs w:val="24"/>
          <w:color w:val="00162F"/>
        </w:rPr>
      </w:pPr>
    </w:p>
    <w:p>
      <w:pPr>
        <w:ind w:left="349" w:hanging="349"/>
        <w:spacing w:after="0" w:line="284"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We rely on third-party distribution channels and must effectively manage the costs, rights and functionality of these channels.</w:t>
      </w:r>
    </w:p>
    <w:p>
      <w:pPr>
        <w:spacing w:after="0" w:line="149" w:lineRule="exact"/>
        <w:rPr>
          <w:rFonts w:ascii="Arial" w:cs="Arial" w:eastAsia="Arial" w:hAnsi="Arial"/>
          <w:sz w:val="24"/>
          <w:szCs w:val="24"/>
          <w:color w:val="00162F"/>
        </w:rPr>
      </w:pPr>
    </w:p>
    <w:p>
      <w:pPr>
        <w:jc w:val="both"/>
        <w:ind w:left="349" w:hanging="349"/>
        <w:spacing w:after="0" w:line="286" w:lineRule="auto"/>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If we are unable to obtain and maintain adequate facilities and infrastructure throughout our system and, at some airports, adequate slots, we may be unable to operate our existing flight schedule and to expand or change our route network in the future.</w:t>
      </w:r>
    </w:p>
    <w:p>
      <w:pPr>
        <w:spacing w:after="0" w:line="143" w:lineRule="exact"/>
        <w:rPr>
          <w:rFonts w:ascii="Arial" w:cs="Arial" w:eastAsia="Arial" w:hAnsi="Arial"/>
          <w:sz w:val="24"/>
          <w:szCs w:val="24"/>
          <w:color w:val="00162F"/>
        </w:rPr>
      </w:pPr>
    </w:p>
    <w:p>
      <w:pPr>
        <w:ind w:left="349" w:hanging="349"/>
        <w:spacing w:after="0"/>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Interruptions or disruptions in service at one of our key facilities.</w:t>
      </w:r>
    </w:p>
    <w:p>
      <w:pPr>
        <w:spacing w:after="0" w:line="187" w:lineRule="exact"/>
        <w:rPr>
          <w:rFonts w:ascii="Arial" w:cs="Arial" w:eastAsia="Arial" w:hAnsi="Arial"/>
          <w:sz w:val="24"/>
          <w:szCs w:val="24"/>
          <w:color w:val="00162F"/>
        </w:rPr>
      </w:pPr>
    </w:p>
    <w:p>
      <w:pPr>
        <w:ind w:left="349" w:hanging="349"/>
        <w:spacing w:after="0"/>
        <w:tabs>
          <w:tab w:leader="none" w:pos="349" w:val="left"/>
        </w:tabs>
        <w:numPr>
          <w:ilvl w:val="0"/>
          <w:numId w:val="5"/>
        </w:numPr>
        <w:rPr>
          <w:rFonts w:ascii="Arial" w:cs="Arial" w:eastAsia="Arial" w:hAnsi="Arial"/>
          <w:sz w:val="24"/>
          <w:szCs w:val="24"/>
          <w:color w:val="00162F"/>
        </w:rPr>
      </w:pPr>
      <w:r>
        <w:rPr>
          <w:rFonts w:ascii="Arial" w:cs="Arial" w:eastAsia="Arial" w:hAnsi="Arial"/>
          <w:sz w:val="20"/>
          <w:szCs w:val="20"/>
          <w:color w:val="00162F"/>
        </w:rPr>
        <w:t>Increases in insurance costs or reductions in insurance coverage, and heavy taxation of the airline industry.</w:t>
      </w:r>
    </w:p>
    <w:p>
      <w:pPr>
        <w:sectPr>
          <w:pgSz w:w="11880" w:h="15480" w:orient="portrait"/>
          <w:cols w:equalWidth="0" w:num="1">
            <w:col w:w="10329"/>
          </w:cols>
          <w:pgMar w:left="951" w:top="1021"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1"/>
        <w:spacing w:after="0"/>
        <w:rPr>
          <w:sz w:val="20"/>
          <w:szCs w:val="20"/>
          <w:color w:val="auto"/>
        </w:rPr>
      </w:pPr>
      <w:r>
        <w:rPr>
          <w:rFonts w:ascii="Arial" w:cs="Arial" w:eastAsia="Arial" w:hAnsi="Arial"/>
          <w:sz w:val="20"/>
          <w:szCs w:val="20"/>
          <w:color w:val="00162F"/>
        </w:rPr>
        <w:t>7</w:t>
      </w:r>
    </w:p>
    <w:p>
      <w:pPr>
        <w:sectPr>
          <w:pgSz w:w="11880" w:h="15480" w:orient="portrait"/>
          <w:cols w:equalWidth="0" w:num="1">
            <w:col w:w="10329"/>
          </w:cols>
          <w:pgMar w:left="951" w:top="1021" w:right="600" w:bottom="0" w:gutter="0" w:footer="0" w:header="0"/>
          <w:type w:val="continuous"/>
        </w:sectPr>
      </w:pPr>
    </w:p>
    <w:bookmarkStart w:id="8" w:name="page9"/>
    <w:bookmarkEnd w:id="8"/>
    <w:p>
      <w:pPr>
        <w:jc w:val="center"/>
        <w:ind w:right="35"/>
        <w:spacing w:after="0"/>
        <w:rPr>
          <w:sz w:val="20"/>
          <w:szCs w:val="20"/>
          <w:color w:val="auto"/>
        </w:rPr>
      </w:pPr>
      <w:r>
        <w:rPr>
          <w:rFonts w:ascii="Arial" w:cs="Arial" w:eastAsia="Arial" w:hAnsi="Arial"/>
          <w:sz w:val="20"/>
          <w:szCs w:val="20"/>
          <w:b w:val="1"/>
          <w:bCs w:val="1"/>
          <w:color w:val="00162F"/>
        </w:rPr>
        <w:t>PART I</w:t>
      </w:r>
    </w:p>
    <w:p>
      <w:pPr>
        <w:spacing w:after="0" w:line="275"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ITEM 1. BUSINESS</w:t>
      </w:r>
    </w:p>
    <w:p>
      <w:pPr>
        <w:spacing w:after="0" w:line="97"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Overview</w:t>
      </w:r>
    </w:p>
    <w:p>
      <w:pPr>
        <w:spacing w:after="0" w:line="97" w:lineRule="exact"/>
        <w:rPr>
          <w:sz w:val="20"/>
          <w:szCs w:val="20"/>
          <w:color w:val="auto"/>
        </w:rPr>
      </w:pPr>
    </w:p>
    <w:p>
      <w:pPr>
        <w:jc w:val="both"/>
        <w:ind w:left="5" w:firstLine="223"/>
        <w:spacing w:after="0" w:line="256" w:lineRule="auto"/>
        <w:rPr>
          <w:sz w:val="20"/>
          <w:szCs w:val="20"/>
          <w:color w:val="auto"/>
        </w:rPr>
      </w:pPr>
      <w:r>
        <w:rPr>
          <w:rFonts w:ascii="Arial" w:cs="Arial" w:eastAsia="Arial" w:hAnsi="Arial"/>
          <w:sz w:val="20"/>
          <w:szCs w:val="20"/>
          <w:color w:val="00162F"/>
        </w:rPr>
        <w:t>American Airlines Group Inc. (AAG), a Delaware corporation, is a holding company and its principal, wholly-owned subsidiaries are American Airlines, Inc. (American), Envoy Aviation Group Inc., PSA Airlines, Inc. (PSA) and Piedmont Airlines, Inc. (Piedmont). AAG was formed in 1982, under the name AMR Corporation (AMR), as the parent company of American, which was founded in 1934, with roots tracing back to an air mail carrier in the Midwestern United States in 1926.</w:t>
      </w:r>
    </w:p>
    <w:p>
      <w:pPr>
        <w:spacing w:after="0" w:line="139" w:lineRule="exact"/>
        <w:rPr>
          <w:sz w:val="20"/>
          <w:szCs w:val="20"/>
          <w:color w:val="auto"/>
        </w:rPr>
      </w:pPr>
    </w:p>
    <w:p>
      <w:pPr>
        <w:jc w:val="both"/>
        <w:ind w:left="5" w:firstLine="223"/>
        <w:spacing w:after="0" w:line="282" w:lineRule="auto"/>
        <w:rPr>
          <w:sz w:val="20"/>
          <w:szCs w:val="20"/>
          <w:color w:val="auto"/>
        </w:rPr>
      </w:pPr>
      <w:r>
        <w:rPr>
          <w:rFonts w:ascii="Arial" w:cs="Arial" w:eastAsia="Arial" w:hAnsi="Arial"/>
          <w:sz w:val="20"/>
          <w:szCs w:val="20"/>
          <w:color w:val="00162F"/>
        </w:rPr>
        <w:t>AAG’s and American’s principal executive offices are located at 1 Skyview Drive, Fort Worth, Texas 76155 and their telephone number is 682-278-9000.</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Airline Operations</w:t>
      </w:r>
    </w:p>
    <w:p>
      <w:pPr>
        <w:spacing w:after="0" w:line="97" w:lineRule="exact"/>
        <w:rPr>
          <w:sz w:val="20"/>
          <w:szCs w:val="20"/>
          <w:color w:val="auto"/>
        </w:rPr>
      </w:pPr>
    </w:p>
    <w:p>
      <w:pPr>
        <w:jc w:val="both"/>
        <w:ind w:left="5" w:firstLine="223"/>
        <w:spacing w:after="0" w:line="252" w:lineRule="auto"/>
        <w:rPr>
          <w:sz w:val="20"/>
          <w:szCs w:val="20"/>
          <w:color w:val="auto"/>
        </w:rPr>
      </w:pPr>
      <w:r>
        <w:rPr>
          <w:rFonts w:ascii="Arial" w:cs="Arial" w:eastAsia="Arial" w:hAnsi="Arial"/>
          <w:sz w:val="20"/>
          <w:szCs w:val="20"/>
          <w:color w:val="00162F"/>
        </w:rPr>
        <w:t>Together with our wholly-owned regional airline subsidiaries and third-party regional carriers operating as American Eagle, our primary business activity is the operation of a major network air carrier, providing scheduled air transportation for passengers and cargo through our hubs in Charlotte, Chicago, Dallas/Fort Worth, Los Angeles, Miami, New York, Philadelphia, Phoenix and Washington, D.C. and partner gateways, including in London, Doha, Madrid, Seattle/Tacoma, Sydney and Tokyo (among others). We provide service to over 350 destinations around the world, and in 2025, approximately 224 million passengers boarded our flights. In 2025, we launched more than 60 new routes, including to trans-Atlantic destinations such as Spain, Italy and Greece. We also announced over 20 new routes for customers to explore in 2026, including our first trans-Atlantic route to be flown by the Airbus A321XLR from New York to Edinburgh, Scotland.</w:t>
      </w:r>
    </w:p>
    <w:p>
      <w:pPr>
        <w:spacing w:after="0" w:line="143" w:lineRule="exact"/>
        <w:rPr>
          <w:sz w:val="20"/>
          <w:szCs w:val="20"/>
          <w:color w:val="auto"/>
        </w:rPr>
      </w:pPr>
    </w:p>
    <w:p>
      <w:pPr>
        <w:jc w:val="both"/>
        <w:ind w:left="5" w:firstLine="223"/>
        <w:spacing w:after="0" w:line="247" w:lineRule="auto"/>
        <w:rPr>
          <w:sz w:val="20"/>
          <w:szCs w:val="20"/>
          <w:color w:val="auto"/>
        </w:rPr>
      </w:pPr>
      <w:r>
        <w:rPr>
          <w:rFonts w:ascii="Arial" w:cs="Arial" w:eastAsia="Arial" w:hAnsi="Arial"/>
          <w:sz w:val="20"/>
          <w:szCs w:val="20"/>
          <w:color w:val="00162F"/>
        </w:rPr>
        <w:t>As of December 31, 2025, we operated 1,013 mainline aircraft supported by our wholly-owned regional airline subsidiaries and third-party regional carriers, which together operated an additional 567 regional aircraft. See Part I, Item</w:t>
      </w:r>
    </w:p>
    <w:p>
      <w:pPr>
        <w:spacing w:after="0" w:line="2" w:lineRule="exact"/>
        <w:rPr>
          <w:sz w:val="20"/>
          <w:szCs w:val="20"/>
          <w:color w:val="auto"/>
        </w:rPr>
      </w:pPr>
    </w:p>
    <w:p>
      <w:pPr>
        <w:ind w:left="5" w:hanging="5"/>
        <w:spacing w:after="0" w:line="282" w:lineRule="auto"/>
        <w:tabs>
          <w:tab w:leader="none" w:pos="233" w:val="left"/>
        </w:tabs>
        <w:numPr>
          <w:ilvl w:val="0"/>
          <w:numId w:val="6"/>
        </w:numPr>
        <w:rPr>
          <w:rFonts w:ascii="Arial" w:cs="Arial" w:eastAsia="Arial" w:hAnsi="Arial"/>
          <w:sz w:val="20"/>
          <w:szCs w:val="20"/>
          <w:color w:val="00162F"/>
        </w:rPr>
      </w:pPr>
      <w:r>
        <w:rPr>
          <w:rFonts w:ascii="Arial" w:cs="Arial" w:eastAsia="Arial" w:hAnsi="Arial"/>
          <w:sz w:val="20"/>
          <w:szCs w:val="20"/>
          <w:color w:val="00162F"/>
        </w:rPr>
        <w:t xml:space="preserve">Properties for further discussion of our mainline and regional aircraft and </w:t>
      </w:r>
      <w:r>
        <w:rPr>
          <w:rFonts w:ascii="Arial" w:cs="Arial" w:eastAsia="Arial" w:hAnsi="Arial"/>
          <w:sz w:val="20"/>
          <w:szCs w:val="20"/>
          <w:i w:val="1"/>
          <w:iCs w:val="1"/>
          <w:color w:val="00162F"/>
        </w:rPr>
        <w:t>“Regional”</w:t>
      </w:r>
      <w:r>
        <w:rPr>
          <w:rFonts w:ascii="Arial" w:cs="Arial" w:eastAsia="Arial" w:hAnsi="Arial"/>
          <w:sz w:val="20"/>
          <w:szCs w:val="20"/>
          <w:color w:val="00162F"/>
        </w:rPr>
        <w:t xml:space="preserve"> below for further discussion of our regional operations.</w:t>
      </w:r>
    </w:p>
    <w:p>
      <w:pPr>
        <w:spacing w:after="0" w:line="112" w:lineRule="exact"/>
        <w:rPr>
          <w:sz w:val="20"/>
          <w:szCs w:val="20"/>
          <w:color w:val="auto"/>
        </w:rPr>
      </w:pPr>
    </w:p>
    <w:p>
      <w:pPr>
        <w:jc w:val="both"/>
        <w:ind w:left="5" w:firstLine="223"/>
        <w:spacing w:after="0" w:line="259" w:lineRule="auto"/>
        <w:rPr>
          <w:sz w:val="20"/>
          <w:szCs w:val="20"/>
          <w:color w:val="auto"/>
        </w:rPr>
      </w:pPr>
      <w:r>
        <w:rPr>
          <w:rFonts w:ascii="Arial" w:cs="Arial" w:eastAsia="Arial" w:hAnsi="Arial"/>
          <w:sz w:val="20"/>
          <w:szCs w:val="20"/>
          <w:color w:val="00162F"/>
        </w:rPr>
        <w:t xml:space="preserve">American is a founding member of the </w:t>
      </w:r>
      <w:r>
        <w:rPr>
          <w:rFonts w:ascii="Arial" w:cs="Arial" w:eastAsia="Arial" w:hAnsi="Arial"/>
          <w:sz w:val="20"/>
          <w:szCs w:val="20"/>
          <w:b w:val="1"/>
          <w:bCs w:val="1"/>
          <w:color w:val="00162F"/>
        </w:rPr>
        <w:t>one</w:t>
      </w:r>
      <w:r>
        <w:rPr>
          <w:rFonts w:ascii="Arial" w:cs="Arial" w:eastAsia="Arial" w:hAnsi="Arial"/>
          <w:sz w:val="20"/>
          <w:szCs w:val="20"/>
          <w:color w:val="00162F"/>
        </w:rPr>
        <w:t>world</w:t>
      </w:r>
      <w:r>
        <w:rPr>
          <w:rFonts w:ascii="Arial" w:cs="Arial" w:eastAsia="Arial" w:hAnsi="Arial"/>
          <w:sz w:val="12"/>
          <w:szCs w:val="12"/>
          <w:color w:val="00162F"/>
        </w:rPr>
        <w:t>®</w:t>
      </w:r>
      <w:r>
        <w:rPr>
          <w:rFonts w:ascii="Arial" w:cs="Arial" w:eastAsia="Arial" w:hAnsi="Arial"/>
          <w:sz w:val="20"/>
          <w:szCs w:val="20"/>
          <w:color w:val="00162F"/>
        </w:rPr>
        <w:t xml:space="preserve"> Alliance, which brings together a global network of 15 world-class member airlines and their affiliates, working together to provide a superior and seamless travel experience. See </w:t>
      </w:r>
      <w:r>
        <w:rPr>
          <w:rFonts w:ascii="Arial" w:cs="Arial" w:eastAsia="Arial" w:hAnsi="Arial"/>
          <w:sz w:val="20"/>
          <w:szCs w:val="20"/>
          <w:i w:val="1"/>
          <w:iCs w:val="1"/>
          <w:color w:val="00162F"/>
        </w:rPr>
        <w:t xml:space="preserve">“Distribution and Marketing Agreements” </w:t>
      </w:r>
      <w:r>
        <w:rPr>
          <w:rFonts w:ascii="Arial" w:cs="Arial" w:eastAsia="Arial" w:hAnsi="Arial"/>
          <w:sz w:val="20"/>
          <w:szCs w:val="20"/>
          <w:color w:val="00162F"/>
        </w:rPr>
        <w:t>below for further discussion on the</w:t>
      </w:r>
      <w:r>
        <w:rPr>
          <w:rFonts w:ascii="Arial" w:cs="Arial" w:eastAsia="Arial" w:hAnsi="Arial"/>
          <w:sz w:val="20"/>
          <w:szCs w:val="20"/>
          <w:i w:val="1"/>
          <w:iCs w:val="1"/>
          <w:color w:val="00162F"/>
        </w:rPr>
        <w:t xml:space="preserve"> </w:t>
      </w:r>
      <w:r>
        <w:rPr>
          <w:rFonts w:ascii="Arial" w:cs="Arial" w:eastAsia="Arial" w:hAnsi="Arial"/>
          <w:sz w:val="20"/>
          <w:szCs w:val="20"/>
          <w:b w:val="1"/>
          <w:bCs w:val="1"/>
          <w:color w:val="00162F"/>
        </w:rPr>
        <w:t>one</w:t>
      </w:r>
      <w:r>
        <w:rPr>
          <w:rFonts w:ascii="Arial" w:cs="Arial" w:eastAsia="Arial" w:hAnsi="Arial"/>
          <w:sz w:val="20"/>
          <w:szCs w:val="20"/>
          <w:color w:val="00162F"/>
        </w:rPr>
        <w:t>world Alliance and other agreements with</w:t>
      </w:r>
      <w:r>
        <w:rPr>
          <w:rFonts w:ascii="Arial" w:cs="Arial" w:eastAsia="Arial" w:hAnsi="Arial"/>
          <w:sz w:val="20"/>
          <w:szCs w:val="20"/>
          <w:i w:val="1"/>
          <w:iCs w:val="1"/>
          <w:color w:val="00162F"/>
        </w:rPr>
        <w:t xml:space="preserve"> </w:t>
      </w:r>
      <w:r>
        <w:rPr>
          <w:rFonts w:ascii="Arial" w:cs="Arial" w:eastAsia="Arial" w:hAnsi="Arial"/>
          <w:sz w:val="20"/>
          <w:szCs w:val="20"/>
          <w:color w:val="00162F"/>
        </w:rPr>
        <w:t>domestic and international airlines.</w:t>
      </w:r>
    </w:p>
    <w:p>
      <w:pPr>
        <w:spacing w:after="0" w:line="136" w:lineRule="exact"/>
        <w:rPr>
          <w:sz w:val="20"/>
          <w:szCs w:val="20"/>
          <w:color w:val="auto"/>
        </w:rPr>
      </w:pPr>
    </w:p>
    <w:p>
      <w:pPr>
        <w:jc w:val="both"/>
        <w:ind w:left="5" w:firstLine="223"/>
        <w:spacing w:after="0" w:line="254" w:lineRule="auto"/>
        <w:rPr>
          <w:sz w:val="20"/>
          <w:szCs w:val="20"/>
          <w:color w:val="auto"/>
        </w:rPr>
      </w:pPr>
      <w:r>
        <w:rPr>
          <w:rFonts w:ascii="Arial" w:cs="Arial" w:eastAsia="Arial" w:hAnsi="Arial"/>
          <w:sz w:val="20"/>
          <w:szCs w:val="20"/>
          <w:color w:val="00162F"/>
        </w:rPr>
        <w:t xml:space="preserve">See Part II, Item 7. Management’s Discussion and Analysis of Financial Condition and Results of Operations – </w:t>
      </w:r>
      <w:r>
        <w:rPr>
          <w:rFonts w:ascii="Arial" w:cs="Arial" w:eastAsia="Arial" w:hAnsi="Arial"/>
          <w:sz w:val="20"/>
          <w:szCs w:val="20"/>
          <w:i w:val="1"/>
          <w:iCs w:val="1"/>
          <w:color w:val="00162F"/>
        </w:rPr>
        <w:t>“2025</w:t>
      </w:r>
      <w:r>
        <w:rPr>
          <w:rFonts w:ascii="Arial" w:cs="Arial" w:eastAsia="Arial" w:hAnsi="Arial"/>
          <w:sz w:val="20"/>
          <w:szCs w:val="20"/>
          <w:color w:val="00162F"/>
        </w:rPr>
        <w:t xml:space="preserve"> </w:t>
      </w:r>
      <w:r>
        <w:rPr>
          <w:rFonts w:ascii="Arial" w:cs="Arial" w:eastAsia="Arial" w:hAnsi="Arial"/>
          <w:sz w:val="20"/>
          <w:szCs w:val="20"/>
          <w:i w:val="1"/>
          <w:iCs w:val="1"/>
          <w:color w:val="00162F"/>
        </w:rPr>
        <w:t xml:space="preserve">Financial Overview,” “AAG’s Results of Operations” </w:t>
      </w:r>
      <w:r>
        <w:rPr>
          <w:rFonts w:ascii="Arial" w:cs="Arial" w:eastAsia="Arial" w:hAnsi="Arial"/>
          <w:sz w:val="20"/>
          <w:szCs w:val="20"/>
          <w:color w:val="00162F"/>
        </w:rPr>
        <w:t>and</w:t>
      </w:r>
      <w:r>
        <w:rPr>
          <w:rFonts w:ascii="Arial" w:cs="Arial" w:eastAsia="Arial" w:hAnsi="Arial"/>
          <w:sz w:val="20"/>
          <w:szCs w:val="20"/>
          <w:i w:val="1"/>
          <w:iCs w:val="1"/>
          <w:color w:val="00162F"/>
        </w:rPr>
        <w:t xml:space="preserve"> “American’s Results of Operations” </w:t>
      </w:r>
      <w:r>
        <w:rPr>
          <w:rFonts w:ascii="Arial" w:cs="Arial" w:eastAsia="Arial" w:hAnsi="Arial"/>
          <w:sz w:val="20"/>
          <w:szCs w:val="20"/>
          <w:color w:val="00162F"/>
        </w:rPr>
        <w:t>for further discussion of</w:t>
      </w:r>
      <w:r>
        <w:rPr>
          <w:rFonts w:ascii="Arial" w:cs="Arial" w:eastAsia="Arial" w:hAnsi="Arial"/>
          <w:sz w:val="20"/>
          <w:szCs w:val="20"/>
          <w:i w:val="1"/>
          <w:iCs w:val="1"/>
          <w:color w:val="00162F"/>
        </w:rPr>
        <w:t xml:space="preserve"> </w:t>
      </w:r>
      <w:r>
        <w:rPr>
          <w:rFonts w:ascii="Arial" w:cs="Arial" w:eastAsia="Arial" w:hAnsi="Arial"/>
          <w:sz w:val="20"/>
          <w:szCs w:val="20"/>
          <w:color w:val="00162F"/>
        </w:rPr>
        <w:t>AAG’s and American’s operating results and operating performance. Also, see Note 1(m) to each of AAG’s and American’s Consolidated Financial Statements in Part II, Items 8A and 8B, respectively, for passenger revenue by geographic region and Note 13 to AAG’s Consolidated Financial Statements in Part II, Item 8A and Note 12 to American’s Consolidated Financial Statements in Part II, Item 8B for segment disclosures.</w:t>
      </w:r>
    </w:p>
    <w:p>
      <w:pPr>
        <w:spacing w:after="0" w:line="233" w:lineRule="exact"/>
        <w:rPr>
          <w:sz w:val="20"/>
          <w:szCs w:val="20"/>
          <w:color w:val="auto"/>
        </w:rPr>
      </w:pPr>
    </w:p>
    <w:p>
      <w:pPr>
        <w:ind w:left="225"/>
        <w:spacing w:after="0"/>
        <w:rPr>
          <w:sz w:val="20"/>
          <w:szCs w:val="20"/>
          <w:color w:val="auto"/>
        </w:rPr>
      </w:pPr>
      <w:r>
        <w:rPr>
          <w:rFonts w:ascii="Arial" w:cs="Arial" w:eastAsia="Arial" w:hAnsi="Arial"/>
          <w:sz w:val="20"/>
          <w:szCs w:val="20"/>
          <w:b w:val="1"/>
          <w:bCs w:val="1"/>
          <w:i w:val="1"/>
          <w:iCs w:val="1"/>
          <w:color w:val="00162F"/>
        </w:rPr>
        <w:t>Regional</w:t>
      </w:r>
    </w:p>
    <w:p>
      <w:pPr>
        <w:spacing w:after="0" w:line="95" w:lineRule="exact"/>
        <w:rPr>
          <w:sz w:val="20"/>
          <w:szCs w:val="20"/>
          <w:color w:val="auto"/>
        </w:rPr>
      </w:pPr>
    </w:p>
    <w:p>
      <w:pPr>
        <w:jc w:val="both"/>
        <w:ind w:left="5" w:firstLine="223"/>
        <w:spacing w:after="0" w:line="267" w:lineRule="auto"/>
        <w:rPr>
          <w:sz w:val="20"/>
          <w:szCs w:val="20"/>
          <w:color w:val="auto"/>
        </w:rPr>
      </w:pPr>
      <w:r>
        <w:rPr>
          <w:rFonts w:ascii="Arial" w:cs="Arial" w:eastAsia="Arial" w:hAnsi="Arial"/>
          <w:sz w:val="19"/>
          <w:szCs w:val="19"/>
          <w:color w:val="00162F"/>
        </w:rPr>
        <w:t>Our regional carriers provide scheduled air transportation under the brand name “American Eagle.” The American Eagle carriers include our wholly-owned regional carriers Envoy Air Inc. (Envoy), PSA and Piedmont, as well as third-party regional carriers including Republic Airways Inc. (Republic) and SkyWest Airlines, Inc. (SkyWest). Our regional carriers are an integral component of our operating network. We rely heavily on regional carriers to serve small markets and also to drive connecting traffic to our hubs from markets that are not economical for us to serve with larger mainline aircraft. In addition, regional carriers offer complementary service in many of our mainline markets. All American Eagle carriers use logos, service marks, aircraft paint schemes and uniforms similar to those of our mainline operations. In 2025, 57 million passengers boarded our regional flights, approximately 42% of whom connected to or from our mainline flights.</w:t>
      </w:r>
    </w:p>
    <w:p>
      <w:pPr>
        <w:spacing w:after="0" w:line="134" w:lineRule="exact"/>
        <w:rPr>
          <w:sz w:val="20"/>
          <w:szCs w:val="20"/>
          <w:color w:val="auto"/>
        </w:rPr>
      </w:pPr>
    </w:p>
    <w:p>
      <w:pPr>
        <w:jc w:val="both"/>
        <w:ind w:left="5" w:firstLine="223"/>
        <w:spacing w:after="0" w:line="270" w:lineRule="auto"/>
        <w:rPr>
          <w:sz w:val="20"/>
          <w:szCs w:val="20"/>
          <w:color w:val="auto"/>
        </w:rPr>
      </w:pPr>
      <w:r>
        <w:rPr>
          <w:rFonts w:ascii="Arial" w:cs="Arial" w:eastAsia="Arial" w:hAnsi="Arial"/>
          <w:sz w:val="19"/>
          <w:szCs w:val="19"/>
          <w:color w:val="00162F"/>
        </w:rPr>
        <w:t>Our regional carrier arrangements are principally in the form of capacity purchase agreements with our third-party regional partners and similar arrangements with our wholly-owned affiliates which provide that all revenues, including passenger, in-flight, ancillary, mail and freight revenues, go to us. We control marketing, scheduling, ticketing, pricing and seat inventories. In return, we agree to pay predetermined fees to these airlines for operating an agreed-upon number of aircraft, without regard to the number of passengers on board. In addition, these agreements provide that we either reimburse or pay 100% of certain variable costs, such as airport landing fees, fuel and passenger liability insurance.</w:t>
      </w:r>
    </w:p>
    <w:p>
      <w:pPr>
        <w:sectPr>
          <w:pgSz w:w="11880" w:h="15480" w:orient="portrait"/>
          <w:cols w:equalWidth="0" w:num="1">
            <w:col w:w="10685"/>
          </w:cols>
          <w:pgMar w:left="595" w:top="992" w:right="600" w:bottom="0" w:gutter="0" w:footer="0" w:header="0"/>
        </w:sectPr>
      </w:pPr>
    </w:p>
    <w:p>
      <w:pPr>
        <w:spacing w:after="0" w:line="240"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00162F"/>
        </w:rPr>
        <w:t>8</w:t>
      </w:r>
    </w:p>
    <w:p>
      <w:pPr>
        <w:sectPr>
          <w:pgSz w:w="11880" w:h="15480" w:orient="portrait"/>
          <w:cols w:equalWidth="0" w:num="1">
            <w:col w:w="10685"/>
          </w:cols>
          <w:pgMar w:left="595" w:top="992" w:right="600" w:bottom="0" w:gutter="0" w:footer="0" w:header="0"/>
          <w:type w:val="continuous"/>
        </w:sectPr>
      </w:pPr>
    </w:p>
    <w:bookmarkStart w:id="9" w:name="page10"/>
    <w:bookmarkEnd w:id="9"/>
    <w:p>
      <w:pPr>
        <w:ind w:left="220"/>
        <w:spacing w:after="0"/>
        <w:rPr>
          <w:sz w:val="20"/>
          <w:szCs w:val="20"/>
          <w:color w:val="auto"/>
        </w:rPr>
      </w:pPr>
      <w:r>
        <w:rPr>
          <w:rFonts w:ascii="Arial" w:cs="Arial" w:eastAsia="Arial" w:hAnsi="Arial"/>
          <w:sz w:val="20"/>
          <w:szCs w:val="20"/>
          <w:b w:val="1"/>
          <w:bCs w:val="1"/>
          <w:i w:val="1"/>
          <w:iCs w:val="1"/>
          <w:color w:val="00162F"/>
        </w:rPr>
        <w:t>Cargo</w:t>
      </w:r>
    </w:p>
    <w:p>
      <w:pPr>
        <w:spacing w:after="0" w:line="95" w:lineRule="exact"/>
        <w:rPr>
          <w:sz w:val="20"/>
          <w:szCs w:val="20"/>
          <w:color w:val="auto"/>
        </w:rPr>
      </w:pPr>
    </w:p>
    <w:p>
      <w:pPr>
        <w:jc w:val="both"/>
        <w:ind w:right="20" w:firstLine="223"/>
        <w:spacing w:after="0" w:line="270" w:lineRule="auto"/>
        <w:rPr>
          <w:sz w:val="20"/>
          <w:szCs w:val="20"/>
          <w:color w:val="auto"/>
        </w:rPr>
      </w:pPr>
      <w:r>
        <w:rPr>
          <w:rFonts w:ascii="Arial" w:cs="Arial" w:eastAsia="Arial" w:hAnsi="Arial"/>
          <w:sz w:val="19"/>
          <w:szCs w:val="19"/>
          <w:color w:val="00162F"/>
        </w:rPr>
        <w:t>Our cargo division provides a wide range of freight and mail services, with facilities and interline connections available across the globe. In 2025, we served over 20,000 unique origin and destination pairs, transporting approximately 1.0 billion pounds of time-sensitive freight and mail throughout our network. We continue to focus on enhancements that enable us to better serve our customers, including moving to a new facility at London Heathrow Airport (LHR) to support further growth in this key market and expanding our digital offerings, which provide greater efficiency, increased accuracy, 24/7 access to search schedules, and the ability for our customers to check availability, retrieve rates and make bookings.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Distribution and Marketing Agreements</w:t>
      </w:r>
    </w:p>
    <w:p>
      <w:pPr>
        <w:spacing w:after="0" w:line="97" w:lineRule="exact"/>
        <w:rPr>
          <w:sz w:val="20"/>
          <w:szCs w:val="20"/>
          <w:color w:val="auto"/>
        </w:rPr>
      </w:pPr>
    </w:p>
    <w:p>
      <w:pPr>
        <w:jc w:val="both"/>
        <w:ind w:right="20" w:firstLine="223"/>
        <w:spacing w:after="0" w:line="252" w:lineRule="auto"/>
        <w:rPr>
          <w:sz w:val="20"/>
          <w:szCs w:val="20"/>
          <w:color w:val="auto"/>
        </w:rPr>
      </w:pPr>
      <w:r>
        <w:rPr>
          <w:rFonts w:ascii="Arial" w:cs="Arial" w:eastAsia="Arial" w:hAnsi="Arial"/>
          <w:sz w:val="20"/>
          <w:szCs w:val="20"/>
          <w:color w:val="00162F"/>
        </w:rPr>
        <w:t>Passengers can purchase tickets for travel on American and American Eagle through several distribution channels, including our website (</w:t>
      </w:r>
      <w:r>
        <w:rPr>
          <w:rFonts w:ascii="Arial" w:cs="Arial" w:eastAsia="Arial" w:hAnsi="Arial"/>
          <w:sz w:val="20"/>
          <w:szCs w:val="20"/>
          <w:i w:val="1"/>
          <w:iCs w:val="1"/>
          <w:color w:val="00162F"/>
        </w:rPr>
        <w:t>www.aa.com</w:t>
      </w:r>
      <w:r>
        <w:rPr>
          <w:rFonts w:ascii="Arial" w:cs="Arial" w:eastAsia="Arial" w:hAnsi="Arial"/>
          <w:sz w:val="20"/>
          <w:szCs w:val="20"/>
          <w:color w:val="00162F"/>
        </w:rPr>
        <w:t>), our mobile app and our reservations centers, and through third-party distribution channels, including conventional travel agents, travel management companies and online travel agents (OTAs) (e.g., Expedia, including its booking sites Orbitz and Travelocity, and Booking Holdings, including its booking sites Kayak and Priceline). Additionally, American utilizes new distribution technologies such as IATA New Distribution Capability (NDC) technology, which we distribute our content to third parties through aggregators (e.g., Amadeus, Sabre, Travelport and Travelfusion) or through direct connections. NDC technology provides customers access to enhanced content and functionality, providing a simplified booking experience, and enabling us to provide more relevant, tailored offers to customers.</w:t>
      </w:r>
    </w:p>
    <w:p>
      <w:pPr>
        <w:spacing w:after="0" w:line="143" w:lineRule="exact"/>
        <w:rPr>
          <w:sz w:val="20"/>
          <w:szCs w:val="20"/>
          <w:color w:val="auto"/>
        </w:rPr>
      </w:pPr>
    </w:p>
    <w:p>
      <w:pPr>
        <w:jc w:val="both"/>
        <w:ind w:right="20" w:firstLine="223"/>
        <w:spacing w:after="0" w:line="259" w:lineRule="auto"/>
        <w:rPr>
          <w:sz w:val="20"/>
          <w:szCs w:val="20"/>
          <w:color w:val="auto"/>
        </w:rPr>
      </w:pPr>
      <w:r>
        <w:rPr>
          <w:rFonts w:ascii="Arial" w:cs="Arial" w:eastAsia="Arial" w:hAnsi="Arial"/>
          <w:sz w:val="20"/>
          <w:szCs w:val="20"/>
          <w:color w:val="00162F"/>
        </w:rPr>
        <w:t>To remain competitive, we will need to successfully manage our distribution costs and rights, increase our distribution flexibility and improve the functionality of our distribution channels, while maintaining an industry-competitive cost structure. For more discussion, see Part I, Item 1A. Risk Factors – “</w:t>
      </w:r>
      <w:r>
        <w:rPr>
          <w:rFonts w:ascii="Arial" w:cs="Arial" w:eastAsia="Arial" w:hAnsi="Arial"/>
          <w:sz w:val="20"/>
          <w:szCs w:val="20"/>
          <w:i w:val="1"/>
          <w:iCs w:val="1"/>
          <w:color w:val="00162F"/>
        </w:rPr>
        <w:t>We rely on third-party distribution channels and must</w:t>
      </w:r>
      <w:r>
        <w:rPr>
          <w:rFonts w:ascii="Arial" w:cs="Arial" w:eastAsia="Arial" w:hAnsi="Arial"/>
          <w:sz w:val="20"/>
          <w:szCs w:val="20"/>
          <w:color w:val="00162F"/>
        </w:rPr>
        <w:t xml:space="preserve"> </w:t>
      </w:r>
      <w:r>
        <w:rPr>
          <w:rFonts w:ascii="Arial" w:cs="Arial" w:eastAsia="Arial" w:hAnsi="Arial"/>
          <w:sz w:val="20"/>
          <w:szCs w:val="20"/>
          <w:i w:val="1"/>
          <w:iCs w:val="1"/>
          <w:color w:val="00162F"/>
        </w:rPr>
        <w:t>effectively manage the costs, rights and functionality of these channels</w:t>
      </w:r>
      <w:r>
        <w:rPr>
          <w:rFonts w:ascii="Arial" w:cs="Arial" w:eastAsia="Arial" w:hAnsi="Arial"/>
          <w:sz w:val="20"/>
          <w:szCs w:val="20"/>
          <w:color w:val="00162F"/>
        </w:rPr>
        <w:t>.”</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Member of oneworld Alliance</w:t>
      </w:r>
    </w:p>
    <w:p>
      <w:pPr>
        <w:spacing w:after="0" w:line="95" w:lineRule="exact"/>
        <w:rPr>
          <w:sz w:val="20"/>
          <w:szCs w:val="20"/>
          <w:color w:val="auto"/>
        </w:rPr>
      </w:pPr>
    </w:p>
    <w:p>
      <w:pPr>
        <w:jc w:val="both"/>
        <w:ind w:right="20" w:firstLine="223"/>
        <w:spacing w:after="0" w:line="254" w:lineRule="auto"/>
        <w:rPr>
          <w:sz w:val="20"/>
          <w:szCs w:val="20"/>
          <w:color w:val="auto"/>
        </w:rPr>
      </w:pPr>
      <w:r>
        <w:rPr>
          <w:rFonts w:ascii="Arial" w:cs="Arial" w:eastAsia="Arial" w:hAnsi="Arial"/>
          <w:sz w:val="20"/>
          <w:szCs w:val="20"/>
          <w:color w:val="00162F"/>
        </w:rPr>
        <w:t xml:space="preserve">American is a founding member of the </w:t>
      </w:r>
      <w:r>
        <w:rPr>
          <w:rFonts w:ascii="Arial" w:cs="Arial" w:eastAsia="Arial" w:hAnsi="Arial"/>
          <w:sz w:val="20"/>
          <w:szCs w:val="20"/>
          <w:b w:val="1"/>
          <w:bCs w:val="1"/>
          <w:color w:val="00162F"/>
        </w:rPr>
        <w:t>one</w:t>
      </w:r>
      <w:r>
        <w:rPr>
          <w:rFonts w:ascii="Arial" w:cs="Arial" w:eastAsia="Arial" w:hAnsi="Arial"/>
          <w:sz w:val="20"/>
          <w:szCs w:val="20"/>
          <w:color w:val="00162F"/>
        </w:rPr>
        <w:t xml:space="preserve">world Alliance, which currently includes Alaska Airlines, British Airways, Cathay Pacific, Fiji Airways, Finnair, Iberia, Japan Airlines, Malaysia Airlines, Oman Air, Qantas Airways, Qatar Airways, Royal Air Maroc, Royal Jordanian Airlines and SriLankan Airlines. Hawaiian Airlines is expected to join the </w:t>
      </w:r>
      <w:r>
        <w:rPr>
          <w:rFonts w:ascii="Arial" w:cs="Arial" w:eastAsia="Arial" w:hAnsi="Arial"/>
          <w:sz w:val="20"/>
          <w:szCs w:val="20"/>
          <w:b w:val="1"/>
          <w:bCs w:val="1"/>
          <w:color w:val="00162F"/>
        </w:rPr>
        <w:t>one</w:t>
      </w:r>
      <w:r>
        <w:rPr>
          <w:rFonts w:ascii="Arial" w:cs="Arial" w:eastAsia="Arial" w:hAnsi="Arial"/>
          <w:sz w:val="20"/>
          <w:szCs w:val="20"/>
          <w:color w:val="00162F"/>
        </w:rPr>
        <w:t xml:space="preserve">world Alliance in 2026. The </w:t>
      </w:r>
      <w:r>
        <w:rPr>
          <w:rFonts w:ascii="Arial" w:cs="Arial" w:eastAsia="Arial" w:hAnsi="Arial"/>
          <w:sz w:val="20"/>
          <w:szCs w:val="20"/>
          <w:b w:val="1"/>
          <w:bCs w:val="1"/>
          <w:color w:val="00162F"/>
        </w:rPr>
        <w:t>one</w:t>
      </w:r>
      <w:r>
        <w:rPr>
          <w:rFonts w:ascii="Arial" w:cs="Arial" w:eastAsia="Arial" w:hAnsi="Arial"/>
          <w:sz w:val="20"/>
          <w:szCs w:val="20"/>
          <w:color w:val="00162F"/>
        </w:rPr>
        <w:t>world Alliance links the networks of member carriers and their respective affiliates to enhance customer service and provide smooth connections to the destinations served by the alliance, including linking member carriers’ loyalty programs and providing reciprocal access to the carriers’ airport lounge facilities.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Joint Business Agreements and Other Cooperation Agreements</w:t>
      </w:r>
    </w:p>
    <w:p>
      <w:pPr>
        <w:spacing w:after="0" w:line="95" w:lineRule="exact"/>
        <w:rPr>
          <w:sz w:val="20"/>
          <w:szCs w:val="20"/>
          <w:color w:val="auto"/>
        </w:rPr>
      </w:pPr>
    </w:p>
    <w:p>
      <w:pPr>
        <w:jc w:val="both"/>
        <w:ind w:right="20" w:firstLine="223"/>
        <w:spacing w:after="0" w:line="253" w:lineRule="auto"/>
        <w:rPr>
          <w:sz w:val="20"/>
          <w:szCs w:val="20"/>
          <w:color w:val="auto"/>
        </w:rPr>
      </w:pPr>
      <w:r>
        <w:rPr>
          <w:rFonts w:ascii="Arial" w:cs="Arial" w:eastAsia="Arial" w:hAnsi="Arial"/>
          <w:sz w:val="20"/>
          <w:szCs w:val="20"/>
          <w:color w:val="00162F"/>
        </w:rPr>
        <w:t>American has established a transatlantic joint business with British Airways, Aer Lingus, Iberia and Finnair, a transpacific joint business with Japan Airlines and a joint business covering Australia and New Zealand with Qantas Airways. Joint business agreements enable the carriers involved to cooperate on flights between particular destinations and allow pooling and sharing of certain revenues and costs, enhanced loyalty program reciprocity and cooperation in other areas. Joint business agreements have become a common approach among major carriers to address key regulatory restrictions typically applicable to international airline service, including limitations on the foreign ownership of airlines and national laws prohibiting foreign airlines from carrying passengers beyond specific gateway cities.</w:t>
      </w:r>
    </w:p>
    <w:p>
      <w:pPr>
        <w:spacing w:after="0" w:line="144" w:lineRule="exact"/>
        <w:rPr>
          <w:sz w:val="20"/>
          <w:szCs w:val="20"/>
          <w:color w:val="auto"/>
        </w:rPr>
      </w:pPr>
    </w:p>
    <w:p>
      <w:pPr>
        <w:jc w:val="both"/>
        <w:ind w:right="20" w:firstLine="223"/>
        <w:spacing w:after="0" w:line="282" w:lineRule="auto"/>
        <w:rPr>
          <w:sz w:val="20"/>
          <w:szCs w:val="20"/>
          <w:color w:val="auto"/>
        </w:rPr>
      </w:pPr>
      <w:r>
        <w:rPr>
          <w:rFonts w:ascii="Arial" w:cs="Arial" w:eastAsia="Arial" w:hAnsi="Arial"/>
          <w:sz w:val="20"/>
          <w:szCs w:val="20"/>
          <w:color w:val="00162F"/>
        </w:rPr>
        <w:t>We also have established strategic alliances with Alaska Airlines and Qatar Airways that deliver to our customers an improved network offering and enhanced loyalty program reciprocity, among other benefits.</w:t>
      </w:r>
    </w:p>
    <w:p>
      <w:pPr>
        <w:spacing w:after="0" w:line="113" w:lineRule="exact"/>
        <w:rPr>
          <w:sz w:val="20"/>
          <w:szCs w:val="20"/>
          <w:color w:val="auto"/>
        </w:rPr>
      </w:pPr>
    </w:p>
    <w:p>
      <w:pPr>
        <w:jc w:val="both"/>
        <w:ind w:firstLine="223"/>
        <w:spacing w:after="0" w:line="251" w:lineRule="auto"/>
        <w:rPr>
          <w:sz w:val="20"/>
          <w:szCs w:val="20"/>
          <w:color w:val="auto"/>
        </w:rPr>
      </w:pPr>
      <w:r>
        <w:rPr>
          <w:rFonts w:ascii="Arial" w:cs="Arial" w:eastAsia="Arial" w:hAnsi="Arial"/>
          <w:sz w:val="20"/>
          <w:szCs w:val="20"/>
          <w:color w:val="00162F"/>
        </w:rPr>
        <w:t>In July 2010, in connection with a regulatory review related to our transatlantic joint business, we provided certain commitments to the European Commission (EC) regarding, among other things, the availability of take-off and landing slots at LHR or London Gatwick Airport (LGW). The commitments accepted by the EC were binding for 10 years. In anticipation of both the exit of the United Kingdom (UK) from the European Union (EU), commonly referred to as Brexit, and the expiration of the EC commitments in July 2020, the United Kingdom Competition and Markets Authority (CMA), in October 2018, opened an investigation into the transatlantic joint business. In September 2020 and April 2022, the CMA adopted interim measures that extend the EC commitments until March 2026 in light of the uncertainty and other impacts resulting from the COVID-19 pandemic. In August 2025, the CMA accepted binding commitments and closed the case. The commitments will replace the prior interim measures. The foregoing arrangements are important aspects of our international network, and we are dependent on the performance and continued cooperation of the other airlines party to those arrangements.</w:t>
      </w:r>
    </w:p>
    <w:p>
      <w:pPr>
        <w:sectPr>
          <w:pgSz w:w="11880" w:h="15480" w:orient="portrait"/>
          <w:cols w:equalWidth="0" w:num="1">
            <w:col w:w="10700"/>
          </w:cols>
          <w:pgMar w:left="600" w:top="99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00162F"/>
        </w:rPr>
        <w:t>9</w:t>
      </w:r>
    </w:p>
    <w:p>
      <w:pPr>
        <w:sectPr>
          <w:pgSz w:w="11880" w:h="15480" w:orient="portrait"/>
          <w:cols w:equalWidth="0" w:num="1">
            <w:col w:w="10700"/>
          </w:cols>
          <w:pgMar w:left="600" w:top="994" w:right="580" w:bottom="0" w:gutter="0" w:footer="0" w:header="0"/>
          <w:type w:val="continuous"/>
        </w:sectPr>
      </w:pPr>
    </w:p>
    <w:bookmarkStart w:id="10" w:name="page11"/>
    <w:bookmarkEnd w:id="10"/>
    <w:p>
      <w:pPr>
        <w:ind w:left="220"/>
        <w:spacing w:after="0"/>
        <w:rPr>
          <w:sz w:val="20"/>
          <w:szCs w:val="20"/>
          <w:color w:val="auto"/>
        </w:rPr>
      </w:pPr>
      <w:r>
        <w:rPr>
          <w:rFonts w:ascii="Arial" w:cs="Arial" w:eastAsia="Arial" w:hAnsi="Arial"/>
          <w:sz w:val="20"/>
          <w:szCs w:val="20"/>
          <w:b w:val="1"/>
          <w:bCs w:val="1"/>
          <w:i w:val="1"/>
          <w:iCs w:val="1"/>
          <w:color w:val="00162F"/>
        </w:rPr>
        <w:t>Marketing Relationships</w:t>
      </w:r>
    </w:p>
    <w:p>
      <w:pPr>
        <w:spacing w:after="0" w:line="95" w:lineRule="exact"/>
        <w:rPr>
          <w:sz w:val="20"/>
          <w:szCs w:val="20"/>
          <w:color w:val="auto"/>
        </w:rPr>
      </w:pPr>
    </w:p>
    <w:p>
      <w:pPr>
        <w:jc w:val="both"/>
        <w:ind w:firstLine="223"/>
        <w:spacing w:after="0" w:line="252" w:lineRule="auto"/>
        <w:rPr>
          <w:sz w:val="20"/>
          <w:szCs w:val="20"/>
          <w:color w:val="auto"/>
        </w:rPr>
      </w:pPr>
      <w:r>
        <w:rPr>
          <w:rFonts w:ascii="Arial" w:cs="Arial" w:eastAsia="Arial" w:hAnsi="Arial"/>
          <w:sz w:val="20"/>
          <w:szCs w:val="20"/>
          <w:color w:val="00162F"/>
        </w:rPr>
        <w:t>To improve access to each other’s markets, various U.S. and foreign air carriers, including American, have established marketing agreements with other airlines. These marketing agreements vary in scope and are intended to provide enhanced customer choice by means of an expanded network with loyalty program participation, but do not involve the same level of cooperation as our joint businesses or strategic alliances. As of December 31, 2025, in addition to the relationships described above, American had codeshare, marketing and/or loyalty program relationships with Air Tahiti Nui, China Southern Airlines Company Limited (China Southern Airlines), Etihad Airways, GOL Linhas Aéreas Inteligentes S.A. (GOL), Gulf Air, Hawaiian Airlines, IndiGo, JetSMART, Jetstar, Jetstar Japan, Korean Air Lines, Philippine Airlines, Porter Airlines and Vueling Airlines.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AAdvantage</w:t>
      </w:r>
      <w:r>
        <w:rPr>
          <w:rFonts w:ascii="Arial" w:cs="Arial" w:eastAsia="Arial" w:hAnsi="Arial"/>
          <w:sz w:val="12"/>
          <w:szCs w:val="12"/>
          <w:b w:val="1"/>
          <w:bCs w:val="1"/>
          <w:color w:val="00162F"/>
        </w:rPr>
        <w:t>®</w:t>
      </w:r>
      <w:r>
        <w:rPr>
          <w:rFonts w:ascii="Arial" w:cs="Arial" w:eastAsia="Arial" w:hAnsi="Arial"/>
          <w:sz w:val="20"/>
          <w:szCs w:val="20"/>
          <w:b w:val="1"/>
          <w:bCs w:val="1"/>
          <w:color w:val="00162F"/>
        </w:rPr>
        <w:t xml:space="preserve"> Program</w:t>
      </w:r>
    </w:p>
    <w:p>
      <w:pPr>
        <w:spacing w:after="0" w:line="97" w:lineRule="exact"/>
        <w:rPr>
          <w:sz w:val="20"/>
          <w:szCs w:val="20"/>
          <w:color w:val="auto"/>
        </w:rPr>
      </w:pPr>
    </w:p>
    <w:p>
      <w:pPr>
        <w:jc w:val="both"/>
        <w:ind w:firstLine="223"/>
        <w:spacing w:after="0" w:line="250" w:lineRule="auto"/>
        <w:rPr>
          <w:sz w:val="20"/>
          <w:szCs w:val="20"/>
          <w:color w:val="auto"/>
        </w:rPr>
      </w:pPr>
      <w:r>
        <w:rPr>
          <w:rFonts w:ascii="Arial" w:cs="Arial" w:eastAsia="Arial" w:hAnsi="Arial"/>
          <w:sz w:val="20"/>
          <w:szCs w:val="20"/>
          <w:color w:val="00162F"/>
        </w:rPr>
        <w:t xml:space="preserve">Our AAdvantage program was established to enhance passenger loyalty by offering benefits and rewards to travelers for their continued patronage with American and our partners. AAdvantage members enjoy exclusive benefits and earn AAdvantage mileage credits (miles) for flying on eligible tickets on American, American Eagle, any </w:t>
      </w:r>
      <w:r>
        <w:rPr>
          <w:rFonts w:ascii="Arial" w:cs="Arial" w:eastAsia="Arial" w:hAnsi="Arial"/>
          <w:sz w:val="20"/>
          <w:szCs w:val="20"/>
          <w:b w:val="1"/>
          <w:bCs w:val="1"/>
          <w:color w:val="00162F"/>
        </w:rPr>
        <w:t>one</w:t>
      </w:r>
      <w:r>
        <w:rPr>
          <w:rFonts w:ascii="Arial" w:cs="Arial" w:eastAsia="Arial" w:hAnsi="Arial"/>
          <w:sz w:val="20"/>
          <w:szCs w:val="20"/>
          <w:color w:val="00162F"/>
        </w:rPr>
        <w:t>world Alliance airline or other partner airlines. Along with AAdvantage miles, members also earn Loyalty Points, which unlock AAdvantage status and rewards for our AAdvantage members. For every dollar spent by flying on an eligible American ticket, members earn mileage credits, and AAdvantage Gold</w:t>
      </w:r>
      <w:r>
        <w:rPr>
          <w:rFonts w:ascii="Arial" w:cs="Arial" w:eastAsia="Arial" w:hAnsi="Arial"/>
          <w:sz w:val="12"/>
          <w:szCs w:val="12"/>
          <w:color w:val="00162F"/>
        </w:rPr>
        <w:t>®</w:t>
      </w:r>
      <w:r>
        <w:rPr>
          <w:rFonts w:ascii="Arial" w:cs="Arial" w:eastAsia="Arial" w:hAnsi="Arial"/>
          <w:sz w:val="20"/>
          <w:szCs w:val="20"/>
          <w:color w:val="00162F"/>
        </w:rPr>
        <w:t>, AAdvantage Platinum</w:t>
      </w:r>
      <w:r>
        <w:rPr>
          <w:rFonts w:ascii="Arial" w:cs="Arial" w:eastAsia="Arial" w:hAnsi="Arial"/>
          <w:sz w:val="12"/>
          <w:szCs w:val="12"/>
          <w:color w:val="00162F"/>
        </w:rPr>
        <w:t>®</w:t>
      </w:r>
      <w:r>
        <w:rPr>
          <w:rFonts w:ascii="Arial" w:cs="Arial" w:eastAsia="Arial" w:hAnsi="Arial"/>
          <w:sz w:val="20"/>
          <w:szCs w:val="20"/>
          <w:color w:val="00162F"/>
        </w:rPr>
        <w:t>, AAdvantage Platinum Pro</w:t>
      </w:r>
      <w:r>
        <w:rPr>
          <w:rFonts w:ascii="Arial" w:cs="Arial" w:eastAsia="Arial" w:hAnsi="Arial"/>
          <w:sz w:val="12"/>
          <w:szCs w:val="12"/>
          <w:color w:val="00162F"/>
        </w:rPr>
        <w:t>®</w:t>
      </w:r>
      <w:r>
        <w:rPr>
          <w:rFonts w:ascii="Arial" w:cs="Arial" w:eastAsia="Arial" w:hAnsi="Arial"/>
          <w:sz w:val="20"/>
          <w:szCs w:val="20"/>
          <w:color w:val="00162F"/>
        </w:rPr>
        <w:t xml:space="preserve"> and AAdvantage Executive Platinum</w:t>
      </w:r>
      <w:r>
        <w:rPr>
          <w:rFonts w:ascii="Arial" w:cs="Arial" w:eastAsia="Arial" w:hAnsi="Arial"/>
          <w:sz w:val="12"/>
          <w:szCs w:val="12"/>
          <w:color w:val="00162F"/>
        </w:rPr>
        <w:t>®</w:t>
      </w:r>
      <w:r>
        <w:rPr>
          <w:rFonts w:ascii="Arial" w:cs="Arial" w:eastAsia="Arial" w:hAnsi="Arial"/>
          <w:sz w:val="20"/>
          <w:szCs w:val="20"/>
          <w:color w:val="00162F"/>
        </w:rPr>
        <w:t xml:space="preserve"> status holders earn additional bonus mileage credits of 40%, 60%, 80% and 120%, respectively. Members also earn mileage credits and Loyalty Points by using the services of more than 1,000 non-flight partners, such as our co-branded credit cards, certain hotel, car rental and cruise companies and shopping and dining partners. The AAdvantage program in general, and our co-branded credit card programs in particular, are material assets of our business and have become increasingly important to our company over time. Starting in 2026, Citibank N.A. (Citi) became the exclusive issuer of the AAdvantage co-branded credit card portfolio in the U.S. Cash payments from co-branded credit card and other partners were $6.2 billion and $6.1 billion during 2025 and 2024, respectively. Cash remuneration in 2024 included a one-time cash payment related to the new co-branded credit card agreement announced in December 2024.</w:t>
      </w:r>
    </w:p>
    <w:p>
      <w:pPr>
        <w:spacing w:after="0" w:line="133" w:lineRule="exact"/>
        <w:rPr>
          <w:sz w:val="20"/>
          <w:szCs w:val="20"/>
          <w:color w:val="auto"/>
        </w:rPr>
      </w:pPr>
    </w:p>
    <w:p>
      <w:pPr>
        <w:jc w:val="both"/>
        <w:ind w:firstLine="223"/>
        <w:spacing w:after="0" w:line="257" w:lineRule="auto"/>
        <w:rPr>
          <w:sz w:val="20"/>
          <w:szCs w:val="20"/>
          <w:color w:val="auto"/>
        </w:rPr>
      </w:pPr>
      <w:r>
        <w:rPr>
          <w:rFonts w:ascii="Arial" w:cs="Arial" w:eastAsia="Arial" w:hAnsi="Arial"/>
          <w:sz w:val="20"/>
          <w:szCs w:val="20"/>
          <w:color w:val="00162F"/>
        </w:rPr>
        <w:t>In July 2025, we extended our agreement with Mastercard pursuant to a new 10-year contract, under which Mastercard remains the exclusive payment network for our AAdvantage co-branded credit cards. We will enhance our AAdvantage program using Mastercard’s payments infrastructure and analytics to deliver more personalized offers to AAdvantage members, optimize rewards and provide seamless, secure transactions. Mastercard’s technology will power real-time fraud detection and optimize payments from booking to in flight. Additionally, AAdvantage members will have new ways to redeem miles for Mastercard’s Priceless Experiences.</w:t>
      </w:r>
    </w:p>
    <w:p>
      <w:pPr>
        <w:spacing w:after="0" w:line="141" w:lineRule="exact"/>
        <w:rPr>
          <w:sz w:val="20"/>
          <w:szCs w:val="20"/>
          <w:color w:val="auto"/>
        </w:rPr>
      </w:pPr>
    </w:p>
    <w:p>
      <w:pPr>
        <w:jc w:val="both"/>
        <w:ind w:firstLine="223"/>
        <w:spacing w:after="0" w:line="250" w:lineRule="auto"/>
        <w:rPr>
          <w:sz w:val="20"/>
          <w:szCs w:val="20"/>
          <w:color w:val="auto"/>
        </w:rPr>
      </w:pPr>
      <w:r>
        <w:rPr>
          <w:rFonts w:ascii="Arial" w:cs="Arial" w:eastAsia="Arial" w:hAnsi="Arial"/>
          <w:sz w:val="20"/>
          <w:szCs w:val="20"/>
          <w:color w:val="00162F"/>
        </w:rPr>
        <w:t>Mileage credits can be redeemed for travel and upgraded experiences on American and participating airlines, access to our Admirals Club</w:t>
      </w:r>
      <w:r>
        <w:rPr>
          <w:rFonts w:ascii="Arial" w:cs="Arial" w:eastAsia="Arial" w:hAnsi="Arial"/>
          <w:sz w:val="12"/>
          <w:szCs w:val="12"/>
          <w:color w:val="00162F"/>
        </w:rPr>
        <w:t>®</w:t>
      </w:r>
      <w:r>
        <w:rPr>
          <w:rFonts w:ascii="Arial" w:cs="Arial" w:eastAsia="Arial" w:hAnsi="Arial"/>
          <w:sz w:val="20"/>
          <w:szCs w:val="20"/>
          <w:color w:val="00162F"/>
        </w:rPr>
        <w:t xml:space="preserve"> and Flagship Lounges</w:t>
      </w:r>
      <w:r>
        <w:rPr>
          <w:rFonts w:ascii="Arial" w:cs="Arial" w:eastAsia="Arial" w:hAnsi="Arial"/>
          <w:sz w:val="12"/>
          <w:szCs w:val="12"/>
          <w:color w:val="00162F"/>
        </w:rPr>
        <w:t>®</w:t>
      </w:r>
      <w:r>
        <w:rPr>
          <w:rFonts w:ascii="Arial" w:cs="Arial" w:eastAsia="Arial" w:hAnsi="Arial"/>
          <w:sz w:val="20"/>
          <w:szCs w:val="20"/>
          <w:color w:val="00162F"/>
        </w:rPr>
        <w:t xml:space="preserve">, or for other non-flight awards, such as car rentals, hotel stays, cruises and retail goods from our program partners. Travel awards are available on all flights operated by American and, subject to capacity-controlled seating, on flights operated by our partners. A member’s mileage credits generally do not expire if that member has any type of qualifying activity at least once every 24 months or if the AAdvantage member is the primary holder of a co-branded credit card. AAdvantage members qualify for status over a 12-month period beginning on March 1 of each year by earning Loyalty Points. Status members can enjoy additional travel benefits of the AAdvantage program, including complimentary upgrades, checked bags, and Preferred and Main Cabin Extra seats, as well as priority check-in, security, boarding and baggage delivery when traveling on American, American Eagle, any </w:t>
      </w:r>
      <w:r>
        <w:rPr>
          <w:rFonts w:ascii="Arial" w:cs="Arial" w:eastAsia="Arial" w:hAnsi="Arial"/>
          <w:sz w:val="20"/>
          <w:szCs w:val="20"/>
          <w:b w:val="1"/>
          <w:bCs w:val="1"/>
          <w:color w:val="00162F"/>
        </w:rPr>
        <w:t>one</w:t>
      </w:r>
      <w:r>
        <w:rPr>
          <w:rFonts w:ascii="Arial" w:cs="Arial" w:eastAsia="Arial" w:hAnsi="Arial"/>
          <w:sz w:val="20"/>
          <w:szCs w:val="20"/>
          <w:color w:val="00162F"/>
        </w:rPr>
        <w:t>world Alliance airline or select partner airlines. In addition, AAdvantage members can unlock benefits, rewards and choices before, between and beyond the traditional status tiers with Loyalty Point Rewards. AAdvantage Business, our business loyalty program, rewards both eligible companies with AAdvantage miles and their travelers with additional Loyalty Points when booking business travel.</w:t>
      </w:r>
    </w:p>
    <w:p>
      <w:pPr>
        <w:spacing w:after="0" w:line="152"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In 2025, the AAdvantage program was recognized for Best Customer Service and Best Redemption Ability in the Americas and the Citi</w:t>
      </w:r>
      <w:r>
        <w:rPr>
          <w:rFonts w:ascii="Arial" w:cs="Arial" w:eastAsia="Arial" w:hAnsi="Arial"/>
          <w:sz w:val="12"/>
          <w:szCs w:val="12"/>
          <w:color w:val="00162F"/>
        </w:rPr>
        <w:t>®</w:t>
      </w:r>
      <w:r>
        <w:rPr>
          <w:rFonts w:ascii="Arial" w:cs="Arial" w:eastAsia="Arial" w:hAnsi="Arial"/>
          <w:sz w:val="20"/>
          <w:szCs w:val="20"/>
          <w:color w:val="00162F"/>
        </w:rPr>
        <w:t>/AAdvantage</w:t>
      </w:r>
      <w:r>
        <w:rPr>
          <w:rFonts w:ascii="Arial" w:cs="Arial" w:eastAsia="Arial" w:hAnsi="Arial"/>
          <w:sz w:val="12"/>
          <w:szCs w:val="12"/>
          <w:color w:val="00162F"/>
        </w:rPr>
        <w:t>®</w:t>
      </w:r>
      <w:r>
        <w:rPr>
          <w:rFonts w:ascii="Arial" w:cs="Arial" w:eastAsia="Arial" w:hAnsi="Arial"/>
          <w:sz w:val="20"/>
          <w:szCs w:val="20"/>
          <w:color w:val="00162F"/>
        </w:rPr>
        <w:t xml:space="preserve"> Platinum Select</w:t>
      </w:r>
      <w:r>
        <w:rPr>
          <w:rFonts w:ascii="Arial" w:cs="Arial" w:eastAsia="Arial" w:hAnsi="Arial"/>
          <w:sz w:val="12"/>
          <w:szCs w:val="12"/>
          <w:color w:val="00162F"/>
        </w:rPr>
        <w:t>®</w:t>
      </w:r>
      <w:r>
        <w:rPr>
          <w:rFonts w:ascii="Arial" w:cs="Arial" w:eastAsia="Arial" w:hAnsi="Arial"/>
          <w:sz w:val="20"/>
          <w:szCs w:val="20"/>
          <w:color w:val="00162F"/>
        </w:rPr>
        <w:t xml:space="preserve"> World Elite Mastercard</w:t>
      </w:r>
      <w:r>
        <w:rPr>
          <w:rFonts w:ascii="Arial" w:cs="Arial" w:eastAsia="Arial" w:hAnsi="Arial"/>
          <w:sz w:val="12"/>
          <w:szCs w:val="12"/>
          <w:color w:val="00162F"/>
        </w:rPr>
        <w:t>®</w:t>
      </w:r>
      <w:r>
        <w:rPr>
          <w:rFonts w:ascii="Arial" w:cs="Arial" w:eastAsia="Arial" w:hAnsi="Arial"/>
          <w:sz w:val="20"/>
          <w:szCs w:val="20"/>
          <w:color w:val="00162F"/>
        </w:rPr>
        <w:t xml:space="preserve"> co-branded credit card was recognized as the Best Loyalty Credit Card in the Americas at the 2025 Freddie Awards. The Freddie Awards recognize the best travel loyalty programs across the world and are based on votes from travelers.</w:t>
      </w:r>
    </w:p>
    <w:p>
      <w:pPr>
        <w:spacing w:after="0" w:line="136" w:lineRule="exact"/>
        <w:rPr>
          <w:sz w:val="20"/>
          <w:szCs w:val="20"/>
          <w:color w:val="auto"/>
        </w:rPr>
      </w:pPr>
    </w:p>
    <w:p>
      <w:pPr>
        <w:jc w:val="both"/>
        <w:ind w:firstLine="223"/>
        <w:spacing w:after="0" w:line="265" w:lineRule="auto"/>
        <w:rPr>
          <w:sz w:val="20"/>
          <w:szCs w:val="20"/>
          <w:color w:val="auto"/>
        </w:rPr>
      </w:pPr>
      <w:r>
        <w:rPr>
          <w:rFonts w:ascii="Arial" w:cs="Arial" w:eastAsia="Arial" w:hAnsi="Arial"/>
          <w:sz w:val="20"/>
          <w:szCs w:val="20"/>
          <w:color w:val="00162F"/>
        </w:rPr>
        <w:t>Under our agreements with AAdvantage members and program partners, we reserve the right to change the terms of the AAdvantage program at any time and without notice. Program rules, partners, special offers, awards and requisite mileage levels for awards are subject to change.</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10</w:t>
      </w:r>
    </w:p>
    <w:p>
      <w:pPr>
        <w:sectPr>
          <w:pgSz w:w="11880" w:h="15480" w:orient="portrait"/>
          <w:cols w:equalWidth="0" w:num="1">
            <w:col w:w="10680"/>
          </w:cols>
          <w:pgMar w:left="600" w:top="994" w:right="600" w:bottom="0" w:gutter="0" w:footer="0" w:header="0"/>
          <w:type w:val="continuous"/>
        </w:sectPr>
      </w:pPr>
    </w:p>
    <w:bookmarkStart w:id="11" w:name="page12"/>
    <w:bookmarkEnd w:id="11"/>
    <w:p>
      <w:pPr>
        <w:jc w:val="both"/>
        <w:ind w:firstLine="223"/>
        <w:spacing w:after="0" w:line="259" w:lineRule="auto"/>
        <w:rPr>
          <w:sz w:val="20"/>
          <w:szCs w:val="20"/>
          <w:color w:val="auto"/>
        </w:rPr>
      </w:pPr>
      <w:r>
        <w:rPr>
          <w:rFonts w:ascii="Arial" w:cs="Arial" w:eastAsia="Arial" w:hAnsi="Arial"/>
          <w:sz w:val="20"/>
          <w:szCs w:val="20"/>
          <w:color w:val="00162F"/>
        </w:rPr>
        <w:t>During 2025, our members redeemed approximately 18 million awards, including travel redemptions for flights and upgrades on American, American Eagle and other air carriers, as well as redemption of car and hotel awards, club memberships and merchandise, among others. Approximately 9% of our 2025 total revenue passenger miles flown were from award travel.</w:t>
      </w:r>
    </w:p>
    <w:p>
      <w:pPr>
        <w:spacing w:after="0" w:line="136" w:lineRule="exact"/>
        <w:rPr>
          <w:sz w:val="20"/>
          <w:szCs w:val="20"/>
          <w:color w:val="auto"/>
        </w:rPr>
      </w:pPr>
    </w:p>
    <w:p>
      <w:pPr>
        <w:jc w:val="both"/>
        <w:ind w:firstLine="223"/>
        <w:spacing w:after="0" w:line="282" w:lineRule="auto"/>
        <w:rPr>
          <w:sz w:val="20"/>
          <w:szCs w:val="20"/>
          <w:color w:val="auto"/>
        </w:rPr>
      </w:pPr>
      <w:r>
        <w:rPr>
          <w:rFonts w:ascii="Arial" w:cs="Arial" w:eastAsia="Arial" w:hAnsi="Arial"/>
          <w:sz w:val="20"/>
          <w:szCs w:val="20"/>
          <w:color w:val="00162F"/>
        </w:rPr>
        <w:t>See Part II, Item 7. Management’s Discussion and Analysis of Financial Condition and Results of Operations – “</w:t>
      </w:r>
      <w:r>
        <w:rPr>
          <w:rFonts w:ascii="Arial" w:cs="Arial" w:eastAsia="Arial" w:hAnsi="Arial"/>
          <w:sz w:val="20"/>
          <w:szCs w:val="20"/>
          <w:i w:val="1"/>
          <w:iCs w:val="1"/>
          <w:color w:val="00162F"/>
        </w:rPr>
        <w:t>Critical</w:t>
      </w:r>
      <w:r>
        <w:rPr>
          <w:rFonts w:ascii="Arial" w:cs="Arial" w:eastAsia="Arial" w:hAnsi="Arial"/>
          <w:sz w:val="20"/>
          <w:szCs w:val="20"/>
          <w:color w:val="00162F"/>
        </w:rPr>
        <w:t xml:space="preserve"> </w:t>
      </w:r>
      <w:r>
        <w:rPr>
          <w:rFonts w:ascii="Arial" w:cs="Arial" w:eastAsia="Arial" w:hAnsi="Arial"/>
          <w:sz w:val="20"/>
          <w:szCs w:val="20"/>
          <w:i w:val="1"/>
          <w:iCs w:val="1"/>
          <w:color w:val="00162F"/>
        </w:rPr>
        <w:t>Accounting Policies and Estimate</w:t>
      </w:r>
      <w:r>
        <w:rPr>
          <w:rFonts w:ascii="Arial" w:cs="Arial" w:eastAsia="Arial" w:hAnsi="Arial"/>
          <w:sz w:val="20"/>
          <w:szCs w:val="20"/>
          <w:color w:val="00162F"/>
        </w:rPr>
        <w:t>s” for more information on our loyalty program.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Industry Competition</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Domestic</w:t>
      </w:r>
    </w:p>
    <w:p>
      <w:pPr>
        <w:spacing w:after="0" w:line="95" w:lineRule="exact"/>
        <w:rPr>
          <w:sz w:val="20"/>
          <w:szCs w:val="20"/>
          <w:color w:val="auto"/>
        </w:rPr>
      </w:pPr>
    </w:p>
    <w:p>
      <w:pPr>
        <w:jc w:val="both"/>
        <w:ind w:firstLine="223"/>
        <w:spacing w:after="0" w:line="253" w:lineRule="auto"/>
        <w:rPr>
          <w:sz w:val="20"/>
          <w:szCs w:val="20"/>
          <w:color w:val="auto"/>
        </w:rPr>
      </w:pPr>
      <w:r>
        <w:rPr>
          <w:rFonts w:ascii="Arial" w:cs="Arial" w:eastAsia="Arial" w:hAnsi="Arial"/>
          <w:sz w:val="20"/>
          <w:szCs w:val="20"/>
          <w:color w:val="00162F"/>
        </w:rPr>
        <w:t>The markets in which we operate are highly competitive. On most of our domestic nonstop routes, we face competing service from other domestic airlines, including major network airlines, low-cost carriers and ultra-low-cost carriers such as Alaska Airlines, Allegiant Air, Delta Air Lines, Frontier Airlines, Hawaiian Airlines, JetBlue Airways, Southwest Airlines, Spirit Airlines and United Airlines. Between cities that require a connection, where the major airlines compete via their respective hubs, competition is significant. In addition, we face competition on some of our connecting routes from airlines operating point-to-point service. We also compete with all-cargo and charter airlines and, particularly on shorter segments, ground and rail transportation.</w:t>
      </w:r>
    </w:p>
    <w:p>
      <w:pPr>
        <w:spacing w:after="0" w:line="144" w:lineRule="exact"/>
        <w:rPr>
          <w:sz w:val="20"/>
          <w:szCs w:val="20"/>
          <w:color w:val="auto"/>
        </w:rPr>
      </w:pPr>
    </w:p>
    <w:p>
      <w:pPr>
        <w:jc w:val="both"/>
        <w:ind w:firstLine="223"/>
        <w:spacing w:after="0" w:line="256" w:lineRule="auto"/>
        <w:rPr>
          <w:sz w:val="20"/>
          <w:szCs w:val="20"/>
          <w:color w:val="auto"/>
        </w:rPr>
      </w:pPr>
      <w:r>
        <w:rPr>
          <w:rFonts w:ascii="Arial" w:cs="Arial" w:eastAsia="Arial" w:hAnsi="Arial"/>
          <w:sz w:val="20"/>
          <w:szCs w:val="20"/>
          <w:color w:val="00162F"/>
        </w:rPr>
        <w:t xml:space="preserve">In general, beyond nonstop city pairs, carriers that have the greatest ability to seamlessly connect passengers to and from markets have a competitive advantage. In some cases, however, foreign governments limit U.S. air carriers’ rights to transport passengers beyond designated gateway cities in foreign countries. In order to improve access to domestic and foreign markets, we have arrangements with other airlines including through the </w:t>
      </w:r>
      <w:r>
        <w:rPr>
          <w:rFonts w:ascii="Arial" w:cs="Arial" w:eastAsia="Arial" w:hAnsi="Arial"/>
          <w:sz w:val="20"/>
          <w:szCs w:val="20"/>
          <w:b w:val="1"/>
          <w:bCs w:val="1"/>
          <w:color w:val="00162F"/>
        </w:rPr>
        <w:t>one</w:t>
      </w:r>
      <w:r>
        <w:rPr>
          <w:rFonts w:ascii="Arial" w:cs="Arial" w:eastAsia="Arial" w:hAnsi="Arial"/>
          <w:sz w:val="20"/>
          <w:szCs w:val="20"/>
          <w:color w:val="00162F"/>
        </w:rPr>
        <w:t>world Alliance, joint business agreements and other cooperation agreements and marketing relationships, as further discussed herein.</w:t>
      </w:r>
    </w:p>
    <w:p>
      <w:pPr>
        <w:spacing w:after="0" w:line="139" w:lineRule="exact"/>
        <w:rPr>
          <w:sz w:val="20"/>
          <w:szCs w:val="20"/>
          <w:color w:val="auto"/>
        </w:rPr>
      </w:pPr>
    </w:p>
    <w:p>
      <w:pPr>
        <w:jc w:val="both"/>
        <w:ind w:firstLine="223"/>
        <w:spacing w:after="0" w:line="252" w:lineRule="auto"/>
        <w:rPr>
          <w:sz w:val="20"/>
          <w:szCs w:val="20"/>
          <w:color w:val="auto"/>
        </w:rPr>
      </w:pPr>
      <w:r>
        <w:rPr>
          <w:rFonts w:ascii="Arial" w:cs="Arial" w:eastAsia="Arial" w:hAnsi="Arial"/>
          <w:sz w:val="20"/>
          <w:szCs w:val="20"/>
          <w:color w:val="00162F"/>
        </w:rPr>
        <w:t>On all of our routes, pricing decisions are affected, in large part, by the need to meet competition from other airlines. Price competition occurs on a market-by-market basis through price discounts, changes in pricing structures, fare matching, targeted promotions and loyalty program initiatives. Airlines typically use discounted fares and other promotions to stimulate traffic during normally weak travel periods, when they begin service to new cities, when they have excess capacity, to generate cash flow, to maximize revenue per available seat mile or to establish, increase or preserve market share. Most airlines will quickly match price reductions in a particular market, and we have often elected to match discounted or promotional fares initiated by other air carriers in certain markets in order to compete in those markets. In addition, we face pricing pressures from so-called ultra-low-cost carriers, such as Allegiant Air, Frontier Airlines and Spirit Airlines, which compete in many of the markets in which we operate.</w:t>
      </w:r>
    </w:p>
    <w:p>
      <w:pPr>
        <w:spacing w:after="0" w:line="143" w:lineRule="exact"/>
        <w:rPr>
          <w:sz w:val="20"/>
          <w:szCs w:val="20"/>
          <w:color w:val="auto"/>
        </w:rPr>
      </w:pPr>
    </w:p>
    <w:p>
      <w:pPr>
        <w:jc w:val="both"/>
        <w:ind w:firstLine="223"/>
        <w:spacing w:after="0" w:line="253" w:lineRule="auto"/>
        <w:rPr>
          <w:sz w:val="20"/>
          <w:szCs w:val="20"/>
          <w:color w:val="auto"/>
        </w:rPr>
      </w:pPr>
      <w:r>
        <w:rPr>
          <w:rFonts w:ascii="Arial" w:cs="Arial" w:eastAsia="Arial" w:hAnsi="Arial"/>
          <w:sz w:val="20"/>
          <w:szCs w:val="20"/>
          <w:color w:val="00162F"/>
        </w:rPr>
        <w:t>In addition to price competition, airlines compete for market share by increasing the size of their route system and the number of markets they serve. The American Eagle regional carriers increase the number of markets we serve by flying to smaller markets and providing connections at our hubs. Many of our competitors also own or have agreements with regional airlines that provide similar services at their hubs and other locations. We also compete on the basis of scheduling (frequency and flight times), availability of nonstop flights, on-time performance, type of equipment, cabin configuration, amenities provided to passengers, loyalty programs, the automation of travel agent reservation systems, onboard products, health and safety, sustainability initiatives and other services.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International</w:t>
      </w:r>
    </w:p>
    <w:p>
      <w:pPr>
        <w:spacing w:after="0" w:line="95" w:lineRule="exact"/>
        <w:rPr>
          <w:sz w:val="20"/>
          <w:szCs w:val="20"/>
          <w:color w:val="auto"/>
        </w:rPr>
      </w:pPr>
    </w:p>
    <w:p>
      <w:pPr>
        <w:jc w:val="both"/>
        <w:ind w:firstLine="223"/>
        <w:spacing w:after="0" w:line="254" w:lineRule="auto"/>
        <w:rPr>
          <w:sz w:val="20"/>
          <w:szCs w:val="20"/>
          <w:color w:val="auto"/>
        </w:rPr>
      </w:pPr>
      <w:r>
        <w:rPr>
          <w:rFonts w:ascii="Arial" w:cs="Arial" w:eastAsia="Arial" w:hAnsi="Arial"/>
          <w:sz w:val="20"/>
          <w:szCs w:val="20"/>
          <w:color w:val="00162F"/>
        </w:rPr>
        <w:t>In addition to our extensive domestic service, we provide international service to Canada, Mexico, the Caribbean, Central and South America, Europe, Qatar, China, Japan, South Korea, India, Australia and New Zealand. In providing international air transportation, we compete with other U.S. airlines, foreign investor-owned airlines and foreign state-owned or state-affiliated airlines. Competition has also been increasing from low-cost airlines executing international long-haul expansion strategies, a trend we expect to continue, in particular with the introduction of long-range narrowbody aircraft.</w:t>
      </w:r>
    </w:p>
    <w:p>
      <w:pPr>
        <w:spacing w:after="0" w:line="143"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In order to increase our ability to compete in the market for international air transportation service, which is subject to extensive government regulation, U.S. and foreign carriers have entered into bilateral and multilateral marketing relationships, alliances, cooperation agreements and joint business agreements to exchange traffic among each other’s flights and route networks. See “</w:t>
      </w:r>
      <w:r>
        <w:rPr>
          <w:rFonts w:ascii="Arial" w:cs="Arial" w:eastAsia="Arial" w:hAnsi="Arial"/>
          <w:sz w:val="20"/>
          <w:szCs w:val="20"/>
          <w:i w:val="1"/>
          <w:iCs w:val="1"/>
          <w:color w:val="00162F"/>
        </w:rPr>
        <w:t>Distribution and Marketing Agreements</w:t>
      </w:r>
      <w:r>
        <w:rPr>
          <w:rFonts w:ascii="Arial" w:cs="Arial" w:eastAsia="Arial" w:hAnsi="Arial"/>
          <w:sz w:val="20"/>
          <w:szCs w:val="20"/>
          <w:color w:val="00162F"/>
        </w:rPr>
        <w:t>” above for further discussion.</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00162F"/>
        </w:rPr>
        <w:t>11</w:t>
      </w:r>
    </w:p>
    <w:p>
      <w:pPr>
        <w:sectPr>
          <w:pgSz w:w="11880" w:h="15480" w:orient="portrait"/>
          <w:cols w:equalWidth="0" w:num="1">
            <w:col w:w="10680"/>
          </w:cols>
          <w:pgMar w:left="600" w:top="992" w:right="600" w:bottom="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00162F"/>
        </w:rPr>
        <w:t>Sustainability</w:t>
      </w:r>
    </w:p>
    <w:p>
      <w:pPr>
        <w:spacing w:after="0" w:line="97" w:lineRule="exact"/>
        <w:rPr>
          <w:sz w:val="20"/>
          <w:szCs w:val="20"/>
          <w:color w:val="auto"/>
        </w:rPr>
      </w:pPr>
    </w:p>
    <w:p>
      <w:pPr>
        <w:jc w:val="both"/>
        <w:ind w:firstLine="223"/>
        <w:spacing w:after="0" w:line="265" w:lineRule="auto"/>
        <w:rPr>
          <w:sz w:val="20"/>
          <w:szCs w:val="20"/>
          <w:color w:val="auto"/>
        </w:rPr>
      </w:pPr>
      <w:r>
        <w:rPr>
          <w:rFonts w:ascii="Arial" w:cs="Arial" w:eastAsia="Arial" w:hAnsi="Arial"/>
          <w:sz w:val="20"/>
          <w:szCs w:val="20"/>
          <w:color w:val="00162F"/>
        </w:rPr>
        <w:t>We aim to run a resilient, profitable enterprise that will thrive over the long term. Our strategy focuses on protecting the safety of team members and customers, attracting and developing top talent, providing a world-class travel experience and positioning American to compete in a low-carbon economy.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Safety</w:t>
      </w:r>
    </w:p>
    <w:p>
      <w:pPr>
        <w:spacing w:after="0" w:line="95"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The safety of our customers and team members is a top priority. Our approach to safety is guided by our Federal Aviation Administration (FAA)-approved safety management systems (SMS), an organization-wide approach to identifying and managing risk. Each SMS is comprised of four components: Safety Policy, Safety Risk Management (SRM), Safety Assurance and Safety Promotion.</w:t>
      </w:r>
    </w:p>
    <w:p>
      <w:pPr>
        <w:spacing w:after="0" w:line="136" w:lineRule="exact"/>
        <w:rPr>
          <w:sz w:val="20"/>
          <w:szCs w:val="20"/>
          <w:color w:val="auto"/>
        </w:rPr>
      </w:pPr>
    </w:p>
    <w:p>
      <w:pPr>
        <w:jc w:val="both"/>
        <w:ind w:firstLine="223"/>
        <w:spacing w:after="0" w:line="252" w:lineRule="auto"/>
        <w:rPr>
          <w:sz w:val="20"/>
          <w:szCs w:val="20"/>
          <w:color w:val="auto"/>
        </w:rPr>
      </w:pPr>
      <w:r>
        <w:rPr>
          <w:rFonts w:ascii="Arial" w:cs="Arial" w:eastAsia="Arial" w:hAnsi="Arial"/>
          <w:sz w:val="20"/>
          <w:szCs w:val="20"/>
          <w:color w:val="00162F"/>
        </w:rPr>
        <w:t>Our Safety Policy sets safety objectives while striving to comply with applicable regulatory requirements and laws in the countries where we operate, and it establishes standards for acceptable operational behaviors. The SRM element of our SMS provides a decision-making process for identifying hazards and mitigating risk based on a thorough understanding of our systems and their operating environment. We employ SRM whenever there is a change to our processes, procedures or operations, such as the delivery of new aircraft. The Safety Assurance component specifies how we validate the effectiveness of risk controls and the performance of the SMS using data to conduct quality assurance and internal oversight. Lastly, the Safety Promotion component of our SMS includes communications and training to keep heightened awareness among team members to identify and report potential safety concerns.</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Our People</w:t>
      </w:r>
    </w:p>
    <w:p>
      <w:pPr>
        <w:spacing w:after="0" w:line="95" w:lineRule="exact"/>
        <w:rPr>
          <w:sz w:val="20"/>
          <w:szCs w:val="20"/>
          <w:color w:val="auto"/>
        </w:rPr>
      </w:pPr>
    </w:p>
    <w:p>
      <w:pPr>
        <w:jc w:val="both"/>
        <w:ind w:firstLine="223"/>
        <w:spacing w:after="0" w:line="253" w:lineRule="auto"/>
        <w:rPr>
          <w:sz w:val="20"/>
          <w:szCs w:val="20"/>
          <w:color w:val="auto"/>
        </w:rPr>
      </w:pPr>
      <w:r>
        <w:rPr>
          <w:rFonts w:ascii="Arial" w:cs="Arial" w:eastAsia="Arial" w:hAnsi="Arial"/>
          <w:sz w:val="20"/>
          <w:szCs w:val="20"/>
          <w:color w:val="00162F"/>
        </w:rPr>
        <w:t>The airline business is labor intensive, and our team members are critical to delivering for our customers. The operational complexity of our business requires a team of personnel trained and experienced in a variety of technical areas such as flight operations, ground operations, safety and maintenance, customer service and airline scheduling and planning. Fostering a culture where our team members feel supported to take care of our customers is critical to our success. To do this, we must continue to hire the best and the brightest, ensure that people from all backgrounds are aware of the opportunities that exist in aviation, and create a culture where everyone can reach their full potential and thrive.</w:t>
      </w:r>
    </w:p>
    <w:p>
      <w:pPr>
        <w:spacing w:after="0" w:line="144"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In 2025, mainline and regional salaries, wages and benefits were our largest expense and represented 38% of our total operating expenses. As of December 31, 2025, we had approximately 139,100 active full-time equivalent employees, approximately 86% of whom were represented by various labor unions responsible for negotiating the collective bargaining agreements (CBAs) governing their compensation and job duties, among other things.</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20"/>
          <w:szCs w:val="20"/>
          <w:i w:val="1"/>
          <w:iCs w:val="1"/>
          <w:u w:val="single" w:color="auto"/>
          <w:color w:val="00162F"/>
        </w:rPr>
        <w:t>Talent Development</w:t>
      </w:r>
    </w:p>
    <w:p>
      <w:pPr>
        <w:spacing w:after="0" w:line="95" w:lineRule="exact"/>
        <w:rPr>
          <w:sz w:val="20"/>
          <w:szCs w:val="20"/>
          <w:color w:val="auto"/>
        </w:rPr>
      </w:pPr>
    </w:p>
    <w:p>
      <w:pPr>
        <w:jc w:val="both"/>
        <w:ind w:firstLine="223"/>
        <w:spacing w:after="0" w:line="265" w:lineRule="auto"/>
        <w:rPr>
          <w:sz w:val="20"/>
          <w:szCs w:val="20"/>
          <w:color w:val="auto"/>
        </w:rPr>
      </w:pPr>
      <w:r>
        <w:rPr>
          <w:rFonts w:ascii="Arial" w:cs="Arial" w:eastAsia="Arial" w:hAnsi="Arial"/>
          <w:sz w:val="20"/>
          <w:szCs w:val="20"/>
          <w:color w:val="00162F"/>
        </w:rPr>
        <w:t>We focus on providing our team members with the tools, training and resources they need to do their best work. We maintain a suite of programs aimed at helping our people develop the skills and experience they need to succeed in their roles and build rewarding, long-term careers within our company.</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Our Culture</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We seek to create a workplace where all perspectives and experiences are welcomed, valued and encouraged and where every individual, regardless of their national origin, religion, race, gender, sexual orientation or background, not only knows they belong, but that they can thrive at our company. Our goal is to make culture a competitive advantage so people will want to work with us, fly with us and invest in us. We believe in:</w:t>
      </w:r>
    </w:p>
    <w:p>
      <w:pPr>
        <w:spacing w:after="0" w:line="136" w:lineRule="exact"/>
        <w:rPr>
          <w:sz w:val="20"/>
          <w:szCs w:val="20"/>
          <w:color w:val="auto"/>
        </w:rPr>
      </w:pPr>
    </w:p>
    <w:p>
      <w:pPr>
        <w:ind w:left="700" w:hanging="349"/>
        <w:spacing w:after="0"/>
        <w:tabs>
          <w:tab w:leader="none" w:pos="700" w:val="left"/>
        </w:tabs>
        <w:numPr>
          <w:ilvl w:val="0"/>
          <w:numId w:val="7"/>
        </w:numPr>
        <w:rPr>
          <w:rFonts w:ascii="Arial" w:cs="Arial" w:eastAsia="Arial" w:hAnsi="Arial"/>
          <w:sz w:val="20"/>
          <w:szCs w:val="20"/>
          <w:color w:val="00162F"/>
        </w:rPr>
      </w:pPr>
      <w:r>
        <w:rPr>
          <w:rFonts w:ascii="Arial" w:cs="Arial" w:eastAsia="Arial" w:hAnsi="Arial"/>
          <w:sz w:val="20"/>
          <w:szCs w:val="20"/>
          <w:color w:val="00162F"/>
        </w:rPr>
        <w:t>Hiring, engaging and retaining the best and the brightest talent for growth;</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7"/>
        </w:numPr>
        <w:rPr>
          <w:rFonts w:ascii="Arial" w:cs="Arial" w:eastAsia="Arial" w:hAnsi="Arial"/>
          <w:sz w:val="20"/>
          <w:szCs w:val="20"/>
          <w:color w:val="00162F"/>
        </w:rPr>
      </w:pPr>
      <w:r>
        <w:rPr>
          <w:rFonts w:ascii="Arial" w:cs="Arial" w:eastAsia="Arial" w:hAnsi="Arial"/>
          <w:sz w:val="20"/>
          <w:szCs w:val="20"/>
          <w:color w:val="00162F"/>
        </w:rPr>
        <w:t>Delivering excellence in our operations to serve and expand our global markets;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7"/>
        </w:numPr>
        <w:rPr>
          <w:rFonts w:ascii="Arial" w:cs="Arial" w:eastAsia="Arial" w:hAnsi="Arial"/>
          <w:sz w:val="20"/>
          <w:szCs w:val="20"/>
          <w:color w:val="00162F"/>
        </w:rPr>
      </w:pPr>
      <w:r>
        <w:rPr>
          <w:rFonts w:ascii="Arial" w:cs="Arial" w:eastAsia="Arial" w:hAnsi="Arial"/>
          <w:sz w:val="20"/>
          <w:szCs w:val="20"/>
          <w:color w:val="00162F"/>
        </w:rPr>
        <w:t>Striving to have our teams build connections and trust with all who fly with us; and</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7"/>
        </w:numPr>
        <w:rPr>
          <w:rFonts w:ascii="Arial" w:cs="Arial" w:eastAsia="Arial" w:hAnsi="Arial"/>
          <w:sz w:val="20"/>
          <w:szCs w:val="20"/>
          <w:color w:val="00162F"/>
        </w:rPr>
      </w:pPr>
      <w:r>
        <w:rPr>
          <w:rFonts w:ascii="Arial" w:cs="Arial" w:eastAsia="Arial" w:hAnsi="Arial"/>
          <w:sz w:val="20"/>
          <w:szCs w:val="20"/>
          <w:color w:val="00162F"/>
        </w:rPr>
        <w:t>Driving industry innovation to build competitive advantages.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12</w:t>
      </w:r>
    </w:p>
    <w:p>
      <w:pPr>
        <w:sectPr>
          <w:pgSz w:w="11880" w:h="15480" w:orient="portrait"/>
          <w:cols w:equalWidth="0" w:num="1">
            <w:col w:w="10680"/>
          </w:cols>
          <w:pgMar w:left="600" w:top="992" w:right="600" w:bottom="0" w:gutter="0" w:footer="0" w:header="0"/>
          <w:type w:val="continuous"/>
        </w:sectPr>
      </w:pPr>
    </w:p>
    <w:bookmarkStart w:id="13" w:name="page14"/>
    <w:bookmarkEnd w:id="13"/>
    <w:p>
      <w:pPr>
        <w:ind w:left="260"/>
        <w:spacing w:after="0"/>
        <w:rPr>
          <w:sz w:val="20"/>
          <w:szCs w:val="20"/>
          <w:color w:val="auto"/>
        </w:rPr>
      </w:pPr>
      <w:r>
        <w:rPr>
          <w:rFonts w:ascii="Arial" w:cs="Arial" w:eastAsia="Arial" w:hAnsi="Arial"/>
          <w:sz w:val="20"/>
          <w:szCs w:val="20"/>
          <w:i w:val="1"/>
          <w:iCs w:val="1"/>
          <w:u w:val="single" w:color="auto"/>
          <w:color w:val="00162F"/>
        </w:rPr>
        <w:t>Competitive Pay and Comprehensive Benefits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We seek to offer competitive pay, comprehensive benefits and a wide variety of resources designed to support the physical, behavioral and financial well-being of our team members and their families, including medical coverage that is intended to be affordable and flexible along with healthcare navigation and support tools.</w:t>
      </w:r>
    </w:p>
    <w:p>
      <w:pPr>
        <w:spacing w:after="0" w:line="129" w:lineRule="exact"/>
        <w:rPr>
          <w:sz w:val="20"/>
          <w:szCs w:val="20"/>
          <w:color w:val="auto"/>
        </w:rPr>
      </w:pPr>
    </w:p>
    <w:p>
      <w:pPr>
        <w:jc w:val="both"/>
        <w:ind w:firstLine="267"/>
        <w:spacing w:after="0" w:line="270" w:lineRule="auto"/>
        <w:rPr>
          <w:sz w:val="20"/>
          <w:szCs w:val="20"/>
          <w:color w:val="auto"/>
        </w:rPr>
      </w:pPr>
      <w:r>
        <w:rPr>
          <w:rFonts w:ascii="Arial" w:cs="Arial" w:eastAsia="Arial" w:hAnsi="Arial"/>
          <w:sz w:val="19"/>
          <w:szCs w:val="19"/>
          <w:color w:val="00162F"/>
        </w:rPr>
        <w:t>Our internal recognition programs give team members and customers the opportunity to show their appreciation for a job well done, including through our Nonstop Thanks program whereby team members can award each other points for exceptional service or as an expression of gratitude. Recognition points earned through the Nonstop Thanks program can be redeemed for items in an online catalog. In 2025, our team members were recognized by customers, peers and company leaders approximately three million times. Additionally, approximately 1,000 peer nominations were submitted for the annual Circle of Excellence, the highest honor that we bestow upon our team members for their career achievements.</w:t>
      </w:r>
    </w:p>
    <w:p>
      <w:pPr>
        <w:spacing w:after="0" w:line="129"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 xml:space="preserve">Our future success depends in large part on our ability to attract, develop and retain highly qualified management, technical and other personnel. We may not be successful in attracting, developing or retaining key personnel or other highly qualified personnel. In addition, competition for skilled personnel has intensified and may continue to intensify if overall industry capacity continues to increase and/or we were to incur attrition at levels higher than we have historically. For more discussion, see Part I, Item 1A. Risk Factors – </w:t>
      </w:r>
      <w:r>
        <w:rPr>
          <w:rFonts w:ascii="Arial" w:cs="Arial" w:eastAsia="Arial" w:hAnsi="Arial"/>
          <w:sz w:val="20"/>
          <w:szCs w:val="20"/>
          <w:i w:val="1"/>
          <w:iCs w:val="1"/>
          <w:color w:val="00162F"/>
        </w:rPr>
        <w:t>“The loss of key personnel whom we depend on to operate our</w:t>
      </w:r>
      <w:r>
        <w:rPr>
          <w:rFonts w:ascii="Arial" w:cs="Arial" w:eastAsia="Arial" w:hAnsi="Arial"/>
          <w:sz w:val="20"/>
          <w:szCs w:val="20"/>
          <w:color w:val="00162F"/>
        </w:rPr>
        <w:t xml:space="preserve"> </w:t>
      </w:r>
      <w:r>
        <w:rPr>
          <w:rFonts w:ascii="Arial" w:cs="Arial" w:eastAsia="Arial" w:hAnsi="Arial"/>
          <w:sz w:val="20"/>
          <w:szCs w:val="20"/>
          <w:i w:val="1"/>
          <w:iCs w:val="1"/>
          <w:color w:val="00162F"/>
        </w:rPr>
        <w:t>business, or the inability to attract, develop and retain additional qualified personnel could adversely affect our business.”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20"/>
          <w:szCs w:val="20"/>
          <w:i w:val="1"/>
          <w:iCs w:val="1"/>
          <w:u w:val="single" w:color="auto"/>
          <w:color w:val="00162F"/>
        </w:rPr>
        <w:t>Labor Relations</w:t>
      </w:r>
    </w:p>
    <w:p>
      <w:pPr>
        <w:spacing w:after="0" w:line="95" w:lineRule="exact"/>
        <w:rPr>
          <w:sz w:val="20"/>
          <w:szCs w:val="20"/>
          <w:color w:val="auto"/>
        </w:rPr>
      </w:pPr>
    </w:p>
    <w:p>
      <w:pPr>
        <w:jc w:val="both"/>
        <w:ind w:firstLine="223"/>
        <w:spacing w:after="0" w:line="265" w:lineRule="auto"/>
        <w:rPr>
          <w:sz w:val="20"/>
          <w:szCs w:val="20"/>
          <w:color w:val="auto"/>
        </w:rPr>
      </w:pPr>
      <w:r>
        <w:rPr>
          <w:rFonts w:ascii="Arial" w:cs="Arial" w:eastAsia="Arial" w:hAnsi="Arial"/>
          <w:sz w:val="20"/>
          <w:szCs w:val="20"/>
          <w:color w:val="00162F"/>
        </w:rPr>
        <w:t>Labor relations in the air transportation industry are governed by the Railway Labor Act (RLA), which grants the National Mediation Board (NMB) with certain functions with respect to disputes between airlines and labor unions, including those relating to union representation and CBAs.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The following table shows our domestic airline employee groups that are represented by unions: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ind w:left="40"/>
              <w:spacing w:after="0"/>
              <w:rPr>
                <w:sz w:val="20"/>
                <w:szCs w:val="20"/>
                <w:color w:val="auto"/>
              </w:rPr>
            </w:pPr>
            <w:r>
              <w:rPr>
                <w:rFonts w:ascii="Arial" w:cs="Arial" w:eastAsia="Arial" w:hAnsi="Arial"/>
                <w:sz w:val="16"/>
                <w:szCs w:val="16"/>
                <w:b w:val="1"/>
                <w:bCs w:val="1"/>
                <w:color w:val="00162F"/>
              </w:rPr>
              <w:t>Union</w:t>
            </w:r>
          </w:p>
        </w:tc>
        <w:tc>
          <w:tcPr>
            <w:tcW w:w="80" w:type="dxa"/>
            <w:vAlign w:val="bottom"/>
          </w:tcPr>
          <w:p>
            <w:pPr>
              <w:spacing w:after="0"/>
              <w:rPr>
                <w:sz w:val="16"/>
                <w:szCs w:val="16"/>
                <w:color w:val="auto"/>
              </w:rPr>
            </w:pPr>
          </w:p>
        </w:tc>
        <w:tc>
          <w:tcPr>
            <w:tcW w:w="2660" w:type="dxa"/>
            <w:vAlign w:val="bottom"/>
            <w:vMerge w:val="restart"/>
          </w:tcPr>
          <w:p>
            <w:pPr>
              <w:ind w:left="40"/>
              <w:spacing w:after="0"/>
              <w:rPr>
                <w:sz w:val="20"/>
                <w:szCs w:val="20"/>
                <w:color w:val="auto"/>
              </w:rPr>
            </w:pPr>
            <w:r>
              <w:rPr>
                <w:rFonts w:ascii="Arial" w:cs="Arial" w:eastAsia="Arial" w:hAnsi="Arial"/>
                <w:sz w:val="16"/>
                <w:szCs w:val="16"/>
                <w:b w:val="1"/>
                <w:bCs w:val="1"/>
                <w:color w:val="00162F"/>
              </w:rPr>
              <w:t>Class or Craft</w:t>
            </w:r>
          </w:p>
        </w:tc>
        <w:tc>
          <w:tcPr>
            <w:tcW w:w="60" w:type="dxa"/>
            <w:vAlign w:val="bottom"/>
          </w:tcPr>
          <w:p>
            <w:pPr>
              <w:spacing w:after="0"/>
              <w:rPr>
                <w:sz w:val="16"/>
                <w:szCs w:val="16"/>
                <w:color w:val="auto"/>
              </w:rPr>
            </w:pPr>
          </w:p>
        </w:tc>
        <w:tc>
          <w:tcPr>
            <w:tcW w:w="12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00162F"/>
              </w:rPr>
              <w:t xml:space="preserve">Employees </w:t>
            </w:r>
            <w:r>
              <w:rPr>
                <w:rFonts w:ascii="Arial" w:cs="Arial" w:eastAsia="Arial" w:hAnsi="Arial"/>
                <w:sz w:val="10"/>
                <w:szCs w:val="10"/>
                <w:b w:val="1"/>
                <w:bCs w:val="1"/>
                <w:color w:val="00162F"/>
              </w:rPr>
              <w:t>(1)</w:t>
            </w:r>
          </w:p>
        </w:tc>
        <w:tc>
          <w:tcPr>
            <w:tcW w:w="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00162F"/>
                <w:w w:val="97"/>
              </w:rPr>
              <w:t>Contract</w:t>
            </w:r>
          </w:p>
        </w:tc>
        <w:tc>
          <w:tcPr>
            <w:tcW w:w="0" w:type="dxa"/>
            <w:vAlign w:val="bottom"/>
          </w:tcPr>
          <w:p>
            <w:pPr>
              <w:spacing w:after="0"/>
              <w:rPr>
                <w:sz w:val="1"/>
                <w:szCs w:val="1"/>
                <w:color w:val="auto"/>
              </w:rPr>
            </w:pPr>
          </w:p>
        </w:tc>
      </w:tr>
      <w:tr>
        <w:trPr>
          <w:trHeight w:val="211"/>
        </w:trPr>
        <w:tc>
          <w:tcPr>
            <w:tcW w:w="494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tcPr>
          <w:p>
            <w:pPr>
              <w:spacing w:after="0"/>
              <w:rPr>
                <w:sz w:val="18"/>
                <w:szCs w:val="18"/>
                <w:color w:val="auto"/>
              </w:rPr>
            </w:pPr>
          </w:p>
        </w:tc>
        <w:tc>
          <w:tcPr>
            <w:tcW w:w="266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126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tcPr>
          <w:p>
            <w:pPr>
              <w:spacing w:after="0"/>
              <w:rPr>
                <w:sz w:val="18"/>
                <w:szCs w:val="18"/>
                <w:color w:val="auto"/>
              </w:rPr>
            </w:pPr>
          </w:p>
        </w:tc>
        <w:tc>
          <w:tcPr>
            <w:tcW w:w="160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8"/>
              </w:rPr>
              <w:t>Amendable Date</w:t>
            </w:r>
          </w:p>
        </w:tc>
        <w:tc>
          <w:tcPr>
            <w:tcW w:w="0" w:type="dxa"/>
            <w:vAlign w:val="bottom"/>
          </w:tcPr>
          <w:p>
            <w:pPr>
              <w:spacing w:after="0"/>
              <w:rPr>
                <w:sz w:val="1"/>
                <w:szCs w:val="1"/>
                <w:color w:val="auto"/>
              </w:rPr>
            </w:pPr>
          </w:p>
        </w:tc>
      </w:tr>
      <w:tr>
        <w:trPr>
          <w:trHeight w:val="27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Mainline:</w:t>
            </w:r>
          </w:p>
        </w:tc>
        <w:tc>
          <w:tcPr>
            <w:tcW w:w="80" w:type="dxa"/>
            <w:vAlign w:val="bottom"/>
            <w:shd w:val="clear" w:color="auto" w:fill="EDEDED"/>
          </w:tcPr>
          <w:p>
            <w:pPr>
              <w:spacing w:after="0"/>
              <w:rPr>
                <w:sz w:val="23"/>
                <w:szCs w:val="23"/>
                <w:color w:val="auto"/>
              </w:rPr>
            </w:pPr>
          </w:p>
        </w:tc>
        <w:tc>
          <w:tcPr>
            <w:tcW w:w="2660" w:type="dxa"/>
            <w:vAlign w:val="bottom"/>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126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160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Allied Pilots Association (APA)</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Pilots</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14,970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r>
        <w:trPr>
          <w:trHeight w:val="29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Association of Professional Flight Attendants (APFA)</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Flight Attendants</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26,400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2029</w:t>
            </w:r>
          </w:p>
        </w:tc>
        <w:tc>
          <w:tcPr>
            <w:tcW w:w="0" w:type="dxa"/>
            <w:vAlign w:val="bottom"/>
          </w:tcPr>
          <w:p>
            <w:pPr>
              <w:spacing w:after="0"/>
              <w:rPr>
                <w:sz w:val="1"/>
                <w:szCs w:val="1"/>
                <w:color w:val="auto"/>
              </w:rPr>
            </w:pPr>
          </w:p>
        </w:tc>
      </w:tr>
      <w:tr>
        <w:trPr>
          <w:trHeight w:val="196"/>
        </w:trPr>
        <w:tc>
          <w:tcPr>
            <w:tcW w:w="4940" w:type="dxa"/>
            <w:vAlign w:val="bottom"/>
          </w:tcPr>
          <w:p>
            <w:pPr>
              <w:ind w:left="40"/>
              <w:spacing w:after="0" w:line="196" w:lineRule="exact"/>
              <w:rPr>
                <w:sz w:val="20"/>
                <w:szCs w:val="20"/>
                <w:color w:val="auto"/>
              </w:rPr>
            </w:pPr>
            <w:r>
              <w:rPr>
                <w:rFonts w:ascii="Arial" w:cs="Arial" w:eastAsia="Arial" w:hAnsi="Arial"/>
                <w:sz w:val="20"/>
                <w:szCs w:val="20"/>
                <w:color w:val="00162F"/>
              </w:rPr>
              <w:t>Airline Customer Service Employee Association –</w:t>
            </w:r>
          </w:p>
        </w:tc>
        <w:tc>
          <w:tcPr>
            <w:tcW w:w="80" w:type="dxa"/>
            <w:vAlign w:val="bottom"/>
          </w:tcPr>
          <w:p>
            <w:pPr>
              <w:spacing w:after="0"/>
              <w:rPr>
                <w:sz w:val="17"/>
                <w:szCs w:val="17"/>
                <w:color w:val="auto"/>
              </w:rPr>
            </w:pPr>
          </w:p>
        </w:tc>
        <w:tc>
          <w:tcPr>
            <w:tcW w:w="2660" w:type="dxa"/>
            <w:vAlign w:val="bottom"/>
          </w:tcPr>
          <w:p>
            <w:pPr>
              <w:ind w:left="40"/>
              <w:spacing w:after="0" w:line="196" w:lineRule="exact"/>
              <w:rPr>
                <w:sz w:val="20"/>
                <w:szCs w:val="20"/>
                <w:color w:val="auto"/>
              </w:rPr>
            </w:pPr>
            <w:r>
              <w:rPr>
                <w:rFonts w:ascii="Arial" w:cs="Arial" w:eastAsia="Arial" w:hAnsi="Arial"/>
                <w:sz w:val="20"/>
                <w:szCs w:val="20"/>
                <w:color w:val="00162F"/>
              </w:rPr>
              <w:t>Passenger Service</w:t>
            </w:r>
          </w:p>
        </w:tc>
        <w:tc>
          <w:tcPr>
            <w:tcW w:w="1320" w:type="dxa"/>
            <w:vAlign w:val="bottom"/>
            <w:gridSpan w:val="2"/>
          </w:tcPr>
          <w:p>
            <w:pPr>
              <w:jc w:val="right"/>
              <w:ind w:right="1"/>
              <w:spacing w:after="0" w:line="196" w:lineRule="exact"/>
              <w:rPr>
                <w:sz w:val="20"/>
                <w:szCs w:val="20"/>
                <w:color w:val="auto"/>
              </w:rPr>
            </w:pPr>
            <w:r>
              <w:rPr>
                <w:rFonts w:ascii="Arial" w:cs="Arial" w:eastAsia="Arial" w:hAnsi="Arial"/>
                <w:sz w:val="20"/>
                <w:szCs w:val="20"/>
                <w:color w:val="00162F"/>
              </w:rPr>
              <w:t>13,030</w:t>
            </w:r>
          </w:p>
        </w:tc>
        <w:tc>
          <w:tcPr>
            <w:tcW w:w="1680" w:type="dxa"/>
            <w:vAlign w:val="bottom"/>
            <w:gridSpan w:val="2"/>
          </w:tcPr>
          <w:p>
            <w:pPr>
              <w:jc w:val="center"/>
              <w:spacing w:after="0" w:line="196" w:lineRule="exact"/>
              <w:rPr>
                <w:sz w:val="20"/>
                <w:szCs w:val="20"/>
                <w:color w:val="auto"/>
              </w:rPr>
            </w:pPr>
            <w:r>
              <w:rPr>
                <w:rFonts w:ascii="Arial" w:cs="Arial" w:eastAsia="Arial" w:hAnsi="Arial"/>
                <w:sz w:val="20"/>
                <w:szCs w:val="20"/>
                <w:color w:val="00162F"/>
                <w:w w:val="98"/>
              </w:rPr>
              <w:t>2029</w:t>
            </w:r>
          </w:p>
        </w:tc>
        <w:tc>
          <w:tcPr>
            <w:tcW w:w="0" w:type="dxa"/>
            <w:vAlign w:val="bottom"/>
          </w:tcPr>
          <w:p>
            <w:pPr>
              <w:spacing w:after="0"/>
              <w:rPr>
                <w:sz w:val="1"/>
                <w:szCs w:val="1"/>
                <w:color w:val="auto"/>
              </w:rPr>
            </w:pPr>
          </w:p>
        </w:tc>
      </w:tr>
      <w:tr>
        <w:trPr>
          <w:trHeight w:val="198"/>
        </w:trPr>
        <w:tc>
          <w:tcPr>
            <w:tcW w:w="4940" w:type="dxa"/>
            <w:vAlign w:val="bottom"/>
          </w:tcPr>
          <w:p>
            <w:pPr>
              <w:ind w:left="220"/>
              <w:spacing w:after="0" w:line="198" w:lineRule="exact"/>
              <w:rPr>
                <w:sz w:val="20"/>
                <w:szCs w:val="20"/>
                <w:color w:val="auto"/>
              </w:rPr>
            </w:pPr>
            <w:r>
              <w:rPr>
                <w:rFonts w:ascii="Arial" w:cs="Arial" w:eastAsia="Arial" w:hAnsi="Arial"/>
                <w:sz w:val="20"/>
                <w:szCs w:val="20"/>
                <w:color w:val="00162F"/>
              </w:rPr>
              <w:t>Communications Workers of America and</w:t>
            </w:r>
          </w:p>
        </w:tc>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940" w:type="dxa"/>
            <w:vAlign w:val="bottom"/>
          </w:tcPr>
          <w:p>
            <w:pPr>
              <w:ind w:left="220"/>
              <w:spacing w:after="0"/>
              <w:rPr>
                <w:sz w:val="20"/>
                <w:szCs w:val="20"/>
                <w:color w:val="auto"/>
              </w:rPr>
            </w:pPr>
            <w:r>
              <w:rPr>
                <w:rFonts w:ascii="Arial" w:cs="Arial" w:eastAsia="Arial" w:hAnsi="Arial"/>
                <w:sz w:val="20"/>
                <w:szCs w:val="20"/>
                <w:color w:val="00162F"/>
              </w:rPr>
              <w:t>International Brotherhood of Teamsters (CWA-IBT)</w:t>
            </w:r>
          </w:p>
        </w:tc>
        <w:tc>
          <w:tcPr>
            <w:tcW w:w="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EDEDED"/>
          </w:tcPr>
          <w:p>
            <w:pPr>
              <w:ind w:left="40"/>
              <w:spacing w:after="0" w:line="202" w:lineRule="exact"/>
              <w:rPr>
                <w:sz w:val="20"/>
                <w:szCs w:val="20"/>
                <w:color w:val="auto"/>
              </w:rPr>
            </w:pPr>
            <w:r>
              <w:rPr>
                <w:rFonts w:ascii="Arial" w:cs="Arial" w:eastAsia="Arial" w:hAnsi="Arial"/>
                <w:sz w:val="20"/>
                <w:szCs w:val="20"/>
                <w:color w:val="00162F"/>
              </w:rPr>
              <w:t>Transport Workers Union and International Association</w:t>
            </w:r>
          </w:p>
        </w:tc>
        <w:tc>
          <w:tcPr>
            <w:tcW w:w="80" w:type="dxa"/>
            <w:vAlign w:val="bottom"/>
            <w:shd w:val="clear" w:color="auto" w:fill="EDEDED"/>
          </w:tcPr>
          <w:p>
            <w:pPr>
              <w:spacing w:after="0"/>
              <w:rPr>
                <w:sz w:val="17"/>
                <w:szCs w:val="17"/>
                <w:color w:val="auto"/>
              </w:rPr>
            </w:pPr>
          </w:p>
        </w:tc>
        <w:tc>
          <w:tcPr>
            <w:tcW w:w="2660" w:type="dxa"/>
            <w:vAlign w:val="bottom"/>
            <w:shd w:val="clear" w:color="auto" w:fill="EDEDED"/>
          </w:tcPr>
          <w:p>
            <w:pPr>
              <w:ind w:left="40"/>
              <w:spacing w:after="0" w:line="202" w:lineRule="exact"/>
              <w:rPr>
                <w:sz w:val="20"/>
                <w:szCs w:val="20"/>
                <w:color w:val="auto"/>
              </w:rPr>
            </w:pPr>
            <w:r>
              <w:rPr>
                <w:rFonts w:ascii="Arial" w:cs="Arial" w:eastAsia="Arial" w:hAnsi="Arial"/>
                <w:sz w:val="20"/>
                <w:szCs w:val="20"/>
                <w:color w:val="00162F"/>
              </w:rPr>
              <w:t>Mechanics and Related</w:t>
            </w:r>
          </w:p>
        </w:tc>
        <w:tc>
          <w:tcPr>
            <w:tcW w:w="1320" w:type="dxa"/>
            <w:vAlign w:val="bottom"/>
            <w:gridSpan w:val="2"/>
            <w:shd w:val="clear" w:color="auto" w:fill="EDEDED"/>
          </w:tcPr>
          <w:p>
            <w:pPr>
              <w:jc w:val="right"/>
              <w:ind w:right="1"/>
              <w:spacing w:after="0" w:line="202" w:lineRule="exact"/>
              <w:rPr>
                <w:sz w:val="20"/>
                <w:szCs w:val="20"/>
                <w:color w:val="auto"/>
              </w:rPr>
            </w:pPr>
            <w:r>
              <w:rPr>
                <w:rFonts w:ascii="Arial" w:cs="Arial" w:eastAsia="Arial" w:hAnsi="Arial"/>
                <w:sz w:val="20"/>
                <w:szCs w:val="20"/>
                <w:color w:val="00162F"/>
              </w:rPr>
              <w:t>13,040</w:t>
            </w:r>
          </w:p>
        </w:tc>
        <w:tc>
          <w:tcPr>
            <w:tcW w:w="1680" w:type="dxa"/>
            <w:vAlign w:val="bottom"/>
            <w:gridSpan w:val="2"/>
            <w:shd w:val="clear" w:color="auto" w:fill="EDEDED"/>
          </w:tcPr>
          <w:p>
            <w:pPr>
              <w:jc w:val="center"/>
              <w:spacing w:after="0" w:line="202" w:lineRule="exact"/>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r>
        <w:trPr>
          <w:trHeight w:val="198"/>
        </w:trPr>
        <w:tc>
          <w:tcPr>
            <w:tcW w:w="4940" w:type="dxa"/>
            <w:vAlign w:val="bottom"/>
            <w:shd w:val="clear" w:color="auto" w:fill="EDEDED"/>
          </w:tcPr>
          <w:p>
            <w:pPr>
              <w:ind w:left="220"/>
              <w:spacing w:after="0" w:line="198" w:lineRule="exact"/>
              <w:rPr>
                <w:sz w:val="20"/>
                <w:szCs w:val="20"/>
                <w:color w:val="auto"/>
              </w:rPr>
            </w:pPr>
            <w:r>
              <w:rPr>
                <w:rFonts w:ascii="Arial" w:cs="Arial" w:eastAsia="Arial" w:hAnsi="Arial"/>
                <w:sz w:val="20"/>
                <w:szCs w:val="20"/>
                <w:color w:val="00162F"/>
              </w:rPr>
              <w:t>of Machinists &amp; Aerospace Workers (TWU-IAM</w:t>
            </w:r>
          </w:p>
        </w:tc>
        <w:tc>
          <w:tcPr>
            <w:tcW w:w="80" w:type="dxa"/>
            <w:vAlign w:val="bottom"/>
            <w:shd w:val="clear" w:color="auto" w:fill="EDEDED"/>
          </w:tcPr>
          <w:p>
            <w:pPr>
              <w:spacing w:after="0"/>
              <w:rPr>
                <w:sz w:val="17"/>
                <w:szCs w:val="17"/>
                <w:color w:val="auto"/>
              </w:rPr>
            </w:pPr>
          </w:p>
        </w:tc>
        <w:tc>
          <w:tcPr>
            <w:tcW w:w="2660" w:type="dxa"/>
            <w:vAlign w:val="bottom"/>
            <w:shd w:val="clear" w:color="auto" w:fill="EDEDED"/>
          </w:tcPr>
          <w:p>
            <w:pPr>
              <w:spacing w:after="0"/>
              <w:rPr>
                <w:sz w:val="17"/>
                <w:szCs w:val="17"/>
                <w:color w:val="auto"/>
              </w:rPr>
            </w:pPr>
          </w:p>
        </w:tc>
        <w:tc>
          <w:tcPr>
            <w:tcW w:w="60" w:type="dxa"/>
            <w:vAlign w:val="bottom"/>
            <w:shd w:val="clear" w:color="auto" w:fill="EDEDED"/>
          </w:tcPr>
          <w:p>
            <w:pPr>
              <w:spacing w:after="0"/>
              <w:rPr>
                <w:sz w:val="17"/>
                <w:szCs w:val="17"/>
                <w:color w:val="auto"/>
              </w:rPr>
            </w:pPr>
          </w:p>
        </w:tc>
        <w:tc>
          <w:tcPr>
            <w:tcW w:w="1260" w:type="dxa"/>
            <w:vAlign w:val="bottom"/>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160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940" w:type="dxa"/>
            <w:vAlign w:val="bottom"/>
            <w:shd w:val="clear" w:color="auto" w:fill="EDEDED"/>
          </w:tcPr>
          <w:p>
            <w:pPr>
              <w:ind w:left="220"/>
              <w:spacing w:after="0"/>
              <w:rPr>
                <w:sz w:val="20"/>
                <w:szCs w:val="20"/>
                <w:color w:val="auto"/>
              </w:rPr>
            </w:pPr>
            <w:r>
              <w:rPr>
                <w:rFonts w:ascii="Arial" w:cs="Arial" w:eastAsia="Arial" w:hAnsi="Arial"/>
                <w:sz w:val="20"/>
                <w:szCs w:val="20"/>
                <w:color w:val="00162F"/>
              </w:rPr>
              <w:t>Association)</w:t>
            </w:r>
          </w:p>
        </w:tc>
        <w:tc>
          <w:tcPr>
            <w:tcW w:w="80" w:type="dxa"/>
            <w:vAlign w:val="bottom"/>
            <w:shd w:val="clear" w:color="auto" w:fill="EDEDED"/>
          </w:tcPr>
          <w:p>
            <w:pPr>
              <w:spacing w:after="0"/>
              <w:rPr>
                <w:sz w:val="23"/>
                <w:szCs w:val="23"/>
                <w:color w:val="auto"/>
              </w:rPr>
            </w:pPr>
          </w:p>
        </w:tc>
        <w:tc>
          <w:tcPr>
            <w:tcW w:w="2660" w:type="dxa"/>
            <w:vAlign w:val="bottom"/>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126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160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TWU-IAM Association</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Fleet Service</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19,460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r>
        <w:trPr>
          <w:trHeight w:val="29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TWU-IAM Association</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Stock Clerks</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2,090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TWU-IAM Association</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Flight Simulator Engineers</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150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2030</w:t>
            </w:r>
          </w:p>
        </w:tc>
        <w:tc>
          <w:tcPr>
            <w:tcW w:w="0" w:type="dxa"/>
            <w:vAlign w:val="bottom"/>
          </w:tcPr>
          <w:p>
            <w:pPr>
              <w:spacing w:after="0"/>
              <w:rPr>
                <w:sz w:val="1"/>
                <w:szCs w:val="1"/>
                <w:color w:val="auto"/>
              </w:rPr>
            </w:pPr>
          </w:p>
        </w:tc>
      </w:tr>
      <w:tr>
        <w:trPr>
          <w:trHeight w:val="206"/>
        </w:trPr>
        <w:tc>
          <w:tcPr>
            <w:tcW w:w="4940" w:type="dxa"/>
            <w:vAlign w:val="bottom"/>
            <w:shd w:val="clear" w:color="auto" w:fill="EDEDED"/>
          </w:tcPr>
          <w:p>
            <w:pPr>
              <w:ind w:left="40"/>
              <w:spacing w:after="0" w:line="206" w:lineRule="exact"/>
              <w:rPr>
                <w:sz w:val="20"/>
                <w:szCs w:val="20"/>
                <w:color w:val="auto"/>
              </w:rPr>
            </w:pPr>
            <w:r>
              <w:rPr>
                <w:rFonts w:ascii="Arial" w:cs="Arial" w:eastAsia="Arial" w:hAnsi="Arial"/>
                <w:sz w:val="20"/>
                <w:szCs w:val="20"/>
                <w:color w:val="00162F"/>
              </w:rPr>
              <w:t>TWU-IAM Association</w:t>
            </w:r>
          </w:p>
        </w:tc>
        <w:tc>
          <w:tcPr>
            <w:tcW w:w="80" w:type="dxa"/>
            <w:vAlign w:val="bottom"/>
            <w:shd w:val="clear" w:color="auto" w:fill="EDEDED"/>
          </w:tcPr>
          <w:p>
            <w:pPr>
              <w:spacing w:after="0"/>
              <w:rPr>
                <w:sz w:val="17"/>
                <w:szCs w:val="17"/>
                <w:color w:val="auto"/>
              </w:rPr>
            </w:pPr>
          </w:p>
        </w:tc>
        <w:tc>
          <w:tcPr>
            <w:tcW w:w="2660" w:type="dxa"/>
            <w:vAlign w:val="bottom"/>
            <w:shd w:val="clear" w:color="auto" w:fill="EDEDED"/>
          </w:tcPr>
          <w:p>
            <w:pPr>
              <w:ind w:left="40"/>
              <w:spacing w:after="0" w:line="206" w:lineRule="exact"/>
              <w:rPr>
                <w:sz w:val="20"/>
                <w:szCs w:val="20"/>
                <w:color w:val="auto"/>
              </w:rPr>
            </w:pPr>
            <w:r>
              <w:rPr>
                <w:rFonts w:ascii="Arial" w:cs="Arial" w:eastAsia="Arial" w:hAnsi="Arial"/>
                <w:sz w:val="20"/>
                <w:szCs w:val="20"/>
                <w:color w:val="00162F"/>
              </w:rPr>
              <w:t>Maintenance Control</w:t>
            </w:r>
          </w:p>
        </w:tc>
        <w:tc>
          <w:tcPr>
            <w:tcW w:w="1320" w:type="dxa"/>
            <w:vAlign w:val="bottom"/>
            <w:gridSpan w:val="2"/>
            <w:shd w:val="clear" w:color="auto" w:fill="EDEDED"/>
          </w:tcPr>
          <w:p>
            <w:pPr>
              <w:jc w:val="right"/>
              <w:ind w:right="1"/>
              <w:spacing w:after="0" w:line="206" w:lineRule="exact"/>
              <w:rPr>
                <w:sz w:val="20"/>
                <w:szCs w:val="20"/>
                <w:color w:val="auto"/>
              </w:rPr>
            </w:pPr>
            <w:r>
              <w:rPr>
                <w:rFonts w:ascii="Arial" w:cs="Arial" w:eastAsia="Arial" w:hAnsi="Arial"/>
                <w:sz w:val="20"/>
                <w:szCs w:val="20"/>
                <w:color w:val="00162F"/>
              </w:rPr>
              <w:t>190</w:t>
            </w:r>
          </w:p>
        </w:tc>
        <w:tc>
          <w:tcPr>
            <w:tcW w:w="1680" w:type="dxa"/>
            <w:vAlign w:val="bottom"/>
            <w:gridSpan w:val="2"/>
            <w:shd w:val="clear" w:color="auto" w:fill="EDEDED"/>
          </w:tcPr>
          <w:p>
            <w:pPr>
              <w:jc w:val="center"/>
              <w:spacing w:after="0" w:line="206" w:lineRule="exact"/>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r>
        <w:trPr>
          <w:trHeight w:val="279"/>
        </w:trPr>
        <w:tc>
          <w:tcPr>
            <w:tcW w:w="49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Technicians</w:t>
            </w:r>
          </w:p>
        </w:tc>
        <w:tc>
          <w:tcPr>
            <w:tcW w:w="60" w:type="dxa"/>
            <w:vAlign w:val="bottom"/>
            <w:shd w:val="clear" w:color="auto" w:fill="EDEDED"/>
          </w:tcPr>
          <w:p>
            <w:pPr>
              <w:spacing w:after="0"/>
              <w:rPr>
                <w:sz w:val="24"/>
                <w:szCs w:val="24"/>
                <w:color w:val="auto"/>
              </w:rPr>
            </w:pPr>
          </w:p>
        </w:tc>
        <w:tc>
          <w:tcPr>
            <w:tcW w:w="12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16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40"/>
              <w:spacing w:after="0" w:line="196" w:lineRule="exact"/>
              <w:rPr>
                <w:sz w:val="20"/>
                <w:szCs w:val="20"/>
                <w:color w:val="auto"/>
              </w:rPr>
            </w:pPr>
            <w:r>
              <w:rPr>
                <w:rFonts w:ascii="Arial" w:cs="Arial" w:eastAsia="Arial" w:hAnsi="Arial"/>
                <w:sz w:val="20"/>
                <w:szCs w:val="20"/>
                <w:color w:val="00162F"/>
              </w:rPr>
              <w:t>TWU-IAM Association</w:t>
            </w:r>
          </w:p>
        </w:tc>
        <w:tc>
          <w:tcPr>
            <w:tcW w:w="80" w:type="dxa"/>
            <w:vAlign w:val="bottom"/>
          </w:tcPr>
          <w:p>
            <w:pPr>
              <w:spacing w:after="0"/>
              <w:rPr>
                <w:sz w:val="17"/>
                <w:szCs w:val="17"/>
                <w:color w:val="auto"/>
              </w:rPr>
            </w:pPr>
          </w:p>
        </w:tc>
        <w:tc>
          <w:tcPr>
            <w:tcW w:w="2660" w:type="dxa"/>
            <w:vAlign w:val="bottom"/>
          </w:tcPr>
          <w:p>
            <w:pPr>
              <w:ind w:left="40"/>
              <w:spacing w:after="0" w:line="196" w:lineRule="exact"/>
              <w:rPr>
                <w:sz w:val="20"/>
                <w:szCs w:val="20"/>
                <w:color w:val="auto"/>
              </w:rPr>
            </w:pPr>
            <w:r>
              <w:rPr>
                <w:rFonts w:ascii="Arial" w:cs="Arial" w:eastAsia="Arial" w:hAnsi="Arial"/>
                <w:sz w:val="20"/>
                <w:szCs w:val="20"/>
                <w:color w:val="00162F"/>
              </w:rPr>
              <w:t>Maintenance Training</w:t>
            </w:r>
          </w:p>
        </w:tc>
        <w:tc>
          <w:tcPr>
            <w:tcW w:w="1320" w:type="dxa"/>
            <w:vAlign w:val="bottom"/>
            <w:gridSpan w:val="2"/>
          </w:tcPr>
          <w:p>
            <w:pPr>
              <w:jc w:val="right"/>
              <w:ind w:right="1"/>
              <w:spacing w:after="0" w:line="196" w:lineRule="exact"/>
              <w:rPr>
                <w:sz w:val="20"/>
                <w:szCs w:val="20"/>
                <w:color w:val="auto"/>
              </w:rPr>
            </w:pPr>
            <w:r>
              <w:rPr>
                <w:rFonts w:ascii="Arial" w:cs="Arial" w:eastAsia="Arial" w:hAnsi="Arial"/>
                <w:sz w:val="20"/>
                <w:szCs w:val="20"/>
                <w:color w:val="00162F"/>
              </w:rPr>
              <w:t>100</w:t>
            </w:r>
          </w:p>
        </w:tc>
        <w:tc>
          <w:tcPr>
            <w:tcW w:w="1680" w:type="dxa"/>
            <w:vAlign w:val="bottom"/>
            <w:gridSpan w:val="2"/>
          </w:tcPr>
          <w:p>
            <w:pPr>
              <w:jc w:val="center"/>
              <w:spacing w:after="0" w:line="196" w:lineRule="exact"/>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r>
        <w:trPr>
          <w:trHeight w:val="271"/>
        </w:trPr>
        <w:tc>
          <w:tcPr>
            <w:tcW w:w="4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Instructors</w:t>
            </w: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w w:val="99"/>
              </w:rPr>
              <w:t>Professional Airline Flight Control Association (PAFCA)</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Dispatchers</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570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2025</w:t>
            </w:r>
          </w:p>
        </w:tc>
        <w:tc>
          <w:tcPr>
            <w:tcW w:w="0" w:type="dxa"/>
            <w:vAlign w:val="bottom"/>
          </w:tcPr>
          <w:p>
            <w:pPr>
              <w:spacing w:after="0"/>
              <w:rPr>
                <w:sz w:val="1"/>
                <w:szCs w:val="1"/>
                <w:color w:val="auto"/>
              </w:rPr>
            </w:pPr>
          </w:p>
        </w:tc>
      </w:tr>
      <w:tr>
        <w:trPr>
          <w:trHeight w:val="196"/>
        </w:trPr>
        <w:tc>
          <w:tcPr>
            <w:tcW w:w="4940" w:type="dxa"/>
            <w:vAlign w:val="bottom"/>
          </w:tcPr>
          <w:p>
            <w:pPr>
              <w:ind w:left="40"/>
              <w:spacing w:after="0" w:line="196" w:lineRule="exact"/>
              <w:rPr>
                <w:sz w:val="20"/>
                <w:szCs w:val="20"/>
                <w:color w:val="auto"/>
              </w:rPr>
            </w:pPr>
            <w:r>
              <w:rPr>
                <w:rFonts w:ascii="Arial" w:cs="Arial" w:eastAsia="Arial" w:hAnsi="Arial"/>
                <w:sz w:val="20"/>
                <w:szCs w:val="20"/>
                <w:color w:val="00162F"/>
              </w:rPr>
              <w:t>Transport Workers Union (TWU)</w:t>
            </w:r>
          </w:p>
        </w:tc>
        <w:tc>
          <w:tcPr>
            <w:tcW w:w="80" w:type="dxa"/>
            <w:vAlign w:val="bottom"/>
          </w:tcPr>
          <w:p>
            <w:pPr>
              <w:spacing w:after="0"/>
              <w:rPr>
                <w:sz w:val="17"/>
                <w:szCs w:val="17"/>
                <w:color w:val="auto"/>
              </w:rPr>
            </w:pPr>
          </w:p>
        </w:tc>
        <w:tc>
          <w:tcPr>
            <w:tcW w:w="2660" w:type="dxa"/>
            <w:vAlign w:val="bottom"/>
          </w:tcPr>
          <w:p>
            <w:pPr>
              <w:ind w:left="40"/>
              <w:spacing w:after="0" w:line="196" w:lineRule="exact"/>
              <w:rPr>
                <w:sz w:val="20"/>
                <w:szCs w:val="20"/>
                <w:color w:val="auto"/>
              </w:rPr>
            </w:pPr>
            <w:r>
              <w:rPr>
                <w:rFonts w:ascii="Arial" w:cs="Arial" w:eastAsia="Arial" w:hAnsi="Arial"/>
                <w:sz w:val="20"/>
                <w:szCs w:val="20"/>
                <w:color w:val="00162F"/>
              </w:rPr>
              <w:t>Flight Crew Training</w:t>
            </w:r>
          </w:p>
        </w:tc>
        <w:tc>
          <w:tcPr>
            <w:tcW w:w="1320" w:type="dxa"/>
            <w:vAlign w:val="bottom"/>
            <w:gridSpan w:val="2"/>
          </w:tcPr>
          <w:p>
            <w:pPr>
              <w:jc w:val="right"/>
              <w:ind w:right="1"/>
              <w:spacing w:after="0" w:line="196" w:lineRule="exact"/>
              <w:rPr>
                <w:sz w:val="20"/>
                <w:szCs w:val="20"/>
                <w:color w:val="auto"/>
              </w:rPr>
            </w:pPr>
            <w:r>
              <w:rPr>
                <w:rFonts w:ascii="Arial" w:cs="Arial" w:eastAsia="Arial" w:hAnsi="Arial"/>
                <w:sz w:val="20"/>
                <w:szCs w:val="20"/>
                <w:color w:val="00162F"/>
              </w:rPr>
              <w:t>350</w:t>
            </w:r>
          </w:p>
        </w:tc>
        <w:tc>
          <w:tcPr>
            <w:tcW w:w="1680" w:type="dxa"/>
            <w:vAlign w:val="bottom"/>
            <w:gridSpan w:val="2"/>
          </w:tcPr>
          <w:p>
            <w:pPr>
              <w:jc w:val="center"/>
              <w:spacing w:after="0" w:line="196" w:lineRule="exact"/>
              <w:rPr>
                <w:sz w:val="20"/>
                <w:szCs w:val="20"/>
                <w:color w:val="auto"/>
              </w:rPr>
            </w:pPr>
            <w:r>
              <w:rPr>
                <w:rFonts w:ascii="Arial" w:cs="Arial" w:eastAsia="Arial" w:hAnsi="Arial"/>
                <w:sz w:val="20"/>
                <w:szCs w:val="20"/>
                <w:color w:val="00162F"/>
                <w:w w:val="98"/>
              </w:rPr>
              <w:t>2031</w:t>
            </w:r>
          </w:p>
        </w:tc>
        <w:tc>
          <w:tcPr>
            <w:tcW w:w="0" w:type="dxa"/>
            <w:vAlign w:val="bottom"/>
          </w:tcPr>
          <w:p>
            <w:pPr>
              <w:spacing w:after="0"/>
              <w:rPr>
                <w:sz w:val="1"/>
                <w:szCs w:val="1"/>
                <w:color w:val="auto"/>
              </w:rPr>
            </w:pPr>
          </w:p>
        </w:tc>
      </w:tr>
      <w:tr>
        <w:trPr>
          <w:trHeight w:val="263"/>
        </w:trPr>
        <w:tc>
          <w:tcPr>
            <w:tcW w:w="4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Instructors</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-3021965</wp:posOffset>
            </wp:positionV>
            <wp:extent cx="6816725" cy="5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6816725" cy="50165"/>
                    </a:xfrm>
                    <a:prstGeom prst="rect">
                      <a:avLst/>
                    </a:prstGeom>
                    <a:noFill/>
                  </pic:spPr>
                </pic:pic>
              </a:graphicData>
            </a:graphic>
          </wp:anchor>
        </w:drawing>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13</w:t>
      </w:r>
    </w:p>
    <w:p>
      <w:pPr>
        <w:sectPr>
          <w:pgSz w:w="11880" w:h="15480" w:orient="portrait"/>
          <w:cols w:equalWidth="0" w:num="1">
            <w:col w:w="10680"/>
          </w:cols>
          <w:pgMar w:left="600" w:top="994" w:right="600" w:bottom="0" w:gutter="0" w:footer="0" w:header="0"/>
          <w:type w:val="continuous"/>
        </w:sectPr>
      </w:pPr>
    </w:p>
    <w:bookmarkStart w:id="14" w:name="page15"/>
    <w:bookmarkEnd w:id="14"/>
    <w:tbl>
      <w:tblPr>
        <w:tblLayout w:type="fixed"/>
        <w:tblInd w:w="5" w:type="dxa"/>
        <w:tblCellMar>
          <w:top w:w="0" w:type="dxa"/>
          <w:left w:w="0" w:type="dxa"/>
          <w:bottom w:w="0" w:type="dxa"/>
          <w:right w:w="0" w:type="dxa"/>
        </w:tblCellMar>
      </w:tblPr>
      <w:tr>
        <w:trPr>
          <w:trHeight w:val="184"/>
        </w:trPr>
        <w:tc>
          <w:tcPr>
            <w:tcW w:w="4940" w:type="dxa"/>
            <w:vAlign w:val="bottom"/>
            <w:vMerge w:val="restart"/>
          </w:tcPr>
          <w:p>
            <w:pPr>
              <w:ind w:left="40"/>
              <w:spacing w:after="0"/>
              <w:rPr>
                <w:sz w:val="20"/>
                <w:szCs w:val="20"/>
                <w:color w:val="auto"/>
              </w:rPr>
            </w:pPr>
            <w:r>
              <w:rPr>
                <w:rFonts w:ascii="Arial" w:cs="Arial" w:eastAsia="Arial" w:hAnsi="Arial"/>
                <w:sz w:val="16"/>
                <w:szCs w:val="16"/>
                <w:b w:val="1"/>
                <w:bCs w:val="1"/>
                <w:color w:val="00162F"/>
              </w:rPr>
              <w:t>Union</w:t>
            </w:r>
          </w:p>
        </w:tc>
        <w:tc>
          <w:tcPr>
            <w:tcW w:w="80" w:type="dxa"/>
            <w:vAlign w:val="bottom"/>
          </w:tcPr>
          <w:p>
            <w:pPr>
              <w:spacing w:after="0"/>
              <w:rPr>
                <w:sz w:val="16"/>
                <w:szCs w:val="16"/>
                <w:color w:val="auto"/>
              </w:rPr>
            </w:pPr>
          </w:p>
        </w:tc>
        <w:tc>
          <w:tcPr>
            <w:tcW w:w="2660" w:type="dxa"/>
            <w:vAlign w:val="bottom"/>
            <w:vMerge w:val="restart"/>
          </w:tcPr>
          <w:p>
            <w:pPr>
              <w:ind w:left="40"/>
              <w:spacing w:after="0"/>
              <w:rPr>
                <w:sz w:val="20"/>
                <w:szCs w:val="20"/>
                <w:color w:val="auto"/>
              </w:rPr>
            </w:pPr>
            <w:r>
              <w:rPr>
                <w:rFonts w:ascii="Arial" w:cs="Arial" w:eastAsia="Arial" w:hAnsi="Arial"/>
                <w:sz w:val="16"/>
                <w:szCs w:val="16"/>
                <w:b w:val="1"/>
                <w:bCs w:val="1"/>
                <w:color w:val="00162F"/>
              </w:rPr>
              <w:t>Class or Craft</w:t>
            </w:r>
          </w:p>
        </w:tc>
        <w:tc>
          <w:tcPr>
            <w:tcW w:w="60" w:type="dxa"/>
            <w:vAlign w:val="bottom"/>
          </w:tcPr>
          <w:p>
            <w:pPr>
              <w:spacing w:after="0"/>
              <w:rPr>
                <w:sz w:val="16"/>
                <w:szCs w:val="16"/>
                <w:color w:val="auto"/>
              </w:rPr>
            </w:pPr>
          </w:p>
        </w:tc>
        <w:tc>
          <w:tcPr>
            <w:tcW w:w="12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00162F"/>
              </w:rPr>
              <w:t xml:space="preserve">Employees </w:t>
            </w:r>
            <w:r>
              <w:rPr>
                <w:rFonts w:ascii="Arial" w:cs="Arial" w:eastAsia="Arial" w:hAnsi="Arial"/>
                <w:sz w:val="10"/>
                <w:szCs w:val="10"/>
                <w:b w:val="1"/>
                <w:bCs w:val="1"/>
                <w:color w:val="00162F"/>
              </w:rPr>
              <w:t>(1)</w:t>
            </w:r>
          </w:p>
        </w:tc>
        <w:tc>
          <w:tcPr>
            <w:tcW w:w="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00162F"/>
                <w:w w:val="97"/>
              </w:rPr>
              <w:t>Contract</w:t>
            </w:r>
          </w:p>
        </w:tc>
        <w:tc>
          <w:tcPr>
            <w:tcW w:w="0" w:type="dxa"/>
            <w:vAlign w:val="bottom"/>
          </w:tcPr>
          <w:p>
            <w:pPr>
              <w:spacing w:after="0"/>
              <w:rPr>
                <w:sz w:val="1"/>
                <w:szCs w:val="1"/>
                <w:color w:val="auto"/>
              </w:rPr>
            </w:pPr>
          </w:p>
        </w:tc>
      </w:tr>
      <w:tr>
        <w:trPr>
          <w:trHeight w:val="211"/>
        </w:trPr>
        <w:tc>
          <w:tcPr>
            <w:tcW w:w="494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tcPr>
          <w:p>
            <w:pPr>
              <w:spacing w:after="0"/>
              <w:rPr>
                <w:sz w:val="18"/>
                <w:szCs w:val="18"/>
                <w:color w:val="auto"/>
              </w:rPr>
            </w:pPr>
          </w:p>
        </w:tc>
        <w:tc>
          <w:tcPr>
            <w:tcW w:w="266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126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tcPr>
          <w:p>
            <w:pPr>
              <w:spacing w:after="0"/>
              <w:rPr>
                <w:sz w:val="18"/>
                <w:szCs w:val="18"/>
                <w:color w:val="auto"/>
              </w:rPr>
            </w:pPr>
          </w:p>
        </w:tc>
        <w:tc>
          <w:tcPr>
            <w:tcW w:w="160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8"/>
              </w:rPr>
              <w:t>Amendable Date</w:t>
            </w:r>
          </w:p>
        </w:tc>
        <w:tc>
          <w:tcPr>
            <w:tcW w:w="0" w:type="dxa"/>
            <w:vAlign w:val="bottom"/>
          </w:tcPr>
          <w:p>
            <w:pPr>
              <w:spacing w:after="0"/>
              <w:rPr>
                <w:sz w:val="1"/>
                <w:szCs w:val="1"/>
                <w:color w:val="auto"/>
              </w:rPr>
            </w:pPr>
          </w:p>
        </w:tc>
      </w:tr>
      <w:tr>
        <w:trPr>
          <w:trHeight w:val="27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Envoy:</w:t>
            </w:r>
          </w:p>
        </w:tc>
        <w:tc>
          <w:tcPr>
            <w:tcW w:w="80" w:type="dxa"/>
            <w:vAlign w:val="bottom"/>
            <w:shd w:val="clear" w:color="auto" w:fill="EDEDED"/>
          </w:tcPr>
          <w:p>
            <w:pPr>
              <w:spacing w:after="0"/>
              <w:rPr>
                <w:sz w:val="23"/>
                <w:szCs w:val="23"/>
                <w:color w:val="auto"/>
              </w:rPr>
            </w:pPr>
          </w:p>
        </w:tc>
        <w:tc>
          <w:tcPr>
            <w:tcW w:w="2660" w:type="dxa"/>
            <w:vAlign w:val="bottom"/>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126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160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Air Line Pilots Associations (ALPA)</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Pilots</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2,330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2029</w:t>
            </w:r>
          </w:p>
        </w:tc>
        <w:tc>
          <w:tcPr>
            <w:tcW w:w="0" w:type="dxa"/>
            <w:vAlign w:val="bottom"/>
          </w:tcPr>
          <w:p>
            <w:pPr>
              <w:spacing w:after="0"/>
              <w:rPr>
                <w:sz w:val="1"/>
                <w:szCs w:val="1"/>
                <w:color w:val="auto"/>
              </w:rPr>
            </w:pPr>
          </w:p>
        </w:tc>
      </w:tr>
      <w:tr>
        <w:trPr>
          <w:trHeight w:val="29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Association of Flight Attendants-CWA (AFA)</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Flight Attendants</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2,350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2026</w:t>
            </w: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TWU</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Ground School Instructors</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10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r>
        <w:trPr>
          <w:trHeight w:val="29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TWU</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Mechanics and Related</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1,370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TWU</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Stock Clerks</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140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r>
        <w:trPr>
          <w:trHeight w:val="29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TWU</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Simulator Instructors</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20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2026</w:t>
            </w: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TWU</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Fleet Service</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4,300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2026</w:t>
            </w:r>
          </w:p>
        </w:tc>
        <w:tc>
          <w:tcPr>
            <w:tcW w:w="0" w:type="dxa"/>
            <w:vAlign w:val="bottom"/>
          </w:tcPr>
          <w:p>
            <w:pPr>
              <w:spacing w:after="0"/>
              <w:rPr>
                <w:sz w:val="1"/>
                <w:szCs w:val="1"/>
                <w:color w:val="auto"/>
              </w:rPr>
            </w:pPr>
          </w:p>
        </w:tc>
      </w:tr>
      <w:tr>
        <w:trPr>
          <w:trHeight w:val="29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TWU</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Dispatchers</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90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2025</w:t>
            </w: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Communications Workers of America (CWA)</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Passenger Service</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7,730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2026</w:t>
            </w:r>
          </w:p>
        </w:tc>
        <w:tc>
          <w:tcPr>
            <w:tcW w:w="0" w:type="dxa"/>
            <w:vAlign w:val="bottom"/>
          </w:tcPr>
          <w:p>
            <w:pPr>
              <w:spacing w:after="0"/>
              <w:rPr>
                <w:sz w:val="1"/>
                <w:szCs w:val="1"/>
                <w:color w:val="auto"/>
              </w:rPr>
            </w:pPr>
          </w:p>
        </w:tc>
      </w:tr>
      <w:tr>
        <w:trPr>
          <w:trHeight w:val="29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Piedmont:</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12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16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ALPA</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Pilots</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840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2029</w:t>
            </w:r>
          </w:p>
        </w:tc>
        <w:tc>
          <w:tcPr>
            <w:tcW w:w="0" w:type="dxa"/>
            <w:vAlign w:val="bottom"/>
          </w:tcPr>
          <w:p>
            <w:pPr>
              <w:spacing w:after="0"/>
              <w:rPr>
                <w:sz w:val="1"/>
                <w:szCs w:val="1"/>
                <w:color w:val="auto"/>
              </w:rPr>
            </w:pPr>
          </w:p>
        </w:tc>
      </w:tr>
      <w:tr>
        <w:trPr>
          <w:trHeight w:val="29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AFA</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Flight Attendants</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400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2026</w:t>
            </w: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International Brotherhood of Teamsters (IBT)</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Mechanics and Related</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540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2026</w:t>
            </w:r>
          </w:p>
        </w:tc>
        <w:tc>
          <w:tcPr>
            <w:tcW w:w="0" w:type="dxa"/>
            <w:vAlign w:val="bottom"/>
          </w:tcPr>
          <w:p>
            <w:pPr>
              <w:spacing w:after="0"/>
              <w:rPr>
                <w:sz w:val="1"/>
                <w:szCs w:val="1"/>
                <w:color w:val="auto"/>
              </w:rPr>
            </w:pPr>
          </w:p>
        </w:tc>
      </w:tr>
      <w:tr>
        <w:trPr>
          <w:trHeight w:val="29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IBT</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Stock Clerks</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70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2026</w:t>
            </w: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CWA</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Fleet and Passenger Service</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6,750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2023</w:t>
            </w:r>
          </w:p>
        </w:tc>
        <w:tc>
          <w:tcPr>
            <w:tcW w:w="0" w:type="dxa"/>
            <w:vAlign w:val="bottom"/>
          </w:tcPr>
          <w:p>
            <w:pPr>
              <w:spacing w:after="0"/>
              <w:rPr>
                <w:sz w:val="1"/>
                <w:szCs w:val="1"/>
                <w:color w:val="auto"/>
              </w:rPr>
            </w:pPr>
          </w:p>
        </w:tc>
      </w:tr>
      <w:tr>
        <w:trPr>
          <w:trHeight w:val="292"/>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IBT</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Dispatchers</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40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2029</w:t>
            </w:r>
          </w:p>
        </w:tc>
        <w:tc>
          <w:tcPr>
            <w:tcW w:w="0" w:type="dxa"/>
            <w:vAlign w:val="bottom"/>
          </w:tcPr>
          <w:p>
            <w:pPr>
              <w:spacing w:after="0"/>
              <w:rPr>
                <w:sz w:val="1"/>
                <w:szCs w:val="1"/>
                <w:color w:val="auto"/>
              </w:rPr>
            </w:pPr>
          </w:p>
        </w:tc>
      </w:tr>
      <w:tr>
        <w:trPr>
          <w:trHeight w:val="278"/>
        </w:trPr>
        <w:tc>
          <w:tcPr>
            <w:tcW w:w="4940" w:type="dxa"/>
            <w:vAlign w:val="bottom"/>
          </w:tcPr>
          <w:p>
            <w:pPr>
              <w:ind w:left="40"/>
              <w:spacing w:after="0"/>
              <w:rPr>
                <w:sz w:val="20"/>
                <w:szCs w:val="20"/>
                <w:color w:val="auto"/>
              </w:rPr>
            </w:pPr>
            <w:r>
              <w:rPr>
                <w:rFonts w:ascii="Arial" w:cs="Arial" w:eastAsia="Arial" w:hAnsi="Arial"/>
                <w:sz w:val="20"/>
                <w:szCs w:val="20"/>
                <w:b w:val="1"/>
                <w:bCs w:val="1"/>
                <w:color w:val="00162F"/>
              </w:rPr>
              <w:t>PSA:</w:t>
            </w: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ALPA</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Pilots</w:t>
            </w:r>
          </w:p>
        </w:tc>
        <w:tc>
          <w:tcPr>
            <w:tcW w:w="1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1,930</w:t>
            </w:r>
          </w:p>
        </w:tc>
        <w:tc>
          <w:tcPr>
            <w:tcW w:w="16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8"/>
              </w:rPr>
              <w:t>2028</w:t>
            </w:r>
          </w:p>
        </w:tc>
        <w:tc>
          <w:tcPr>
            <w:tcW w:w="0" w:type="dxa"/>
            <w:vAlign w:val="bottom"/>
          </w:tcPr>
          <w:p>
            <w:pPr>
              <w:spacing w:after="0"/>
              <w:rPr>
                <w:sz w:val="1"/>
                <w:szCs w:val="1"/>
                <w:color w:val="auto"/>
              </w:rPr>
            </w:pPr>
          </w:p>
        </w:tc>
      </w:tr>
      <w:tr>
        <w:trPr>
          <w:trHeight w:val="273"/>
        </w:trPr>
        <w:tc>
          <w:tcPr>
            <w:tcW w:w="4940" w:type="dxa"/>
            <w:vAlign w:val="bottom"/>
          </w:tcPr>
          <w:p>
            <w:pPr>
              <w:ind w:left="40"/>
              <w:spacing w:after="0"/>
              <w:rPr>
                <w:sz w:val="20"/>
                <w:szCs w:val="20"/>
                <w:color w:val="auto"/>
              </w:rPr>
            </w:pPr>
            <w:r>
              <w:rPr>
                <w:rFonts w:ascii="Arial" w:cs="Arial" w:eastAsia="Arial" w:hAnsi="Arial"/>
                <w:sz w:val="20"/>
                <w:szCs w:val="20"/>
                <w:color w:val="00162F"/>
              </w:rPr>
              <w:t>AFA</w:t>
            </w:r>
          </w:p>
        </w:tc>
        <w:tc>
          <w:tcPr>
            <w:tcW w:w="8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Flight Attendants</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1,370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2023</w:t>
            </w:r>
          </w:p>
        </w:tc>
        <w:tc>
          <w:tcPr>
            <w:tcW w:w="0" w:type="dxa"/>
            <w:vAlign w:val="bottom"/>
          </w:tcPr>
          <w:p>
            <w:pPr>
              <w:spacing w:after="0"/>
              <w:rPr>
                <w:sz w:val="1"/>
                <w:szCs w:val="1"/>
                <w:color w:val="auto"/>
              </w:rPr>
            </w:pPr>
          </w:p>
        </w:tc>
      </w:tr>
      <w:tr>
        <w:trPr>
          <w:trHeight w:val="206"/>
        </w:trPr>
        <w:tc>
          <w:tcPr>
            <w:tcW w:w="4940" w:type="dxa"/>
            <w:vAlign w:val="bottom"/>
            <w:shd w:val="clear" w:color="auto" w:fill="EDEDED"/>
          </w:tcPr>
          <w:p>
            <w:pPr>
              <w:ind w:left="40"/>
              <w:spacing w:after="0" w:line="206" w:lineRule="exact"/>
              <w:rPr>
                <w:sz w:val="20"/>
                <w:szCs w:val="20"/>
                <w:color w:val="auto"/>
              </w:rPr>
            </w:pPr>
            <w:r>
              <w:rPr>
                <w:rFonts w:ascii="Arial" w:cs="Arial" w:eastAsia="Arial" w:hAnsi="Arial"/>
                <w:sz w:val="20"/>
                <w:szCs w:val="20"/>
                <w:color w:val="00162F"/>
              </w:rPr>
              <w:t>International Association of Machinists &amp; Aerospace</w:t>
            </w:r>
          </w:p>
        </w:tc>
        <w:tc>
          <w:tcPr>
            <w:tcW w:w="80" w:type="dxa"/>
            <w:vAlign w:val="bottom"/>
            <w:shd w:val="clear" w:color="auto" w:fill="EDEDED"/>
          </w:tcPr>
          <w:p>
            <w:pPr>
              <w:spacing w:after="0"/>
              <w:rPr>
                <w:sz w:val="17"/>
                <w:szCs w:val="17"/>
                <w:color w:val="auto"/>
              </w:rPr>
            </w:pPr>
          </w:p>
        </w:tc>
        <w:tc>
          <w:tcPr>
            <w:tcW w:w="2660" w:type="dxa"/>
            <w:vAlign w:val="bottom"/>
            <w:shd w:val="clear" w:color="auto" w:fill="EDEDED"/>
          </w:tcPr>
          <w:p>
            <w:pPr>
              <w:ind w:left="40"/>
              <w:spacing w:after="0" w:line="206" w:lineRule="exact"/>
              <w:rPr>
                <w:sz w:val="20"/>
                <w:szCs w:val="20"/>
                <w:color w:val="auto"/>
              </w:rPr>
            </w:pPr>
            <w:r>
              <w:rPr>
                <w:rFonts w:ascii="Arial" w:cs="Arial" w:eastAsia="Arial" w:hAnsi="Arial"/>
                <w:sz w:val="20"/>
                <w:szCs w:val="20"/>
                <w:color w:val="00162F"/>
              </w:rPr>
              <w:t>Mechanics and Related</w:t>
            </w:r>
          </w:p>
        </w:tc>
        <w:tc>
          <w:tcPr>
            <w:tcW w:w="1320" w:type="dxa"/>
            <w:vAlign w:val="bottom"/>
            <w:gridSpan w:val="2"/>
            <w:shd w:val="clear" w:color="auto" w:fill="EDEDED"/>
          </w:tcPr>
          <w:p>
            <w:pPr>
              <w:jc w:val="right"/>
              <w:ind w:right="1"/>
              <w:spacing w:after="0" w:line="206" w:lineRule="exact"/>
              <w:rPr>
                <w:sz w:val="20"/>
                <w:szCs w:val="20"/>
                <w:color w:val="auto"/>
              </w:rPr>
            </w:pPr>
            <w:r>
              <w:rPr>
                <w:rFonts w:ascii="Arial" w:cs="Arial" w:eastAsia="Arial" w:hAnsi="Arial"/>
                <w:sz w:val="20"/>
                <w:szCs w:val="20"/>
                <w:color w:val="00162F"/>
              </w:rPr>
              <w:t>780</w:t>
            </w:r>
          </w:p>
        </w:tc>
        <w:tc>
          <w:tcPr>
            <w:tcW w:w="1680" w:type="dxa"/>
            <w:vAlign w:val="bottom"/>
            <w:gridSpan w:val="2"/>
            <w:shd w:val="clear" w:color="auto" w:fill="EDEDED"/>
          </w:tcPr>
          <w:p>
            <w:pPr>
              <w:jc w:val="center"/>
              <w:spacing w:after="0" w:line="206" w:lineRule="exact"/>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r>
        <w:trPr>
          <w:trHeight w:val="279"/>
        </w:trPr>
        <w:tc>
          <w:tcPr>
            <w:tcW w:w="4940" w:type="dxa"/>
            <w:vAlign w:val="bottom"/>
            <w:shd w:val="clear" w:color="auto" w:fill="EDEDED"/>
          </w:tcPr>
          <w:p>
            <w:pPr>
              <w:ind w:left="220"/>
              <w:spacing w:after="0"/>
              <w:rPr>
                <w:sz w:val="20"/>
                <w:szCs w:val="20"/>
                <w:color w:val="auto"/>
              </w:rPr>
            </w:pPr>
            <w:r>
              <w:rPr>
                <w:rFonts w:ascii="Arial" w:cs="Arial" w:eastAsia="Arial" w:hAnsi="Arial"/>
                <w:sz w:val="20"/>
                <w:szCs w:val="20"/>
                <w:color w:val="00162F"/>
              </w:rPr>
              <w:t>Workers (IAM)</w:t>
            </w: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12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16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940" w:type="dxa"/>
            <w:vAlign w:val="bottom"/>
          </w:tcPr>
          <w:p>
            <w:pPr>
              <w:ind w:left="40"/>
              <w:spacing w:after="0"/>
              <w:rPr>
                <w:sz w:val="20"/>
                <w:szCs w:val="20"/>
                <w:color w:val="auto"/>
              </w:rPr>
            </w:pPr>
            <w:r>
              <w:rPr>
                <w:rFonts w:ascii="Arial" w:cs="Arial" w:eastAsia="Arial" w:hAnsi="Arial"/>
                <w:sz w:val="20"/>
                <w:szCs w:val="20"/>
                <w:color w:val="00162F"/>
              </w:rPr>
              <w:t>IAM</w:t>
            </w:r>
          </w:p>
        </w:tc>
        <w:tc>
          <w:tcPr>
            <w:tcW w:w="80" w:type="dxa"/>
            <w:vAlign w:val="bottom"/>
          </w:tcPr>
          <w:p>
            <w:pPr>
              <w:spacing w:after="0"/>
              <w:rPr>
                <w:sz w:val="24"/>
                <w:szCs w:val="24"/>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Stock Clerks</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160</w:t>
            </w:r>
          </w:p>
        </w:tc>
        <w:tc>
          <w:tcPr>
            <w:tcW w:w="80" w:type="dxa"/>
            <w:vAlign w:val="bottom"/>
          </w:tcPr>
          <w:p>
            <w:pPr>
              <w:spacing w:after="0"/>
              <w:rPr>
                <w:sz w:val="24"/>
                <w:szCs w:val="24"/>
                <w:color w:val="auto"/>
              </w:rPr>
            </w:pPr>
          </w:p>
        </w:tc>
        <w:tc>
          <w:tcPr>
            <w:tcW w:w="1600" w:type="dxa"/>
            <w:vAlign w:val="bottom"/>
          </w:tcPr>
          <w:p>
            <w:pPr>
              <w:jc w:val="center"/>
              <w:spacing w:after="0" w:line="282" w:lineRule="exact"/>
              <w:rPr>
                <w:sz w:val="20"/>
                <w:szCs w:val="20"/>
                <w:color w:val="auto"/>
              </w:rPr>
            </w:pPr>
            <w:r>
              <w:rPr>
                <w:rFonts w:ascii="Arial" w:cs="Arial" w:eastAsia="Arial" w:hAnsi="Arial"/>
                <w:sz w:val="20"/>
                <w:szCs w:val="20"/>
                <w:color w:val="00162F"/>
                <w:w w:val="87"/>
              </w:rPr>
              <w:t xml:space="preserve">N/A </w:t>
            </w:r>
            <w:r>
              <w:rPr>
                <w:rFonts w:ascii="Arial" w:cs="Arial" w:eastAsia="Arial" w:hAnsi="Arial"/>
                <w:sz w:val="25"/>
                <w:szCs w:val="25"/>
                <w:color w:val="00162F"/>
                <w:w w:val="87"/>
                <w:vertAlign w:val="superscript"/>
              </w:rPr>
              <w:t>(2)</w:t>
            </w:r>
          </w:p>
        </w:tc>
        <w:tc>
          <w:tcPr>
            <w:tcW w:w="0" w:type="dxa"/>
            <w:vAlign w:val="bottom"/>
          </w:tcPr>
          <w:p>
            <w:pPr>
              <w:spacing w:after="0"/>
              <w:rPr>
                <w:sz w:val="1"/>
                <w:szCs w:val="1"/>
                <w:color w:val="auto"/>
              </w:rPr>
            </w:pPr>
          </w:p>
        </w:tc>
      </w:tr>
      <w:tr>
        <w:trPr>
          <w:trHeight w:val="196"/>
        </w:trPr>
        <w:tc>
          <w:tcPr>
            <w:tcW w:w="4940" w:type="dxa"/>
            <w:vAlign w:val="bottom"/>
            <w:shd w:val="clear" w:color="auto" w:fill="EDEDED"/>
          </w:tcPr>
          <w:p>
            <w:pPr>
              <w:ind w:left="40"/>
              <w:spacing w:after="0" w:line="196" w:lineRule="exact"/>
              <w:rPr>
                <w:sz w:val="20"/>
                <w:szCs w:val="20"/>
                <w:color w:val="auto"/>
              </w:rPr>
            </w:pPr>
            <w:r>
              <w:rPr>
                <w:rFonts w:ascii="Arial" w:cs="Arial" w:eastAsia="Arial" w:hAnsi="Arial"/>
                <w:sz w:val="20"/>
                <w:szCs w:val="20"/>
                <w:color w:val="00162F"/>
              </w:rPr>
              <w:t>TWU</w:t>
            </w:r>
          </w:p>
        </w:tc>
        <w:tc>
          <w:tcPr>
            <w:tcW w:w="80" w:type="dxa"/>
            <w:vAlign w:val="bottom"/>
            <w:shd w:val="clear" w:color="auto" w:fill="EDEDED"/>
          </w:tcPr>
          <w:p>
            <w:pPr>
              <w:spacing w:after="0"/>
              <w:rPr>
                <w:sz w:val="17"/>
                <w:szCs w:val="17"/>
                <w:color w:val="auto"/>
              </w:rPr>
            </w:pPr>
          </w:p>
        </w:tc>
        <w:tc>
          <w:tcPr>
            <w:tcW w:w="2660" w:type="dxa"/>
            <w:vAlign w:val="bottom"/>
            <w:shd w:val="clear" w:color="auto" w:fill="EDEDED"/>
          </w:tcPr>
          <w:p>
            <w:pPr>
              <w:ind w:left="40"/>
              <w:spacing w:after="0" w:line="196" w:lineRule="exact"/>
              <w:rPr>
                <w:sz w:val="20"/>
                <w:szCs w:val="20"/>
                <w:color w:val="auto"/>
              </w:rPr>
            </w:pPr>
            <w:r>
              <w:rPr>
                <w:rFonts w:ascii="Arial" w:cs="Arial" w:eastAsia="Arial" w:hAnsi="Arial"/>
                <w:sz w:val="20"/>
                <w:szCs w:val="20"/>
                <w:color w:val="00162F"/>
              </w:rPr>
              <w:t>Flight Crew Training</w:t>
            </w:r>
          </w:p>
        </w:tc>
        <w:tc>
          <w:tcPr>
            <w:tcW w:w="1320" w:type="dxa"/>
            <w:vAlign w:val="bottom"/>
            <w:gridSpan w:val="2"/>
            <w:shd w:val="clear" w:color="auto" w:fill="EDEDED"/>
          </w:tcPr>
          <w:p>
            <w:pPr>
              <w:jc w:val="right"/>
              <w:ind w:right="1"/>
              <w:spacing w:after="0" w:line="196" w:lineRule="exact"/>
              <w:rPr>
                <w:sz w:val="20"/>
                <w:szCs w:val="20"/>
                <w:color w:val="auto"/>
              </w:rPr>
            </w:pPr>
            <w:r>
              <w:rPr>
                <w:rFonts w:ascii="Arial" w:cs="Arial" w:eastAsia="Arial" w:hAnsi="Arial"/>
                <w:sz w:val="20"/>
                <w:szCs w:val="20"/>
                <w:color w:val="00162F"/>
              </w:rPr>
              <w:t>50</w:t>
            </w:r>
          </w:p>
        </w:tc>
        <w:tc>
          <w:tcPr>
            <w:tcW w:w="80" w:type="dxa"/>
            <w:vAlign w:val="bottom"/>
            <w:shd w:val="clear" w:color="auto" w:fill="EDEDED"/>
          </w:tcPr>
          <w:p>
            <w:pPr>
              <w:spacing w:after="0"/>
              <w:rPr>
                <w:sz w:val="17"/>
                <w:szCs w:val="17"/>
                <w:color w:val="auto"/>
              </w:rPr>
            </w:pPr>
          </w:p>
        </w:tc>
        <w:tc>
          <w:tcPr>
            <w:tcW w:w="1600" w:type="dxa"/>
            <w:vAlign w:val="bottom"/>
            <w:shd w:val="clear" w:color="auto" w:fill="EDEDED"/>
          </w:tcPr>
          <w:p>
            <w:pPr>
              <w:jc w:val="center"/>
              <w:spacing w:after="0" w:line="196" w:lineRule="exact"/>
              <w:rPr>
                <w:sz w:val="20"/>
                <w:szCs w:val="20"/>
                <w:color w:val="auto"/>
              </w:rPr>
            </w:pPr>
            <w:r>
              <w:rPr>
                <w:rFonts w:ascii="Arial" w:cs="Arial" w:eastAsia="Arial" w:hAnsi="Arial"/>
                <w:sz w:val="20"/>
                <w:szCs w:val="20"/>
                <w:color w:val="00162F"/>
                <w:w w:val="96"/>
              </w:rPr>
              <w:t xml:space="preserve">N/A </w:t>
            </w:r>
            <w:r>
              <w:rPr>
                <w:rFonts w:ascii="Arial" w:cs="Arial" w:eastAsia="Arial" w:hAnsi="Arial"/>
                <w:sz w:val="12"/>
                <w:szCs w:val="12"/>
                <w:color w:val="00162F"/>
                <w:w w:val="96"/>
              </w:rPr>
              <w:t>(2)</w:t>
            </w:r>
          </w:p>
        </w:tc>
        <w:tc>
          <w:tcPr>
            <w:tcW w:w="0" w:type="dxa"/>
            <w:vAlign w:val="bottom"/>
          </w:tcPr>
          <w:p>
            <w:pPr>
              <w:spacing w:after="0"/>
              <w:rPr>
                <w:sz w:val="1"/>
                <w:szCs w:val="1"/>
                <w:color w:val="auto"/>
              </w:rPr>
            </w:pPr>
          </w:p>
        </w:tc>
      </w:tr>
      <w:tr>
        <w:trPr>
          <w:trHeight w:val="279"/>
        </w:trPr>
        <w:tc>
          <w:tcPr>
            <w:tcW w:w="49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6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Instructors</w:t>
            </w:r>
          </w:p>
        </w:tc>
        <w:tc>
          <w:tcPr>
            <w:tcW w:w="60" w:type="dxa"/>
            <w:vAlign w:val="bottom"/>
            <w:shd w:val="clear" w:color="auto" w:fill="EDEDED"/>
          </w:tcPr>
          <w:p>
            <w:pPr>
              <w:spacing w:after="0"/>
              <w:rPr>
                <w:sz w:val="24"/>
                <w:szCs w:val="24"/>
                <w:color w:val="auto"/>
              </w:rPr>
            </w:pPr>
          </w:p>
        </w:tc>
        <w:tc>
          <w:tcPr>
            <w:tcW w:w="12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16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40" w:type="dxa"/>
            <w:vAlign w:val="bottom"/>
          </w:tcPr>
          <w:p>
            <w:pPr>
              <w:ind w:left="40"/>
              <w:spacing w:after="0"/>
              <w:rPr>
                <w:sz w:val="20"/>
                <w:szCs w:val="20"/>
                <w:color w:val="auto"/>
              </w:rPr>
            </w:pPr>
            <w:r>
              <w:rPr>
                <w:rFonts w:ascii="Arial" w:cs="Arial" w:eastAsia="Arial" w:hAnsi="Arial"/>
                <w:sz w:val="20"/>
                <w:szCs w:val="20"/>
                <w:color w:val="00162F"/>
              </w:rPr>
              <w:t>TWU</w:t>
            </w:r>
          </w:p>
        </w:tc>
        <w:tc>
          <w:tcPr>
            <w:tcW w:w="80" w:type="dxa"/>
            <w:vAlign w:val="bottom"/>
          </w:tcPr>
          <w:p>
            <w:pPr>
              <w:spacing w:after="0"/>
              <w:rPr>
                <w:sz w:val="22"/>
                <w:szCs w:val="22"/>
                <w:color w:val="auto"/>
              </w:rPr>
            </w:pPr>
          </w:p>
        </w:tc>
        <w:tc>
          <w:tcPr>
            <w:tcW w:w="2660" w:type="dxa"/>
            <w:vAlign w:val="bottom"/>
          </w:tcPr>
          <w:p>
            <w:pPr>
              <w:ind w:left="40"/>
              <w:spacing w:after="0"/>
              <w:rPr>
                <w:sz w:val="20"/>
                <w:szCs w:val="20"/>
                <w:color w:val="auto"/>
              </w:rPr>
            </w:pPr>
            <w:r>
              <w:rPr>
                <w:rFonts w:ascii="Arial" w:cs="Arial" w:eastAsia="Arial" w:hAnsi="Arial"/>
                <w:sz w:val="20"/>
                <w:szCs w:val="20"/>
                <w:color w:val="00162F"/>
              </w:rPr>
              <w:t>Dispatchers</w:t>
            </w: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00162F"/>
              </w:rPr>
              <w:t>60</w:t>
            </w:r>
          </w:p>
        </w:tc>
        <w:tc>
          <w:tcPr>
            <w:tcW w:w="1680" w:type="dxa"/>
            <w:vAlign w:val="bottom"/>
            <w:gridSpan w:val="2"/>
          </w:tcPr>
          <w:p>
            <w:pPr>
              <w:jc w:val="center"/>
              <w:spacing w:after="0"/>
              <w:rPr>
                <w:sz w:val="20"/>
                <w:szCs w:val="20"/>
                <w:color w:val="auto"/>
              </w:rPr>
            </w:pPr>
            <w:r>
              <w:rPr>
                <w:rFonts w:ascii="Arial" w:cs="Arial" w:eastAsia="Arial" w:hAnsi="Arial"/>
                <w:sz w:val="20"/>
                <w:szCs w:val="20"/>
                <w:color w:val="00162F"/>
                <w:w w:val="98"/>
              </w:rPr>
              <w:t>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-4544060</wp:posOffset>
            </wp:positionV>
            <wp:extent cx="680402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6804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125412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16" w:lineRule="exact"/>
        <w:rPr>
          <w:sz w:val="20"/>
          <w:szCs w:val="20"/>
          <w:color w:val="auto"/>
        </w:rPr>
      </w:pPr>
    </w:p>
    <w:p>
      <w:pPr>
        <w:ind w:left="365" w:hanging="365"/>
        <w:spacing w:after="0"/>
        <w:tabs>
          <w:tab w:leader="none" w:pos="365" w:val="left"/>
        </w:tabs>
        <w:numPr>
          <w:ilvl w:val="0"/>
          <w:numId w:val="8"/>
        </w:numPr>
        <w:rPr>
          <w:rFonts w:ascii="Arial" w:cs="Arial" w:eastAsia="Arial" w:hAnsi="Arial"/>
          <w:sz w:val="13"/>
          <w:szCs w:val="13"/>
          <w:color w:val="00162F"/>
        </w:rPr>
      </w:pPr>
      <w:r>
        <w:rPr>
          <w:rFonts w:ascii="Arial" w:cs="Arial" w:eastAsia="Arial" w:hAnsi="Arial"/>
          <w:sz w:val="20"/>
          <w:szCs w:val="20"/>
          <w:color w:val="00162F"/>
        </w:rPr>
        <w:t>Represents approximate number of active employees as of December 31, 2025.</w:t>
      </w:r>
    </w:p>
    <w:p>
      <w:pPr>
        <w:spacing w:after="0" w:line="185"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8"/>
        </w:numPr>
        <w:rPr>
          <w:rFonts w:ascii="Arial" w:cs="Arial" w:eastAsia="Arial" w:hAnsi="Arial"/>
          <w:sz w:val="13"/>
          <w:szCs w:val="13"/>
          <w:color w:val="00162F"/>
        </w:rPr>
      </w:pPr>
      <w:r>
        <w:rPr>
          <w:rFonts w:ascii="Arial" w:cs="Arial" w:eastAsia="Arial" w:hAnsi="Arial"/>
          <w:sz w:val="20"/>
          <w:szCs w:val="20"/>
          <w:color w:val="00162F"/>
        </w:rPr>
        <w:t>PSA stock clerks and certain PSA flight crew training instructors unionized in 2025 and are in active negotiations for their first CBA.</w:t>
      </w:r>
    </w:p>
    <w:p>
      <w:pPr>
        <w:spacing w:after="0" w:line="113"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The CBA covering our mainline dispatchers is now amendable and we are engaged in negotiations. In January 2026, our mainline flight crew training instructors ratified a five-year agreement which is now amendable in 2031. Among our wholly-owned regional subsidiaries, Envoy dispatchers, Piedmont fleet and passenger service and PSA flight attendants have CBAs that are now amendable and we are engaged in negotiations.</w:t>
      </w:r>
    </w:p>
    <w:p>
      <w:pPr>
        <w:spacing w:after="0" w:line="136"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For more discussion, see Part I, Item 1A. Risk Factors – “</w:t>
      </w:r>
      <w:r>
        <w:rPr>
          <w:rFonts w:ascii="Arial" w:cs="Arial" w:eastAsia="Arial" w:hAnsi="Arial"/>
          <w:sz w:val="20"/>
          <w:szCs w:val="20"/>
          <w:i w:val="1"/>
          <w:iCs w:val="1"/>
          <w:color w:val="00162F"/>
        </w:rPr>
        <w:t>Union disputes, employee strikes and other labor-related</w:t>
      </w:r>
      <w:r>
        <w:rPr>
          <w:rFonts w:ascii="Arial" w:cs="Arial" w:eastAsia="Arial" w:hAnsi="Arial"/>
          <w:sz w:val="20"/>
          <w:szCs w:val="20"/>
          <w:color w:val="00162F"/>
        </w:rPr>
        <w:t xml:space="preserve"> </w:t>
      </w:r>
      <w:r>
        <w:rPr>
          <w:rFonts w:ascii="Arial" w:cs="Arial" w:eastAsia="Arial" w:hAnsi="Arial"/>
          <w:sz w:val="20"/>
          <w:szCs w:val="20"/>
          <w:i w:val="1"/>
          <w:iCs w:val="1"/>
          <w:color w:val="00162F"/>
        </w:rPr>
        <w:t>disruptions may adversely affect our operations and financial performance</w:t>
      </w:r>
      <w:r>
        <w:rPr>
          <w:rFonts w:ascii="Arial" w:cs="Arial" w:eastAsia="Arial" w:hAnsi="Arial"/>
          <w:sz w:val="20"/>
          <w:szCs w:val="20"/>
          <w:color w:val="00162F"/>
        </w:rPr>
        <w:t>.”</w:t>
      </w:r>
    </w:p>
    <w:p>
      <w:pPr>
        <w:spacing w:after="0" w:line="203" w:lineRule="exact"/>
        <w:rPr>
          <w:sz w:val="20"/>
          <w:szCs w:val="20"/>
          <w:color w:val="auto"/>
        </w:rPr>
      </w:pPr>
    </w:p>
    <w:p>
      <w:pPr>
        <w:ind w:left="225"/>
        <w:spacing w:after="0"/>
        <w:rPr>
          <w:sz w:val="20"/>
          <w:szCs w:val="20"/>
          <w:color w:val="auto"/>
        </w:rPr>
      </w:pPr>
      <w:r>
        <w:rPr>
          <w:rFonts w:ascii="Arial" w:cs="Arial" w:eastAsia="Arial" w:hAnsi="Arial"/>
          <w:sz w:val="20"/>
          <w:szCs w:val="20"/>
          <w:b w:val="1"/>
          <w:bCs w:val="1"/>
          <w:i w:val="1"/>
          <w:iCs w:val="1"/>
          <w:color w:val="00162F"/>
        </w:rPr>
        <w:t>Customers</w:t>
      </w:r>
    </w:p>
    <w:p>
      <w:pPr>
        <w:spacing w:after="0" w:line="95" w:lineRule="exact"/>
        <w:rPr>
          <w:sz w:val="20"/>
          <w:szCs w:val="20"/>
          <w:color w:val="auto"/>
        </w:rPr>
      </w:pPr>
    </w:p>
    <w:p>
      <w:pPr>
        <w:jc w:val="both"/>
        <w:ind w:left="5" w:firstLine="223"/>
        <w:spacing w:after="0" w:line="253" w:lineRule="auto"/>
        <w:rPr>
          <w:sz w:val="20"/>
          <w:szCs w:val="20"/>
          <w:color w:val="auto"/>
        </w:rPr>
      </w:pPr>
      <w:r>
        <w:rPr>
          <w:rFonts w:ascii="Arial" w:cs="Arial" w:eastAsia="Arial" w:hAnsi="Arial"/>
          <w:sz w:val="20"/>
          <w:szCs w:val="20"/>
          <w:color w:val="00162F"/>
        </w:rPr>
        <w:t>We fly to over 350 destinations in the United States and internationally, and we are committed to providing our customers with a world-class travel experience. We continued to rigorously measure and track customer satisfaction through passenger surveys in 2025, efforts that led to further improvements in the services we provide and our customer experience. In 2025, we appointed a Chief Customer Officer to lead a newly created Customer Experience organization, which drives the strategy and coordinates the implementation of initiatives that enhance our customers’ journeys. We continue to invest in the customer experience and our premium products and services, and in 2025, we advanced this strategy through the following:</w:t>
      </w:r>
    </w:p>
    <w:p>
      <w:pPr>
        <w:spacing w:after="0" w:line="144" w:lineRule="exact"/>
        <w:rPr>
          <w:sz w:val="20"/>
          <w:szCs w:val="20"/>
          <w:color w:val="auto"/>
        </w:rPr>
      </w:pPr>
    </w:p>
    <w:p>
      <w:pPr>
        <w:ind w:left="705" w:hanging="349"/>
        <w:spacing w:after="0" w:line="282" w:lineRule="auto"/>
        <w:tabs>
          <w:tab w:leader="none" w:pos="705" w:val="left"/>
        </w:tabs>
        <w:numPr>
          <w:ilvl w:val="0"/>
          <w:numId w:val="9"/>
        </w:numPr>
        <w:rPr>
          <w:rFonts w:ascii="Arial" w:cs="Arial" w:eastAsia="Arial" w:hAnsi="Arial"/>
          <w:sz w:val="20"/>
          <w:szCs w:val="20"/>
          <w:color w:val="00162F"/>
        </w:rPr>
      </w:pPr>
      <w:r>
        <w:rPr>
          <w:rFonts w:ascii="Arial" w:cs="Arial" w:eastAsia="Arial" w:hAnsi="Arial"/>
          <w:sz w:val="20"/>
          <w:szCs w:val="20"/>
          <w:color w:val="00162F"/>
        </w:rPr>
        <w:t>introduced the new premium Flagship Suite</w:t>
      </w:r>
      <w:r>
        <w:rPr>
          <w:rFonts w:ascii="Arial" w:cs="Arial" w:eastAsia="Arial" w:hAnsi="Arial"/>
          <w:sz w:val="12"/>
          <w:szCs w:val="12"/>
          <w:color w:val="00162F"/>
        </w:rPr>
        <w:t>®</w:t>
      </w:r>
      <w:r>
        <w:rPr>
          <w:rFonts w:ascii="Arial" w:cs="Arial" w:eastAsia="Arial" w:hAnsi="Arial"/>
          <w:sz w:val="20"/>
          <w:szCs w:val="20"/>
          <w:color w:val="00162F"/>
        </w:rPr>
        <w:t xml:space="preserve"> on our Boeing 787-9s and Airbus A321XLRs and announced plans to expand this product to our Boeing 777 fleet;</w:t>
      </w:r>
    </w:p>
    <w:p>
      <w:pPr>
        <w:sectPr>
          <w:pgSz w:w="11880" w:h="15480" w:orient="portrait"/>
          <w:cols w:equalWidth="0" w:num="1">
            <w:col w:w="10685"/>
          </w:cols>
          <w:pgMar w:left="595" w:top="1102" w:right="6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14</w:t>
      </w:r>
    </w:p>
    <w:p>
      <w:pPr>
        <w:sectPr>
          <w:pgSz w:w="11880" w:h="15480" w:orient="portrait"/>
          <w:cols w:equalWidth="0" w:num="1">
            <w:col w:w="10685"/>
          </w:cols>
          <w:pgMar w:left="595" w:top="1102" w:right="600" w:bottom="0" w:gutter="0" w:footer="0" w:header="0"/>
          <w:type w:val="continuous"/>
        </w:sectPr>
      </w:pPr>
    </w:p>
    <w:bookmarkStart w:id="15" w:name="page16"/>
    <w:bookmarkEnd w:id="15"/>
    <w:p>
      <w:pPr>
        <w:ind w:left="700" w:hanging="349"/>
        <w:spacing w:after="0"/>
        <w:tabs>
          <w:tab w:leader="none" w:pos="700" w:val="left"/>
        </w:tabs>
        <w:numPr>
          <w:ilvl w:val="0"/>
          <w:numId w:val="10"/>
        </w:numPr>
        <w:rPr>
          <w:rFonts w:ascii="Arial" w:cs="Arial" w:eastAsia="Arial" w:hAnsi="Arial"/>
          <w:sz w:val="20"/>
          <w:szCs w:val="20"/>
          <w:color w:val="00162F"/>
        </w:rPr>
      </w:pPr>
      <w:r>
        <w:rPr>
          <w:rFonts w:ascii="Arial" w:cs="Arial" w:eastAsia="Arial" w:hAnsi="Arial"/>
          <w:sz w:val="20"/>
          <w:szCs w:val="20"/>
          <w:color w:val="00162F"/>
        </w:rPr>
        <w:t>enhanced our inflight services with new food and beverage offerings as well as upgraded amenity kits;</w:t>
      </w:r>
    </w:p>
    <w:p>
      <w:pPr>
        <w:spacing w:after="0" w:line="185"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0"/>
        </w:numPr>
        <w:rPr>
          <w:rFonts w:ascii="Arial" w:cs="Arial" w:eastAsia="Arial" w:hAnsi="Arial"/>
          <w:sz w:val="20"/>
          <w:szCs w:val="20"/>
          <w:color w:val="00162F"/>
        </w:rPr>
      </w:pPr>
      <w:r>
        <w:rPr>
          <w:rFonts w:ascii="Arial" w:cs="Arial" w:eastAsia="Arial" w:hAnsi="Arial"/>
          <w:sz w:val="20"/>
          <w:szCs w:val="20"/>
          <w:color w:val="00162F"/>
        </w:rPr>
        <w:t>redesigned the American Airlines mobile application to better support customers with new features and a more intuitive, modern design;</w:t>
      </w:r>
    </w:p>
    <w:p>
      <w:pPr>
        <w:spacing w:after="0" w:line="112" w:lineRule="exact"/>
        <w:rPr>
          <w:rFonts w:ascii="Arial" w:cs="Arial" w:eastAsia="Arial" w:hAnsi="Arial"/>
          <w:sz w:val="20"/>
          <w:szCs w:val="20"/>
          <w:color w:val="00162F"/>
        </w:rPr>
      </w:pPr>
    </w:p>
    <w:p>
      <w:pPr>
        <w:jc w:val="both"/>
        <w:ind w:left="700" w:hanging="349"/>
        <w:spacing w:after="0" w:line="265" w:lineRule="auto"/>
        <w:tabs>
          <w:tab w:leader="none" w:pos="700" w:val="left"/>
        </w:tabs>
        <w:numPr>
          <w:ilvl w:val="0"/>
          <w:numId w:val="10"/>
        </w:numPr>
        <w:rPr>
          <w:rFonts w:ascii="Arial" w:cs="Arial" w:eastAsia="Arial" w:hAnsi="Arial"/>
          <w:sz w:val="20"/>
          <w:szCs w:val="20"/>
          <w:color w:val="00162F"/>
        </w:rPr>
      </w:pPr>
      <w:r>
        <w:rPr>
          <w:rFonts w:ascii="Arial" w:cs="Arial" w:eastAsia="Arial" w:hAnsi="Arial"/>
          <w:sz w:val="20"/>
          <w:szCs w:val="20"/>
          <w:color w:val="00162F"/>
        </w:rPr>
        <w:t>announced complimentary high-speed Wi-Fi sponsored by AT&amp;T, exclusive to our AAdvantage members, which became effective in January 2026 on our narrowbody and dual-class regional fleets and will be available on nearly every American Airlines flight by spring 2026;</w:t>
      </w:r>
    </w:p>
    <w:p>
      <w:pPr>
        <w:spacing w:after="0" w:line="129" w:lineRule="exact"/>
        <w:rPr>
          <w:rFonts w:ascii="Arial" w:cs="Arial" w:eastAsia="Arial" w:hAnsi="Arial"/>
          <w:sz w:val="20"/>
          <w:szCs w:val="20"/>
          <w:color w:val="00162F"/>
        </w:rPr>
      </w:pPr>
    </w:p>
    <w:p>
      <w:pPr>
        <w:jc w:val="both"/>
        <w:ind w:left="700" w:hanging="349"/>
        <w:spacing w:after="0" w:line="259" w:lineRule="auto"/>
        <w:tabs>
          <w:tab w:leader="none" w:pos="700" w:val="left"/>
        </w:tabs>
        <w:numPr>
          <w:ilvl w:val="0"/>
          <w:numId w:val="10"/>
        </w:numPr>
        <w:rPr>
          <w:rFonts w:ascii="Arial" w:cs="Arial" w:eastAsia="Arial" w:hAnsi="Arial"/>
          <w:sz w:val="20"/>
          <w:szCs w:val="20"/>
          <w:color w:val="00162F"/>
        </w:rPr>
      </w:pPr>
      <w:r>
        <w:rPr>
          <w:rFonts w:ascii="Arial" w:cs="Arial" w:eastAsia="Arial" w:hAnsi="Arial"/>
          <w:sz w:val="20"/>
          <w:szCs w:val="20"/>
          <w:color w:val="00162F"/>
        </w:rPr>
        <w:t>opened the first Flagship</w:t>
      </w:r>
      <w:r>
        <w:rPr>
          <w:rFonts w:ascii="Arial" w:cs="Arial" w:eastAsia="Arial" w:hAnsi="Arial"/>
          <w:sz w:val="12"/>
          <w:szCs w:val="12"/>
          <w:color w:val="00162F"/>
        </w:rPr>
        <w:t>®</w:t>
      </w:r>
      <w:r>
        <w:rPr>
          <w:rFonts w:ascii="Arial" w:cs="Arial" w:eastAsia="Arial" w:hAnsi="Arial"/>
          <w:sz w:val="20"/>
          <w:szCs w:val="20"/>
          <w:color w:val="00162F"/>
        </w:rPr>
        <w:t xml:space="preserve"> lounge in Philadelphia and debuted Provisions by Admirals Club</w:t>
      </w:r>
      <w:r>
        <w:rPr>
          <w:rFonts w:ascii="Arial" w:cs="Arial" w:eastAsia="Arial" w:hAnsi="Arial"/>
          <w:sz w:val="12"/>
          <w:szCs w:val="12"/>
          <w:color w:val="00162F"/>
        </w:rPr>
        <w:t>SM</w:t>
      </w:r>
      <w:r>
        <w:rPr>
          <w:rFonts w:ascii="Arial" w:cs="Arial" w:eastAsia="Arial" w:hAnsi="Arial"/>
          <w:sz w:val="20"/>
          <w:szCs w:val="20"/>
          <w:color w:val="00162F"/>
        </w:rPr>
        <w:t xml:space="preserve"> lounge in Charlotte, a first-of-its-kind space created for travelers on the go. We also announced plans to expand our premium lounge footprint with new Flagship</w:t>
      </w:r>
      <w:r>
        <w:rPr>
          <w:rFonts w:ascii="Arial" w:cs="Arial" w:eastAsia="Arial" w:hAnsi="Arial"/>
          <w:sz w:val="12"/>
          <w:szCs w:val="12"/>
          <w:color w:val="00162F"/>
        </w:rPr>
        <w:t>®</w:t>
      </w:r>
      <w:r>
        <w:rPr>
          <w:rFonts w:ascii="Arial" w:cs="Arial" w:eastAsia="Arial" w:hAnsi="Arial"/>
          <w:sz w:val="20"/>
          <w:szCs w:val="20"/>
          <w:color w:val="00162F"/>
        </w:rPr>
        <w:t xml:space="preserve"> lounges in Miami and Charlotte and upgrades to our existing Admirals Club</w:t>
      </w:r>
      <w:r>
        <w:rPr>
          <w:rFonts w:ascii="Arial" w:cs="Arial" w:eastAsia="Arial" w:hAnsi="Arial"/>
          <w:sz w:val="12"/>
          <w:szCs w:val="12"/>
          <w:color w:val="00162F"/>
        </w:rPr>
        <w:t>®</w:t>
      </w:r>
      <w:r>
        <w:rPr>
          <w:rFonts w:ascii="Arial" w:cs="Arial" w:eastAsia="Arial" w:hAnsi="Arial"/>
          <w:sz w:val="20"/>
          <w:szCs w:val="20"/>
          <w:color w:val="00162F"/>
        </w:rPr>
        <w:t xml:space="preserve"> lounges in Washington D.C, Miami and Charlotte; and</w:t>
      </w:r>
    </w:p>
    <w:p>
      <w:pPr>
        <w:spacing w:after="0" w:line="135"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0"/>
        </w:numPr>
        <w:rPr>
          <w:rFonts w:ascii="Arial" w:cs="Arial" w:eastAsia="Arial" w:hAnsi="Arial"/>
          <w:sz w:val="20"/>
          <w:szCs w:val="20"/>
          <w:color w:val="00162F"/>
        </w:rPr>
      </w:pPr>
      <w:r>
        <w:rPr>
          <w:rFonts w:ascii="Arial" w:cs="Arial" w:eastAsia="Arial" w:hAnsi="Arial"/>
          <w:sz w:val="20"/>
          <w:szCs w:val="20"/>
          <w:color w:val="00162F"/>
        </w:rPr>
        <w:t>established new partnerships, including with FIFA, U.S. Soccer and PGA of America, enabling American to connect customers to major events, including the FIFA World Cup 26</w:t>
      </w:r>
      <w:r>
        <w:rPr>
          <w:rFonts w:ascii="Arial" w:cs="Arial" w:eastAsia="Arial" w:hAnsi="Arial"/>
          <w:sz w:val="12"/>
          <w:szCs w:val="12"/>
          <w:color w:val="00162F"/>
        </w:rPr>
        <w:t>TM</w:t>
      </w:r>
      <w:r>
        <w:rPr>
          <w:rFonts w:ascii="Arial" w:cs="Arial" w:eastAsia="Arial" w:hAnsi="Arial"/>
          <w:sz w:val="20"/>
          <w:szCs w:val="20"/>
          <w:color w:val="00162F"/>
        </w:rPr>
        <w:t>.</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Environmental Sustainability</w:t>
      </w:r>
    </w:p>
    <w:p>
      <w:pPr>
        <w:spacing w:after="0" w:line="95" w:lineRule="exact"/>
        <w:rPr>
          <w:sz w:val="20"/>
          <w:szCs w:val="20"/>
          <w:color w:val="auto"/>
        </w:rPr>
      </w:pPr>
    </w:p>
    <w:p>
      <w:pPr>
        <w:jc w:val="both"/>
        <w:ind w:firstLine="223"/>
        <w:spacing w:after="0" w:line="256" w:lineRule="auto"/>
        <w:rPr>
          <w:sz w:val="20"/>
          <w:szCs w:val="20"/>
          <w:color w:val="auto"/>
        </w:rPr>
      </w:pPr>
      <w:r>
        <w:rPr>
          <w:rFonts w:ascii="Arial" w:cs="Arial" w:eastAsia="Arial" w:hAnsi="Arial"/>
          <w:sz w:val="20"/>
          <w:szCs w:val="20"/>
          <w:color w:val="00162F"/>
        </w:rPr>
        <w:t>Our long-term goal is to reduce our GHG emissions to reach net-zero emissions by 2050. However, aviation remains a “hard to abate” industry, and it will require significant action and investments by governments, manufacturers and other stakeholders to achieve our goals. We are committed to working to improve the efficiency of our own operations, primarily through fleet renewal, and to partnering with other businesses, policymakers, scientists and innovators to scale alternative energy sources and propulsion systems with the potential to reduce our industry’s GHG emissions.</w:t>
      </w:r>
    </w:p>
    <w:p>
      <w:pPr>
        <w:spacing w:after="0" w:line="139" w:lineRule="exact"/>
        <w:rPr>
          <w:sz w:val="20"/>
          <w:szCs w:val="20"/>
          <w:color w:val="auto"/>
        </w:rPr>
      </w:pPr>
    </w:p>
    <w:p>
      <w:pPr>
        <w:jc w:val="both"/>
        <w:ind w:firstLine="223"/>
        <w:spacing w:after="0" w:line="282" w:lineRule="auto"/>
        <w:rPr>
          <w:sz w:val="20"/>
          <w:szCs w:val="20"/>
          <w:color w:val="auto"/>
        </w:rPr>
      </w:pPr>
      <w:r>
        <w:rPr>
          <w:rFonts w:ascii="Arial" w:cs="Arial" w:eastAsia="Arial" w:hAnsi="Arial"/>
          <w:sz w:val="20"/>
          <w:szCs w:val="20"/>
          <w:color w:val="00162F"/>
        </w:rPr>
        <w:t>In 2025, we advanced a range of innovative initiatives aimed at reducing those emissions and minimizing environmental impacts across our operations.</w:t>
      </w:r>
    </w:p>
    <w:p>
      <w:pPr>
        <w:spacing w:after="0" w:line="113" w:lineRule="exact"/>
        <w:rPr>
          <w:sz w:val="20"/>
          <w:szCs w:val="20"/>
          <w:color w:val="auto"/>
        </w:rPr>
      </w:pPr>
    </w:p>
    <w:p>
      <w:pPr>
        <w:jc w:val="both"/>
        <w:ind w:left="700" w:hanging="349"/>
        <w:spacing w:after="0" w:line="254" w:lineRule="auto"/>
        <w:tabs>
          <w:tab w:leader="none" w:pos="700" w:val="left"/>
        </w:tabs>
        <w:numPr>
          <w:ilvl w:val="0"/>
          <w:numId w:val="11"/>
        </w:numPr>
        <w:rPr>
          <w:rFonts w:ascii="Arial" w:cs="Arial" w:eastAsia="Arial" w:hAnsi="Arial"/>
          <w:sz w:val="20"/>
          <w:szCs w:val="20"/>
          <w:color w:val="00162F"/>
        </w:rPr>
      </w:pPr>
      <w:r>
        <w:rPr>
          <w:rFonts w:ascii="Arial" w:cs="Arial" w:eastAsia="Arial" w:hAnsi="Arial"/>
          <w:sz w:val="20"/>
          <w:szCs w:val="20"/>
          <w:i w:val="1"/>
          <w:iCs w:val="1"/>
          <w:color w:val="00162F"/>
        </w:rPr>
        <w:t xml:space="preserve">Fleet renewal. </w:t>
      </w:r>
      <w:r>
        <w:rPr>
          <w:rFonts w:ascii="Arial" w:cs="Arial" w:eastAsia="Arial" w:hAnsi="Arial"/>
          <w:sz w:val="20"/>
          <w:szCs w:val="20"/>
          <w:color w:val="00162F"/>
        </w:rPr>
        <w:t>We continue to make our mainline fleet more efficient. In 2025, we took delivery of 40 latest-generation aircraft, including 23 Boeing 737-8 MAX, 11 Boeing 787-9, five Airbus A321XLR and one Airbus A321neo. We believe that the A321XLR, a longer-range version of the A321neo, will enable us to serve transatlantic markets using an estimated 10% less jet fuel per seat than current widebody aircraft due to latest-generation engines, improved aerodynamics and lighter weight materials. Since 2019, our fleet renewal and optimization efforts have led to an estimated 6.7% improvement in mainline fuel efficiency.</w:t>
      </w:r>
    </w:p>
    <w:p>
      <w:pPr>
        <w:spacing w:after="0" w:line="143" w:lineRule="exact"/>
        <w:rPr>
          <w:rFonts w:ascii="Arial" w:cs="Arial" w:eastAsia="Arial" w:hAnsi="Arial"/>
          <w:sz w:val="20"/>
          <w:szCs w:val="20"/>
          <w:color w:val="00162F"/>
        </w:rPr>
      </w:pPr>
    </w:p>
    <w:p>
      <w:pPr>
        <w:jc w:val="both"/>
        <w:ind w:left="700" w:hanging="349"/>
        <w:spacing w:after="0" w:line="253" w:lineRule="auto"/>
        <w:tabs>
          <w:tab w:leader="none" w:pos="700" w:val="left"/>
        </w:tabs>
        <w:numPr>
          <w:ilvl w:val="0"/>
          <w:numId w:val="11"/>
        </w:numPr>
        <w:rPr>
          <w:rFonts w:ascii="Arial" w:cs="Arial" w:eastAsia="Arial" w:hAnsi="Arial"/>
          <w:sz w:val="20"/>
          <w:szCs w:val="20"/>
          <w:color w:val="00162F"/>
        </w:rPr>
      </w:pPr>
      <w:r>
        <w:rPr>
          <w:rFonts w:ascii="Arial" w:cs="Arial" w:eastAsia="Arial" w:hAnsi="Arial"/>
          <w:sz w:val="20"/>
          <w:szCs w:val="20"/>
          <w:i w:val="1"/>
          <w:iCs w:val="1"/>
          <w:color w:val="00162F"/>
        </w:rPr>
        <w:t xml:space="preserve">Fuel efficiency. </w:t>
      </w:r>
      <w:r>
        <w:rPr>
          <w:rFonts w:ascii="Arial" w:cs="Arial" w:eastAsia="Arial" w:hAnsi="Arial"/>
          <w:sz w:val="20"/>
          <w:szCs w:val="20"/>
          <w:color w:val="00162F"/>
        </w:rPr>
        <w:t>We achieved fuel savings through initiatives including flight optimization systems and programs to</w:t>
      </w:r>
      <w:r>
        <w:rPr>
          <w:rFonts w:ascii="Arial" w:cs="Arial" w:eastAsia="Arial" w:hAnsi="Arial"/>
          <w:sz w:val="20"/>
          <w:szCs w:val="20"/>
          <w:i w:val="1"/>
          <w:iCs w:val="1"/>
          <w:color w:val="00162F"/>
        </w:rPr>
        <w:t xml:space="preserve"> </w:t>
      </w:r>
      <w:r>
        <w:rPr>
          <w:rFonts w:ascii="Arial" w:cs="Arial" w:eastAsia="Arial" w:hAnsi="Arial"/>
          <w:sz w:val="20"/>
          <w:szCs w:val="20"/>
          <w:color w:val="00162F"/>
        </w:rPr>
        <w:t>reduce on-the-ground fuel use. Our flight management system, which enables pilots to see real-time weather and other information in flight to inform adjustments to their flight paths, saved approximately 12.3 million gallons of fuel in 2025 and nearly 44 million gallons since we introduced it in late 2020. In 2025, we also began the reconfiguration of our Boeing 777-300ER fleet to add seats, which will result in a nearly 8% improvement in fuel efficiency per seat when the project is complete. Also in 2025, we significantly increased our use of single-engine taxi operations, saving 1.3 million gallons of jet fuel, a 25% increase over 2024.</w:t>
      </w:r>
    </w:p>
    <w:p>
      <w:pPr>
        <w:spacing w:after="0" w:line="143" w:lineRule="exact"/>
        <w:rPr>
          <w:rFonts w:ascii="Arial" w:cs="Arial" w:eastAsia="Arial" w:hAnsi="Arial"/>
          <w:sz w:val="20"/>
          <w:szCs w:val="20"/>
          <w:color w:val="00162F"/>
        </w:rPr>
      </w:pPr>
    </w:p>
    <w:p>
      <w:pPr>
        <w:jc w:val="both"/>
        <w:ind w:left="700" w:hanging="349"/>
        <w:spacing w:after="0" w:line="251" w:lineRule="auto"/>
        <w:tabs>
          <w:tab w:leader="none" w:pos="700" w:val="left"/>
        </w:tabs>
        <w:numPr>
          <w:ilvl w:val="0"/>
          <w:numId w:val="11"/>
        </w:numPr>
        <w:rPr>
          <w:rFonts w:ascii="Arial" w:cs="Arial" w:eastAsia="Arial" w:hAnsi="Arial"/>
          <w:sz w:val="20"/>
          <w:szCs w:val="20"/>
          <w:color w:val="00162F"/>
        </w:rPr>
      </w:pPr>
      <w:r>
        <w:rPr>
          <w:rFonts w:ascii="Arial" w:cs="Arial" w:eastAsia="Arial" w:hAnsi="Arial"/>
          <w:sz w:val="20"/>
          <w:szCs w:val="20"/>
          <w:i w:val="1"/>
          <w:iCs w:val="1"/>
          <w:color w:val="00162F"/>
        </w:rPr>
        <w:t xml:space="preserve">Next-generation aircraft. </w:t>
      </w:r>
      <w:r>
        <w:rPr>
          <w:rFonts w:ascii="Arial" w:cs="Arial" w:eastAsia="Arial" w:hAnsi="Arial"/>
          <w:sz w:val="20"/>
          <w:szCs w:val="20"/>
          <w:color w:val="00162F"/>
        </w:rPr>
        <w:t>American has invested in ZeroAvia to help advance the development of its hydrogen fuel</w:t>
      </w:r>
      <w:r>
        <w:rPr>
          <w:rFonts w:ascii="Arial" w:cs="Arial" w:eastAsia="Arial" w:hAnsi="Arial"/>
          <w:sz w:val="20"/>
          <w:szCs w:val="20"/>
          <w:i w:val="1"/>
          <w:iCs w:val="1"/>
          <w:color w:val="00162F"/>
        </w:rPr>
        <w:t xml:space="preserve"> </w:t>
      </w:r>
      <w:r>
        <w:rPr>
          <w:rFonts w:ascii="Arial" w:cs="Arial" w:eastAsia="Arial" w:hAnsi="Arial"/>
          <w:sz w:val="20"/>
          <w:szCs w:val="20"/>
          <w:color w:val="00162F"/>
        </w:rPr>
        <w:t>cell-powered electric aircraft engines. ZeroAvia’s technology uses green hydrogen to produce electricity through a catalytic chemical reaction, which then powers the motors of the aircraft. ZeroAvia is working to retrofit and linefit its powertrains to existing FAA-certified fixed-wing aircraft, a strategy aimed at simplifying the regulatory process and reducing time to market. American has also entered into a conditional purchase agreement for up to 100 engines, which we hope will ultimately allow us to retrofit and power aircraft like the Bombardier CRJ700 regional jet with ZeroAvia’s hydrogen-electric powertrain. In addition, we are an investor in and customer of Vertical Aerospace, thereby supporting the development of an emissions-free electric vertical takeoff and landing aircraft for passenger transportation. In 2025, Vertical Aerospace advanced its piloted prototype program from hover testing to high-speed wingborne flight.</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15</w:t>
      </w:r>
    </w:p>
    <w:p>
      <w:pPr>
        <w:sectPr>
          <w:pgSz w:w="11880" w:h="15480" w:orient="portrait"/>
          <w:cols w:equalWidth="0" w:num="1">
            <w:col w:w="10680"/>
          </w:cols>
          <w:pgMar w:left="600" w:top="992" w:right="600" w:bottom="0" w:gutter="0" w:footer="0" w:header="0"/>
          <w:type w:val="continuous"/>
        </w:sectPr>
      </w:pPr>
    </w:p>
    <w:bookmarkStart w:id="16" w:name="page17"/>
    <w:bookmarkEnd w:id="16"/>
    <w:p>
      <w:pPr>
        <w:jc w:val="both"/>
        <w:ind w:left="700" w:hanging="349"/>
        <w:spacing w:after="0" w:line="253" w:lineRule="auto"/>
        <w:tabs>
          <w:tab w:leader="none" w:pos="700" w:val="left"/>
        </w:tabs>
        <w:numPr>
          <w:ilvl w:val="0"/>
          <w:numId w:val="12"/>
        </w:numPr>
        <w:rPr>
          <w:rFonts w:ascii="Arial" w:cs="Arial" w:eastAsia="Arial" w:hAnsi="Arial"/>
          <w:sz w:val="20"/>
          <w:szCs w:val="20"/>
          <w:color w:val="00162F"/>
        </w:rPr>
      </w:pPr>
      <w:r>
        <w:rPr>
          <w:rFonts w:ascii="Arial" w:cs="Arial" w:eastAsia="Arial" w:hAnsi="Arial"/>
          <w:sz w:val="20"/>
          <w:szCs w:val="20"/>
          <w:i w:val="1"/>
          <w:iCs w:val="1"/>
          <w:color w:val="00162F"/>
        </w:rPr>
        <w:t xml:space="preserve">Sustainable aviation fuel (SAF). </w:t>
      </w:r>
      <w:r>
        <w:rPr>
          <w:rFonts w:ascii="Arial" w:cs="Arial" w:eastAsia="Arial" w:hAnsi="Arial"/>
          <w:sz w:val="20"/>
          <w:szCs w:val="20"/>
          <w:color w:val="00162F"/>
        </w:rPr>
        <w:t>In 2025, we evaluated opportunities to maximize our contribution to accelerating</w:t>
      </w:r>
      <w:r>
        <w:rPr>
          <w:rFonts w:ascii="Arial" w:cs="Arial" w:eastAsia="Arial" w:hAnsi="Arial"/>
          <w:sz w:val="20"/>
          <w:szCs w:val="20"/>
          <w:i w:val="1"/>
          <w:iCs w:val="1"/>
          <w:color w:val="00162F"/>
        </w:rPr>
        <w:t xml:space="preserve"> </w:t>
      </w:r>
      <w:r>
        <w:rPr>
          <w:rFonts w:ascii="Arial" w:cs="Arial" w:eastAsia="Arial" w:hAnsi="Arial"/>
          <w:sz w:val="20"/>
          <w:szCs w:val="20"/>
          <w:color w:val="00162F"/>
        </w:rPr>
        <w:t xml:space="preserve">the growth of the nascent SAF market. As a result, American and Alaska Airlines, in partnership with Breakthrough Energy Ventures and other </w:t>
      </w:r>
      <w:r>
        <w:rPr>
          <w:rFonts w:ascii="Arial" w:cs="Arial" w:eastAsia="Arial" w:hAnsi="Arial"/>
          <w:sz w:val="20"/>
          <w:szCs w:val="20"/>
          <w:b w:val="1"/>
          <w:bCs w:val="1"/>
          <w:color w:val="00162F"/>
        </w:rPr>
        <w:t>one</w:t>
      </w:r>
      <w:r>
        <w:rPr>
          <w:rFonts w:ascii="Arial" w:cs="Arial" w:eastAsia="Arial" w:hAnsi="Arial"/>
          <w:sz w:val="20"/>
          <w:szCs w:val="20"/>
          <w:color w:val="00162F"/>
        </w:rPr>
        <w:t>world carriers, led the launch of a new investment fund that seeks to accelerate the global development of long-term, lower emissions aviation fuel solutions designed to be cost effective and scalable. We also pursued the purchase of SAF in the voluntary market and in 2025, took delivery of more than 6.8 million gallons of SAF, which represents a small fraction of our overall fuel consumption but more than twice the volume of SAF we purchased voluntarily in 2024.</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Aircraft Fuel</w:t>
      </w:r>
    </w:p>
    <w:p>
      <w:pPr>
        <w:spacing w:after="0" w:line="97"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Our operations and financial results are materially affected by the availability and price of aircraft fuel, which represents one of the largest single cost items in our business. Based on our 2026 forecasted mainline and regional fuel consumption, we estimate that a one cent per gallon increase in the price of aircraft fuel would increase our 2026 annual fuel expense by approximately $50 million.</w:t>
      </w:r>
    </w:p>
    <w:p>
      <w:pPr>
        <w:spacing w:after="0" w:line="136"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following table shows annual aircraft fuel consumption and costs, including taxes, for our mainline and regional operations for 2025 and 2024 (gallons and aircraft fuel expense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460" w:type="dxa"/>
            <w:vAlign w:val="bottom"/>
            <w:gridSpan w:val="2"/>
            <w:vMerge w:val="restart"/>
          </w:tcPr>
          <w:p>
            <w:pPr>
              <w:spacing w:after="0"/>
              <w:rPr>
                <w:sz w:val="20"/>
                <w:szCs w:val="20"/>
                <w:color w:val="auto"/>
              </w:rPr>
            </w:pPr>
            <w:r>
              <w:rPr>
                <w:rFonts w:ascii="Arial" w:cs="Arial" w:eastAsia="Arial" w:hAnsi="Arial"/>
                <w:sz w:val="16"/>
                <w:szCs w:val="16"/>
                <w:b w:val="1"/>
                <w:bCs w:val="1"/>
                <w:color w:val="00162F"/>
              </w:rPr>
              <w:t>Year</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00162F"/>
                <w:w w:val="98"/>
              </w:rPr>
              <w:t>Gallons</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0162F"/>
                <w:w w:val="99"/>
              </w:rPr>
              <w:t>Average Price</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0162F"/>
                <w:w w:val="99"/>
              </w:rPr>
              <w:t>Aircraft Fuel</w:t>
            </w:r>
          </w:p>
        </w:tc>
        <w:tc>
          <w:tcPr>
            <w:tcW w:w="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00162F"/>
                <w:w w:val="99"/>
              </w:rPr>
              <w:t>Percent of Total</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46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center"/>
              <w:spacing w:after="0" w:line="171" w:lineRule="exact"/>
              <w:rPr>
                <w:sz w:val="20"/>
                <w:szCs w:val="20"/>
                <w:color w:val="auto"/>
              </w:rPr>
            </w:pPr>
            <w:r>
              <w:rPr>
                <w:rFonts w:ascii="Arial" w:cs="Arial" w:eastAsia="Arial" w:hAnsi="Arial"/>
                <w:sz w:val="16"/>
                <w:szCs w:val="16"/>
                <w:b w:val="1"/>
                <w:bCs w:val="1"/>
                <w:color w:val="00162F"/>
                <w:w w:val="98"/>
              </w:rPr>
              <w:t>per Gallon</w:t>
            </w:r>
          </w:p>
        </w:tc>
        <w:tc>
          <w:tcPr>
            <w:tcW w:w="80" w:type="dxa"/>
            <w:vAlign w:val="bottom"/>
          </w:tcPr>
          <w:p>
            <w:pPr>
              <w:spacing w:after="0"/>
              <w:rPr>
                <w:sz w:val="14"/>
                <w:szCs w:val="14"/>
                <w:color w:val="auto"/>
              </w:rPr>
            </w:pPr>
          </w:p>
        </w:tc>
        <w:tc>
          <w:tcPr>
            <w:tcW w:w="1460" w:type="dxa"/>
            <w:vAlign w:val="bottom"/>
          </w:tcPr>
          <w:p>
            <w:pPr>
              <w:jc w:val="center"/>
              <w:spacing w:after="0" w:line="171" w:lineRule="exact"/>
              <w:rPr>
                <w:sz w:val="20"/>
                <w:szCs w:val="20"/>
                <w:color w:val="auto"/>
              </w:rPr>
            </w:pPr>
            <w:r>
              <w:rPr>
                <w:rFonts w:ascii="Arial" w:cs="Arial" w:eastAsia="Arial" w:hAnsi="Arial"/>
                <w:sz w:val="16"/>
                <w:szCs w:val="16"/>
                <w:b w:val="1"/>
                <w:bCs w:val="1"/>
                <w:color w:val="00162F"/>
              </w:rPr>
              <w:t>Expense</w:t>
            </w:r>
          </w:p>
        </w:tc>
        <w:tc>
          <w:tcPr>
            <w:tcW w:w="80" w:type="dxa"/>
            <w:vAlign w:val="bottom"/>
          </w:tcPr>
          <w:p>
            <w:pPr>
              <w:spacing w:after="0"/>
              <w:rPr>
                <w:sz w:val="14"/>
                <w:szCs w:val="14"/>
                <w:color w:val="auto"/>
              </w:rPr>
            </w:pPr>
          </w:p>
        </w:tc>
        <w:tc>
          <w:tcPr>
            <w:tcW w:w="1780" w:type="dxa"/>
            <w:vAlign w:val="bottom"/>
          </w:tcPr>
          <w:p>
            <w:pPr>
              <w:jc w:val="center"/>
              <w:spacing w:after="0" w:line="171" w:lineRule="exact"/>
              <w:rPr>
                <w:sz w:val="20"/>
                <w:szCs w:val="20"/>
                <w:color w:val="auto"/>
              </w:rPr>
            </w:pPr>
            <w:r>
              <w:rPr>
                <w:rFonts w:ascii="Arial" w:cs="Arial" w:eastAsia="Arial" w:hAnsi="Arial"/>
                <w:sz w:val="16"/>
                <w:szCs w:val="16"/>
                <w:b w:val="1"/>
                <w:bCs w:val="1"/>
                <w:color w:val="00162F"/>
                <w:w w:val="99"/>
              </w:rPr>
              <w:t>Operating Expenses</w:t>
            </w:r>
          </w:p>
        </w:tc>
        <w:tc>
          <w:tcPr>
            <w:tcW w:w="0" w:type="dxa"/>
            <w:vAlign w:val="bottom"/>
          </w:tcPr>
          <w:p>
            <w:pPr>
              <w:spacing w:after="0"/>
              <w:rPr>
                <w:sz w:val="1"/>
                <w:szCs w:val="1"/>
                <w:color w:val="auto"/>
              </w:rPr>
            </w:pPr>
          </w:p>
        </w:tc>
      </w:tr>
      <w:tr>
        <w:trPr>
          <w:trHeight w:val="20"/>
        </w:trPr>
        <w:tc>
          <w:tcPr>
            <w:tcW w:w="40" w:type="dxa"/>
            <w:vAlign w:val="bottom"/>
            <w:tcBorders>
              <w:bottom w:val="single" w:sz="8" w:color="EDEDED"/>
            </w:tcBorders>
          </w:tcPr>
          <w:p>
            <w:pPr>
              <w:spacing w:after="0" w:line="20" w:lineRule="exact"/>
              <w:rPr>
                <w:sz w:val="1"/>
                <w:szCs w:val="1"/>
                <w:color w:val="auto"/>
              </w:rPr>
            </w:pPr>
          </w:p>
        </w:tc>
        <w:tc>
          <w:tcPr>
            <w:tcW w:w="360" w:type="dxa"/>
            <w:vAlign w:val="bottom"/>
            <w:tcBorders>
              <w:top w:val="single" w:sz="8" w:color="00162F"/>
              <w:bottom w:val="single" w:sz="8" w:color="EDEDED"/>
            </w:tcBorders>
          </w:tcPr>
          <w:p>
            <w:pPr>
              <w:spacing w:after="0" w:line="20" w:lineRule="exact"/>
              <w:rPr>
                <w:sz w:val="1"/>
                <w:szCs w:val="1"/>
                <w:color w:val="auto"/>
              </w:rPr>
            </w:pPr>
          </w:p>
        </w:tc>
        <w:tc>
          <w:tcPr>
            <w:tcW w:w="4100" w:type="dxa"/>
            <w:vAlign w:val="bottom"/>
            <w:tcBorders>
              <w:bottom w:val="single" w:sz="8" w:color="EDEDED"/>
            </w:tcBorders>
          </w:tcPr>
          <w:p>
            <w:pPr>
              <w:spacing w:after="0" w:line="20" w:lineRule="exact"/>
              <w:rPr>
                <w:sz w:val="1"/>
                <w:szCs w:val="1"/>
                <w:color w:val="auto"/>
              </w:rPr>
            </w:pPr>
          </w:p>
        </w:tc>
        <w:tc>
          <w:tcPr>
            <w:tcW w:w="1240" w:type="dxa"/>
            <w:vAlign w:val="bottom"/>
            <w:tcBorders>
              <w:bottom w:val="single" w:sz="8" w:color="00162F"/>
            </w:tcBorders>
          </w:tcPr>
          <w:p>
            <w:pPr>
              <w:spacing w:after="0" w:line="20" w:lineRule="exact"/>
              <w:rPr>
                <w:sz w:val="1"/>
                <w:szCs w:val="1"/>
                <w:color w:val="auto"/>
              </w:rPr>
            </w:pPr>
          </w:p>
        </w:tc>
        <w:tc>
          <w:tcPr>
            <w:tcW w:w="80" w:type="dxa"/>
            <w:vAlign w:val="bottom"/>
            <w:tcBorders>
              <w:bottom w:val="single" w:sz="8" w:color="EDEDED"/>
            </w:tcBorders>
          </w:tcPr>
          <w:p>
            <w:pPr>
              <w:spacing w:after="0" w:line="20" w:lineRule="exact"/>
              <w:rPr>
                <w:sz w:val="1"/>
                <w:szCs w:val="1"/>
                <w:color w:val="auto"/>
              </w:rPr>
            </w:pPr>
          </w:p>
        </w:tc>
        <w:tc>
          <w:tcPr>
            <w:tcW w:w="1460" w:type="dxa"/>
            <w:vAlign w:val="bottom"/>
            <w:tcBorders>
              <w:bottom w:val="single" w:sz="8" w:color="00162F"/>
            </w:tcBorders>
          </w:tcPr>
          <w:p>
            <w:pPr>
              <w:spacing w:after="0" w:line="20" w:lineRule="exact"/>
              <w:rPr>
                <w:sz w:val="1"/>
                <w:szCs w:val="1"/>
                <w:color w:val="auto"/>
              </w:rPr>
            </w:pPr>
          </w:p>
        </w:tc>
        <w:tc>
          <w:tcPr>
            <w:tcW w:w="80" w:type="dxa"/>
            <w:vAlign w:val="bottom"/>
            <w:tcBorders>
              <w:bottom w:val="single" w:sz="8" w:color="EDEDED"/>
            </w:tcBorders>
          </w:tcPr>
          <w:p>
            <w:pPr>
              <w:spacing w:after="0" w:line="20" w:lineRule="exact"/>
              <w:rPr>
                <w:sz w:val="1"/>
                <w:szCs w:val="1"/>
                <w:color w:val="auto"/>
              </w:rPr>
            </w:pPr>
          </w:p>
        </w:tc>
        <w:tc>
          <w:tcPr>
            <w:tcW w:w="1460" w:type="dxa"/>
            <w:vAlign w:val="bottom"/>
            <w:tcBorders>
              <w:bottom w:val="single" w:sz="8" w:color="00162F"/>
            </w:tcBorders>
          </w:tcPr>
          <w:p>
            <w:pPr>
              <w:spacing w:after="0" w:line="20" w:lineRule="exact"/>
              <w:rPr>
                <w:sz w:val="1"/>
                <w:szCs w:val="1"/>
                <w:color w:val="auto"/>
              </w:rPr>
            </w:pPr>
          </w:p>
        </w:tc>
        <w:tc>
          <w:tcPr>
            <w:tcW w:w="80" w:type="dxa"/>
            <w:vAlign w:val="bottom"/>
            <w:tcBorders>
              <w:bottom w:val="single" w:sz="8" w:color="EDEDED"/>
            </w:tcBorders>
          </w:tcPr>
          <w:p>
            <w:pPr>
              <w:spacing w:after="0" w:line="20" w:lineRule="exact"/>
              <w:rPr>
                <w:sz w:val="1"/>
                <w:szCs w:val="1"/>
                <w:color w:val="auto"/>
              </w:rPr>
            </w:pPr>
          </w:p>
        </w:tc>
        <w:tc>
          <w:tcPr>
            <w:tcW w:w="1780" w:type="dxa"/>
            <w:vAlign w:val="bottom"/>
            <w:tcBorders>
              <w:bottom w:val="single" w:sz="8" w:color="00162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4500" w:type="dxa"/>
            <w:vAlign w:val="bottom"/>
            <w:gridSpan w:val="3"/>
            <w:shd w:val="clear" w:color="auto" w:fill="EDEDED"/>
          </w:tcPr>
          <w:p>
            <w:pPr>
              <w:ind w:left="40"/>
              <w:spacing w:after="0"/>
              <w:rPr>
                <w:sz w:val="20"/>
                <w:szCs w:val="20"/>
                <w:color w:val="auto"/>
              </w:rPr>
            </w:pPr>
            <w:r>
              <w:rPr>
                <w:rFonts w:ascii="Arial" w:cs="Arial" w:eastAsia="Arial" w:hAnsi="Arial"/>
                <w:sz w:val="20"/>
                <w:szCs w:val="20"/>
                <w:color w:val="00162F"/>
              </w:rPr>
              <w:t>2025</w:t>
            </w:r>
          </w:p>
        </w:tc>
        <w:tc>
          <w:tcPr>
            <w:tcW w:w="124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4,488</w:t>
            </w:r>
          </w:p>
        </w:tc>
        <w:tc>
          <w:tcPr>
            <w:tcW w:w="1540" w:type="dxa"/>
            <w:vAlign w:val="bottom"/>
            <w:gridSpan w:val="2"/>
            <w:shd w:val="clear" w:color="auto" w:fill="EDEDED"/>
          </w:tcPr>
          <w:p>
            <w:pPr>
              <w:jc w:val="center"/>
              <w:ind w:left="21"/>
              <w:spacing w:after="0"/>
              <w:rPr>
                <w:sz w:val="20"/>
                <w:szCs w:val="20"/>
                <w:color w:val="auto"/>
              </w:rPr>
            </w:pPr>
            <w:r>
              <w:rPr>
                <w:rFonts w:ascii="Arial" w:cs="Arial" w:eastAsia="Arial" w:hAnsi="Arial"/>
                <w:sz w:val="20"/>
                <w:szCs w:val="20"/>
                <w:color w:val="00162F"/>
                <w:w w:val="99"/>
              </w:rPr>
              <w:t>$2.39</w:t>
            </w:r>
          </w:p>
        </w:tc>
        <w:tc>
          <w:tcPr>
            <w:tcW w:w="1540" w:type="dxa"/>
            <w:vAlign w:val="bottom"/>
            <w:gridSpan w:val="2"/>
            <w:shd w:val="clear" w:color="auto" w:fill="EDEDED"/>
          </w:tcPr>
          <w:p>
            <w:pPr>
              <w:jc w:val="center"/>
              <w:ind w:left="41"/>
              <w:spacing w:after="0"/>
              <w:rPr>
                <w:sz w:val="20"/>
                <w:szCs w:val="20"/>
                <w:color w:val="auto"/>
              </w:rPr>
            </w:pPr>
            <w:r>
              <w:rPr>
                <w:rFonts w:ascii="Arial" w:cs="Arial" w:eastAsia="Arial" w:hAnsi="Arial"/>
                <w:sz w:val="20"/>
                <w:szCs w:val="20"/>
                <w:color w:val="00162F"/>
                <w:w w:val="99"/>
              </w:rPr>
              <w:t>$10,718</w:t>
            </w:r>
          </w:p>
        </w:tc>
        <w:tc>
          <w:tcPr>
            <w:tcW w:w="1860" w:type="dxa"/>
            <w:vAlign w:val="bottom"/>
            <w:gridSpan w:val="2"/>
            <w:shd w:val="clear" w:color="auto" w:fill="EDEDED"/>
          </w:tcPr>
          <w:p>
            <w:pPr>
              <w:jc w:val="center"/>
              <w:ind w:left="41"/>
              <w:spacing w:after="0"/>
              <w:rPr>
                <w:sz w:val="20"/>
                <w:szCs w:val="20"/>
                <w:color w:val="auto"/>
              </w:rPr>
            </w:pPr>
            <w:r>
              <w:rPr>
                <w:rFonts w:ascii="Arial" w:cs="Arial" w:eastAsia="Arial" w:hAnsi="Arial"/>
                <w:sz w:val="20"/>
                <w:szCs w:val="20"/>
                <w:color w:val="00162F"/>
                <w:w w:val="99"/>
              </w:rPr>
              <w:t>20%</w:t>
            </w:r>
          </w:p>
        </w:tc>
        <w:tc>
          <w:tcPr>
            <w:tcW w:w="0" w:type="dxa"/>
            <w:vAlign w:val="bottom"/>
          </w:tcPr>
          <w:p>
            <w:pPr>
              <w:spacing w:after="0"/>
              <w:rPr>
                <w:sz w:val="1"/>
                <w:szCs w:val="1"/>
                <w:color w:val="auto"/>
              </w:rPr>
            </w:pPr>
          </w:p>
        </w:tc>
      </w:tr>
      <w:tr>
        <w:trPr>
          <w:trHeight w:val="275"/>
        </w:trPr>
        <w:tc>
          <w:tcPr>
            <w:tcW w:w="4500" w:type="dxa"/>
            <w:vAlign w:val="bottom"/>
            <w:gridSpan w:val="3"/>
          </w:tcPr>
          <w:p>
            <w:pPr>
              <w:ind w:left="40"/>
              <w:spacing w:after="0"/>
              <w:rPr>
                <w:sz w:val="20"/>
                <w:szCs w:val="20"/>
                <w:color w:val="auto"/>
              </w:rPr>
            </w:pPr>
            <w:r>
              <w:rPr>
                <w:rFonts w:ascii="Arial" w:cs="Arial" w:eastAsia="Arial" w:hAnsi="Arial"/>
                <w:sz w:val="20"/>
                <w:szCs w:val="20"/>
                <w:color w:val="00162F"/>
              </w:rPr>
              <w:t>2024</w:t>
            </w:r>
          </w:p>
        </w:tc>
        <w:tc>
          <w:tcPr>
            <w:tcW w:w="1240" w:type="dxa"/>
            <w:vAlign w:val="bottom"/>
          </w:tcPr>
          <w:p>
            <w:pPr>
              <w:jc w:val="center"/>
              <w:spacing w:after="0"/>
              <w:rPr>
                <w:sz w:val="20"/>
                <w:szCs w:val="20"/>
                <w:color w:val="auto"/>
              </w:rPr>
            </w:pPr>
            <w:r>
              <w:rPr>
                <w:rFonts w:ascii="Arial" w:cs="Arial" w:eastAsia="Arial" w:hAnsi="Arial"/>
                <w:sz w:val="20"/>
                <w:szCs w:val="20"/>
                <w:color w:val="00162F"/>
                <w:w w:val="99"/>
              </w:rPr>
              <w:t>4,391</w:t>
            </w:r>
          </w:p>
        </w:tc>
        <w:tc>
          <w:tcPr>
            <w:tcW w:w="1540" w:type="dxa"/>
            <w:vAlign w:val="bottom"/>
            <w:gridSpan w:val="2"/>
          </w:tcPr>
          <w:p>
            <w:pPr>
              <w:jc w:val="center"/>
              <w:ind w:left="21"/>
              <w:spacing w:after="0"/>
              <w:rPr>
                <w:sz w:val="20"/>
                <w:szCs w:val="20"/>
                <w:color w:val="auto"/>
              </w:rPr>
            </w:pPr>
            <w:r>
              <w:rPr>
                <w:rFonts w:ascii="Arial" w:cs="Arial" w:eastAsia="Arial" w:hAnsi="Arial"/>
                <w:sz w:val="20"/>
                <w:szCs w:val="20"/>
                <w:color w:val="00162F"/>
                <w:w w:val="99"/>
              </w:rPr>
              <w:t>$2.60</w:t>
            </w:r>
          </w:p>
        </w:tc>
        <w:tc>
          <w:tcPr>
            <w:tcW w:w="1540" w:type="dxa"/>
            <w:vAlign w:val="bottom"/>
            <w:gridSpan w:val="2"/>
          </w:tcPr>
          <w:p>
            <w:pPr>
              <w:jc w:val="center"/>
              <w:ind w:left="41"/>
              <w:spacing w:after="0"/>
              <w:rPr>
                <w:sz w:val="20"/>
                <w:szCs w:val="20"/>
                <w:color w:val="auto"/>
              </w:rPr>
            </w:pPr>
            <w:r>
              <w:rPr>
                <w:rFonts w:ascii="Arial" w:cs="Arial" w:eastAsia="Arial" w:hAnsi="Arial"/>
                <w:sz w:val="20"/>
                <w:szCs w:val="20"/>
                <w:color w:val="00162F"/>
                <w:w w:val="99"/>
              </w:rPr>
              <w:t>$11,418</w:t>
            </w:r>
          </w:p>
        </w:tc>
        <w:tc>
          <w:tcPr>
            <w:tcW w:w="1860" w:type="dxa"/>
            <w:vAlign w:val="bottom"/>
            <w:gridSpan w:val="2"/>
          </w:tcPr>
          <w:p>
            <w:pPr>
              <w:jc w:val="center"/>
              <w:ind w:left="41"/>
              <w:spacing w:after="0"/>
              <w:rPr>
                <w:sz w:val="20"/>
                <w:szCs w:val="20"/>
                <w:color w:val="auto"/>
              </w:rPr>
            </w:pPr>
            <w:r>
              <w:rPr>
                <w:rFonts w:ascii="Arial" w:cs="Arial" w:eastAsia="Arial" w:hAnsi="Arial"/>
                <w:sz w:val="20"/>
                <w:szCs w:val="20"/>
                <w:color w:val="00162F"/>
                <w:w w:val="99"/>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-378460</wp:posOffset>
            </wp:positionV>
            <wp:extent cx="3966845" cy="5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3966845" cy="50165"/>
                    </a:xfrm>
                    <a:prstGeom prst="rect">
                      <a:avLst/>
                    </a:prstGeom>
                    <a:noFill/>
                  </pic:spPr>
                </pic:pic>
              </a:graphicData>
            </a:graphic>
          </wp:anchor>
        </w:drawing>
      </w:r>
    </w:p>
    <w:p>
      <w:pPr>
        <w:spacing w:after="0" w:line="209"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As of December 31, 2025,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aircraft fuel prices.</w:t>
      </w:r>
    </w:p>
    <w:p>
      <w:pPr>
        <w:spacing w:after="0" w:line="136" w:lineRule="exact"/>
        <w:rPr>
          <w:sz w:val="20"/>
          <w:szCs w:val="20"/>
          <w:color w:val="auto"/>
        </w:rPr>
      </w:pPr>
    </w:p>
    <w:p>
      <w:pPr>
        <w:jc w:val="both"/>
        <w:ind w:firstLine="223"/>
        <w:spacing w:after="0" w:line="256" w:lineRule="auto"/>
        <w:rPr>
          <w:sz w:val="20"/>
          <w:szCs w:val="20"/>
          <w:color w:val="auto"/>
        </w:rPr>
      </w:pPr>
      <w:r>
        <w:rPr>
          <w:rFonts w:ascii="Arial" w:cs="Arial" w:eastAsia="Arial" w:hAnsi="Arial"/>
          <w:sz w:val="20"/>
          <w:szCs w:val="20"/>
          <w:color w:val="00162F"/>
        </w:rPr>
        <w:t>Aircraft fuel prices have in the past, and may in the future, experience substantial volatility. We cannot predict the future availability, price volatility or cost of aircraft fuel. For more discussion, see Part I, Item 1A. Risk Factors – “</w:t>
      </w:r>
      <w:r>
        <w:rPr>
          <w:rFonts w:ascii="Arial" w:cs="Arial" w:eastAsia="Arial" w:hAnsi="Arial"/>
          <w:sz w:val="20"/>
          <w:szCs w:val="20"/>
          <w:i w:val="1"/>
          <w:iCs w:val="1"/>
          <w:color w:val="00162F"/>
        </w:rPr>
        <w:t>Our business is</w:t>
      </w:r>
      <w:r>
        <w:rPr>
          <w:rFonts w:ascii="Arial" w:cs="Arial" w:eastAsia="Arial" w:hAnsi="Arial"/>
          <w:sz w:val="20"/>
          <w:szCs w:val="20"/>
          <w:color w:val="00162F"/>
        </w:rPr>
        <w:t xml:space="preserve"> </w:t>
      </w:r>
      <w:r>
        <w:rPr>
          <w:rFonts w:ascii="Arial" w:cs="Arial" w:eastAsia="Arial" w:hAnsi="Arial"/>
          <w:sz w:val="20"/>
          <w:szCs w:val="20"/>
          <w:i w:val="1"/>
          <w:iCs w:val="1"/>
          <w:color w:val="00162F"/>
        </w:rPr>
        <w:t>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r>
        <w:rPr>
          <w:rFonts w:ascii="Arial" w:cs="Arial" w:eastAsia="Arial" w:hAnsi="Arial"/>
          <w:sz w:val="20"/>
          <w:szCs w:val="20"/>
          <w:color w:val="00162F"/>
        </w:rPr>
        <w:t>.”</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Seasonality and Other Factors</w:t>
      </w:r>
    </w:p>
    <w:p>
      <w:pPr>
        <w:spacing w:after="0" w:line="97" w:lineRule="exact"/>
        <w:rPr>
          <w:sz w:val="20"/>
          <w:szCs w:val="20"/>
          <w:color w:val="auto"/>
        </w:rPr>
      </w:pPr>
    </w:p>
    <w:p>
      <w:pPr>
        <w:jc w:val="both"/>
        <w:ind w:firstLine="223"/>
        <w:spacing w:after="0" w:line="254" w:lineRule="auto"/>
        <w:rPr>
          <w:sz w:val="20"/>
          <w:szCs w:val="20"/>
          <w:color w:val="auto"/>
        </w:rPr>
      </w:pPr>
      <w:r>
        <w:rPr>
          <w:rFonts w:ascii="Arial" w:cs="Arial" w:eastAsia="Arial" w:hAnsi="Arial"/>
          <w:sz w:val="20"/>
          <w:szCs w:val="20"/>
          <w:color w:val="00162F"/>
        </w:rPr>
        <w:t>Due to the greater demand for air travel during summer months, revenues in the airline industry exhibit seasonal patterns based on peak travel periods. General economic conditions, fears of terrorism or war, fare initiatives, fluctuations in fuel prices, labor actions, weather, natural disasters, outbreaks of disease, geopolitical factors and other factors could impact this seasonal pattern. Therefore, our quarterly results of operations are not necessarily indicative of operating results for the entire year, and historical operating results in a quarterly or annual period are not necessarily indicative of future operating results.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Domestic and Global Regulatory Landscape</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General</w:t>
      </w:r>
    </w:p>
    <w:p>
      <w:pPr>
        <w:spacing w:after="0" w:line="95" w:lineRule="exact"/>
        <w:rPr>
          <w:sz w:val="20"/>
          <w:szCs w:val="20"/>
          <w:color w:val="auto"/>
        </w:rPr>
      </w:pPr>
    </w:p>
    <w:p>
      <w:pPr>
        <w:jc w:val="both"/>
        <w:ind w:firstLine="223"/>
        <w:spacing w:after="0" w:line="282" w:lineRule="auto"/>
        <w:rPr>
          <w:sz w:val="20"/>
          <w:szCs w:val="20"/>
          <w:color w:val="auto"/>
        </w:rPr>
      </w:pPr>
      <w:r>
        <w:rPr>
          <w:rFonts w:ascii="Arial" w:cs="Arial" w:eastAsia="Arial" w:hAnsi="Arial"/>
          <w:sz w:val="20"/>
          <w:szCs w:val="20"/>
          <w:color w:val="00162F"/>
        </w:rPr>
        <w:t>Airlines are subject to extensive domestic and international regulatory requirements. Domestically, the U.S. Department of Transportation (DOT) and the FAA exercise significant regulatory authority over air carriers.</w:t>
      </w:r>
    </w:p>
    <w:p>
      <w:pPr>
        <w:spacing w:after="0" w:line="113"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The DOT, among other things, oversees and regulates domestic and international codeshare agreements, international route authorities, competition and consumer protection matters including accessibility, the display and sharing of ancillary fee information and refund practices. The Antitrust Division of the Department of Justice, along with the DOT in certain instances, has jurisdiction over airline antitrust matters.</w:t>
      </w:r>
    </w:p>
    <w:p>
      <w:pPr>
        <w:spacing w:after="0" w:line="136" w:lineRule="exact"/>
        <w:rPr>
          <w:sz w:val="20"/>
          <w:szCs w:val="20"/>
          <w:color w:val="auto"/>
        </w:rPr>
      </w:pPr>
    </w:p>
    <w:p>
      <w:pPr>
        <w:jc w:val="both"/>
        <w:ind w:firstLine="223"/>
        <w:spacing w:after="0" w:line="254" w:lineRule="auto"/>
        <w:rPr>
          <w:sz w:val="20"/>
          <w:szCs w:val="20"/>
          <w:color w:val="auto"/>
        </w:rPr>
      </w:pPr>
      <w:r>
        <w:rPr>
          <w:rFonts w:ascii="Arial" w:cs="Arial" w:eastAsia="Arial" w:hAnsi="Arial"/>
          <w:sz w:val="20"/>
          <w:szCs w:val="20"/>
          <w:color w:val="00162F"/>
        </w:rPr>
        <w:t>The FAA similarly exercises safety oversight and regulates most operational matters of our business, including how we operate and maintain our aircraft. FAA requirements cover, among other things, required technology and necessary onboard equipment; systems, procedures and training necessary to ensure the continuous airworthiness of our aircraft; safety measures and equipment; crew scheduling limitations and experience requirements; and many other technical aspects of airline operations. Additionally, our pilots and other employees are subject to rigorous certification standards, and our pilots and other crew members must adhere to flight time and rest requirements.</w:t>
      </w:r>
    </w:p>
    <w:p>
      <w:pPr>
        <w:sectPr>
          <w:pgSz w:w="11880" w:h="15480" w:orient="portrait"/>
          <w:cols w:equalWidth="0" w:num="1">
            <w:col w:w="10680"/>
          </w:cols>
          <w:pgMar w:left="600" w:top="992" w:right="600" w:bottom="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16</w:t>
      </w:r>
    </w:p>
    <w:p>
      <w:pPr>
        <w:sectPr>
          <w:pgSz w:w="11880" w:h="15480" w:orient="portrait"/>
          <w:cols w:equalWidth="0" w:num="1">
            <w:col w:w="10680"/>
          </w:cols>
          <w:pgMar w:left="600" w:top="992" w:right="600" w:bottom="0" w:gutter="0" w:footer="0" w:header="0"/>
          <w:type w:val="continuous"/>
        </w:sectPr>
      </w:pPr>
    </w:p>
    <w:bookmarkStart w:id="17" w:name="page18"/>
    <w:bookmarkEnd w:id="17"/>
    <w:p>
      <w:pPr>
        <w:jc w:val="both"/>
        <w:ind w:firstLine="223"/>
        <w:spacing w:after="0" w:line="265" w:lineRule="auto"/>
        <w:rPr>
          <w:sz w:val="20"/>
          <w:szCs w:val="20"/>
          <w:color w:val="auto"/>
        </w:rPr>
      </w:pPr>
      <w:r>
        <w:rPr>
          <w:rFonts w:ascii="Arial" w:cs="Arial" w:eastAsia="Arial" w:hAnsi="Arial"/>
          <w:sz w:val="20"/>
          <w:szCs w:val="20"/>
          <w:color w:val="00162F"/>
        </w:rPr>
        <w:t>The FAA also controls the national airspace system, including operational rules and fees for air traffic control (ATC) services. The efficiency, reliability and capacity of the ATC network have a significant impact on our costs and on the timeliness of our operations.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20"/>
          <w:szCs w:val="20"/>
          <w:color w:val="00162F"/>
        </w:rPr>
        <w:t>The U.S. Postal Service has jurisdiction over certain aspects of the transportation of mail and related services.</w:t>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Airport Access and Operations</w:t>
      </w:r>
    </w:p>
    <w:p>
      <w:pPr>
        <w:spacing w:after="0" w:line="95" w:lineRule="exact"/>
        <w:rPr>
          <w:sz w:val="20"/>
          <w:szCs w:val="20"/>
          <w:color w:val="auto"/>
        </w:rPr>
      </w:pPr>
    </w:p>
    <w:p>
      <w:pPr>
        <w:jc w:val="both"/>
        <w:ind w:firstLine="223"/>
        <w:spacing w:after="0" w:line="263" w:lineRule="auto"/>
        <w:rPr>
          <w:sz w:val="20"/>
          <w:szCs w:val="20"/>
          <w:color w:val="auto"/>
        </w:rPr>
      </w:pPr>
      <w:r>
        <w:rPr>
          <w:rFonts w:ascii="Arial" w:cs="Arial" w:eastAsia="Arial" w:hAnsi="Arial"/>
          <w:sz w:val="19"/>
          <w:szCs w:val="19"/>
          <w:color w:val="00162F"/>
        </w:rPr>
        <w:t>Domestically, any U.S. airline authorized by the DOT is generally free to operate scheduled passenger service between any two points within the U.S. and its territories, with the exception of certain airports that require landing and take-off rights and authorizations (slots) and other facilities, and certain airports that impose geographic limitations on operations or curtail operations based on the time of day. Operations at three major domestic airports we serve (John F. Kennedy International Airport (JFK) and LaGuardia Airport (LGA) in New York City, and Ronald Reagan Washington National Airport (DCA) near Washington, D.C.) and many foreign airports we serve (including LHR) are regulated by governmental entities through allocations of slots or similar regulatory mechanisms that limit the rights of carriers to conduct operations at those airports. Each slot represents the authorization to land at and take off from the particular airport during a specified time period. In addition to slot restrictions, operations at DCA and LGA are also limited based on a so-called “perimeter rule” which generally limits the stage length of the flights that can be operated from those airports to 1,250 and 1,500 miles, respectively. Generally, our ability to retain slots is conditioned on the continued use of such slots, and in the absence of use, the slots are subject to forfeiture. In certain circumstances, such as during the COVID-19 pandemic, regulators may issue slot waivers which temporarily suspend or amend slot usage requirements, and we have used slot waivers at times to reduce flying levels during periods of reduced demand for travel. Moreover, the FAA has issued slot waivers for New York City area airports as a result of operational challenges arising from ATC staffing shortages; those waivers are now set to expire in October 2026. We cannot guarantee that such waivers will be made available to us, or that upon expiration or cancellation of such waivers, it will be economical for us to resume prior levels of flying to destinations where we have operated a reduced service. If we are forced to surrender slots or other rights, we may be unable to provide our desired level of service to or from certain destinations in the future. For more discussion, see Part I, Item 1A. Risk Factors – “</w:t>
      </w:r>
      <w:r>
        <w:rPr>
          <w:rFonts w:ascii="Arial" w:cs="Arial" w:eastAsia="Arial" w:hAnsi="Arial"/>
          <w:sz w:val="19"/>
          <w:szCs w:val="19"/>
          <w:i w:val="1"/>
          <w:iCs w:val="1"/>
          <w:color w:val="00162F"/>
        </w:rPr>
        <w:t>If we</w:t>
      </w:r>
      <w:r>
        <w:rPr>
          <w:rFonts w:ascii="Arial" w:cs="Arial" w:eastAsia="Arial" w:hAnsi="Arial"/>
          <w:sz w:val="19"/>
          <w:szCs w:val="19"/>
          <w:color w:val="00162F"/>
        </w:rPr>
        <w:t xml:space="preserve"> </w:t>
      </w:r>
      <w:r>
        <w:rPr>
          <w:rFonts w:ascii="Arial" w:cs="Arial" w:eastAsia="Arial" w:hAnsi="Arial"/>
          <w:sz w:val="19"/>
          <w:szCs w:val="19"/>
          <w:i w:val="1"/>
          <w:iCs w:val="1"/>
          <w:color w:val="00162F"/>
        </w:rPr>
        <w:t>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137" w:lineRule="exact"/>
        <w:rPr>
          <w:sz w:val="20"/>
          <w:szCs w:val="20"/>
          <w:color w:val="auto"/>
        </w:rPr>
      </w:pPr>
    </w:p>
    <w:p>
      <w:pPr>
        <w:jc w:val="both"/>
        <w:ind w:firstLine="223"/>
        <w:spacing w:after="0" w:line="282" w:lineRule="auto"/>
        <w:rPr>
          <w:sz w:val="20"/>
          <w:szCs w:val="20"/>
          <w:color w:val="auto"/>
        </w:rPr>
      </w:pPr>
      <w:r>
        <w:rPr>
          <w:rFonts w:ascii="Arial" w:cs="Arial" w:eastAsia="Arial" w:hAnsi="Arial"/>
          <w:sz w:val="20"/>
          <w:szCs w:val="20"/>
          <w:color w:val="00162F"/>
        </w:rPr>
        <w:t>Our ability to provide service can also be impaired at airports where the airport gates and other facilities are currently inadequate to accommodate all of the service that we would like to provide, or where we have no access to gates at all.</w:t>
      </w:r>
    </w:p>
    <w:p>
      <w:pPr>
        <w:spacing w:after="0" w:line="113"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Existing law also permits domestic local airport authorities to implement procedures and impose restrictions designed to abate noise, provided such procedures and restrictions do not unreasonably interfere with interstate or foreign commerce or the national transportation system. In some instances, these restrictions have caused curtailments in service or increases in operating costs.</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Airline Fares, Taxes and User Fees</w:t>
      </w:r>
    </w:p>
    <w:p>
      <w:pPr>
        <w:spacing w:after="0" w:line="95"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Airlines are permitted to establish their own domestic fares without governmental regulation. The DOT maintains authority over certain international fares, rates and charges, but only applies this authority on a limited basis. In addition, international fares, rates and charges are sometimes subject to the jurisdiction of the governments of the foreign countries which we serve.</w:t>
      </w:r>
    </w:p>
    <w:p>
      <w:pPr>
        <w:spacing w:after="0" w:line="136"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Airlines are obligated to collect a federal excise tax, commonly referred to as the “ticket tax,” on domestic and international air transportation, and to collect other taxes and charge other fees, such as foreign taxes, security fees and passenger facility charges. Although these taxes and fees are not our operating expenses, they represent an additional cost to our customers. These taxes and fees are subject to increase from time to time.</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DOT Passenger Protection Rules</w:t>
      </w:r>
    </w:p>
    <w:p>
      <w:pPr>
        <w:spacing w:after="0" w:line="95" w:lineRule="exact"/>
        <w:rPr>
          <w:sz w:val="20"/>
          <w:szCs w:val="20"/>
          <w:color w:val="auto"/>
        </w:rPr>
      </w:pPr>
    </w:p>
    <w:p>
      <w:pPr>
        <w:jc w:val="both"/>
        <w:ind w:firstLine="223"/>
        <w:spacing w:after="0" w:line="265" w:lineRule="auto"/>
        <w:rPr>
          <w:sz w:val="20"/>
          <w:szCs w:val="20"/>
          <w:color w:val="auto"/>
        </w:rPr>
      </w:pPr>
      <w:r>
        <w:rPr>
          <w:rFonts w:ascii="Arial" w:cs="Arial" w:eastAsia="Arial" w:hAnsi="Arial"/>
          <w:sz w:val="20"/>
          <w:szCs w:val="20"/>
          <w:color w:val="00162F"/>
        </w:rPr>
        <w:t>The DOT regulates airline interactions with passengers through the ticketing process, at the airport and onboard the aircraft. Among other things, these regulations govern how our fares are displayed online, required customer disclosures, access by disabled passengers, handling of long onboard flight delays and reporting of mishandled bags.</w:t>
      </w:r>
    </w:p>
    <w:p>
      <w:pPr>
        <w:spacing w:after="0" w:line="129" w:lineRule="exact"/>
        <w:rPr>
          <w:sz w:val="20"/>
          <w:szCs w:val="20"/>
          <w:color w:val="auto"/>
        </w:rPr>
      </w:pPr>
    </w:p>
    <w:p>
      <w:pPr>
        <w:jc w:val="both"/>
        <w:ind w:firstLine="223"/>
        <w:spacing w:after="0" w:line="265" w:lineRule="auto"/>
        <w:rPr>
          <w:sz w:val="20"/>
          <w:szCs w:val="20"/>
          <w:color w:val="auto"/>
        </w:rPr>
      </w:pPr>
      <w:r>
        <w:rPr>
          <w:rFonts w:ascii="Arial" w:cs="Arial" w:eastAsia="Arial" w:hAnsi="Arial"/>
          <w:sz w:val="20"/>
          <w:szCs w:val="20"/>
          <w:color w:val="00162F"/>
        </w:rPr>
        <w:t>On September 4, 2025, the U.S. Government released its Unified Agenda of Regulatory and Deregulatory Actions, outlining planned priorities, timelines and policy directions across federal agencies. The agenda signals DOT’s intent to roll back existing regulations, including the refund rule, ancillary fee rule, compensation rule, and wheelchair rule. DOT</w:t>
      </w:r>
    </w:p>
    <w:p>
      <w:pPr>
        <w:sectPr>
          <w:pgSz w:w="11880" w:h="15480" w:orient="portrait"/>
          <w:cols w:equalWidth="0" w:num="1">
            <w:col w:w="10680"/>
          </w:cols>
          <w:pgMar w:left="600" w:top="992" w:right="600" w:bottom="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17</w:t>
      </w:r>
    </w:p>
    <w:p>
      <w:pPr>
        <w:sectPr>
          <w:pgSz w:w="11880" w:h="15480" w:orient="portrait"/>
          <w:cols w:equalWidth="0" w:num="1">
            <w:col w:w="10680"/>
          </w:cols>
          <w:pgMar w:left="600" w:top="992" w:right="600" w:bottom="0" w:gutter="0" w:footer="0" w:header="0"/>
          <w:type w:val="continuous"/>
        </w:sectPr>
      </w:pPr>
    </w:p>
    <w:bookmarkStart w:id="18" w:name="page19"/>
    <w:bookmarkEnd w:id="18"/>
    <w:p>
      <w:pPr>
        <w:jc w:val="both"/>
        <w:spacing w:after="0" w:line="265" w:lineRule="auto"/>
        <w:rPr>
          <w:sz w:val="20"/>
          <w:szCs w:val="20"/>
          <w:color w:val="auto"/>
        </w:rPr>
      </w:pPr>
      <w:r>
        <w:rPr>
          <w:rFonts w:ascii="Arial" w:cs="Arial" w:eastAsia="Arial" w:hAnsi="Arial"/>
          <w:sz w:val="20"/>
          <w:szCs w:val="20"/>
          <w:color w:val="00162F"/>
        </w:rPr>
        <w:t xml:space="preserve">has already begun taking action, such as rescinding an Advance Notice of Proposed Rulemaking titled </w:t>
      </w:r>
      <w:r>
        <w:rPr>
          <w:rFonts w:ascii="Arial" w:cs="Arial" w:eastAsia="Arial" w:hAnsi="Arial"/>
          <w:sz w:val="20"/>
          <w:szCs w:val="20"/>
          <w:i w:val="1"/>
          <w:iCs w:val="1"/>
          <w:color w:val="00162F"/>
        </w:rPr>
        <w:t>“Airline Passenger</w:t>
      </w:r>
      <w:r>
        <w:rPr>
          <w:rFonts w:ascii="Arial" w:cs="Arial" w:eastAsia="Arial" w:hAnsi="Arial"/>
          <w:sz w:val="20"/>
          <w:szCs w:val="20"/>
          <w:color w:val="00162F"/>
        </w:rPr>
        <w:t xml:space="preserve"> </w:t>
      </w:r>
      <w:r>
        <w:rPr>
          <w:rFonts w:ascii="Arial" w:cs="Arial" w:eastAsia="Arial" w:hAnsi="Arial"/>
          <w:sz w:val="20"/>
          <w:szCs w:val="20"/>
          <w:i w:val="1"/>
          <w:iCs w:val="1"/>
          <w:color w:val="00162F"/>
        </w:rPr>
        <w:t xml:space="preserve">Rights,” </w:t>
      </w:r>
      <w:r>
        <w:rPr>
          <w:rFonts w:ascii="Arial" w:cs="Arial" w:eastAsia="Arial" w:hAnsi="Arial"/>
          <w:sz w:val="20"/>
          <w:szCs w:val="20"/>
          <w:color w:val="00162F"/>
        </w:rPr>
        <w:t>which sought comments on requiring airlines to provide cash compensation, free rebooking, meal coverage and</w:t>
      </w:r>
      <w:r>
        <w:rPr>
          <w:rFonts w:ascii="Arial" w:cs="Arial" w:eastAsia="Arial" w:hAnsi="Arial"/>
          <w:sz w:val="20"/>
          <w:szCs w:val="20"/>
          <w:i w:val="1"/>
          <w:iCs w:val="1"/>
          <w:color w:val="00162F"/>
        </w:rPr>
        <w:t xml:space="preserve"> </w:t>
      </w:r>
      <w:r>
        <w:rPr>
          <w:rFonts w:ascii="Arial" w:cs="Arial" w:eastAsia="Arial" w:hAnsi="Arial"/>
          <w:sz w:val="20"/>
          <w:szCs w:val="20"/>
          <w:color w:val="00162F"/>
        </w:rPr>
        <w:t>overnight lodging with related transportation when disruptions are airline-caused.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International</w:t>
      </w:r>
    </w:p>
    <w:p>
      <w:pPr>
        <w:spacing w:after="0" w:line="95" w:lineRule="exact"/>
        <w:rPr>
          <w:sz w:val="20"/>
          <w:szCs w:val="20"/>
          <w:color w:val="auto"/>
        </w:rPr>
      </w:pPr>
    </w:p>
    <w:p>
      <w:pPr>
        <w:jc w:val="both"/>
        <w:ind w:firstLine="223"/>
        <w:spacing w:after="0" w:line="256" w:lineRule="auto"/>
        <w:rPr>
          <w:sz w:val="20"/>
          <w:szCs w:val="20"/>
          <w:color w:val="auto"/>
        </w:rPr>
      </w:pPr>
      <w:r>
        <w:rPr>
          <w:rFonts w:ascii="Arial" w:cs="Arial" w:eastAsia="Arial" w:hAnsi="Arial"/>
          <w:sz w:val="20"/>
          <w:szCs w:val="20"/>
          <w:color w:val="00162F"/>
        </w:rPr>
        <w:t>International air transportation is subject to extensive government regulation, including aviation agreements between the U.S. and other countries or governmental authorities, such as the EU. Moreover, our alliances with international carriers may be subject to the jurisdiction and regulations of various foreign agencies. The U.S. Government has negotiated “open skies” agreements with more than 130 trading partners, which allow unrestricted route authority access between the U.S. and the foreign markets.</w:t>
      </w:r>
    </w:p>
    <w:p>
      <w:pPr>
        <w:spacing w:after="0" w:line="139"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In addition, foreign countries impose passenger protection rules, which are analogous to, and often meet or exceed the requirements of, the DOT passenger protection rules discussed above. In cases where these foreign requirements exceed the DOT rules, we may bear additional burdens and liabilities. Further, various foreign airport authorities impose slot, noise and curfew restrictions at their local airports.</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Security</w:t>
      </w:r>
    </w:p>
    <w:p>
      <w:pPr>
        <w:spacing w:after="0" w:line="95" w:lineRule="exact"/>
        <w:rPr>
          <w:sz w:val="20"/>
          <w:szCs w:val="20"/>
          <w:color w:val="auto"/>
        </w:rPr>
      </w:pPr>
    </w:p>
    <w:p>
      <w:pPr>
        <w:jc w:val="both"/>
        <w:ind w:firstLine="223"/>
        <w:spacing w:after="0" w:line="265" w:lineRule="auto"/>
        <w:rPr>
          <w:sz w:val="20"/>
          <w:szCs w:val="20"/>
          <w:color w:val="auto"/>
        </w:rPr>
      </w:pPr>
      <w:r>
        <w:rPr>
          <w:rFonts w:ascii="Arial" w:cs="Arial" w:eastAsia="Arial" w:hAnsi="Arial"/>
          <w:sz w:val="19"/>
          <w:szCs w:val="19"/>
          <w:color w:val="00162F"/>
        </w:rPr>
        <w:t>All aspects of civil aviation and border security in the U.S. affecting U.S. carriers are controlled or regulated by the federal government through the Transportation Security Administration (TSA) and the U.S. Customs and Border Protection (CBP). The TSA is responsible for the security of the nation’s transportation systems. The TSA’s requirements for aviation security include, among other things, screening of passengers, baggage, cargo, mail, employees and vendors; carriage of federal air marshals at no charge; and continuous background checks of all employees and vendor employees with access to secure areas of airports. Funding for the TSA is provided by a combination of air carrier fees, passenger fees and taxpayer funds. The CBP is responsible for securing the nation’s borders by combining customs, immigration and agricultural protection. The CBP regulatory requirements include the advanced transmission of reservation records, passport and cargo data to facilitate lawful travel and trade into the U.S. Funding for a portion of CBP operations is provided by a combination of fees collected by airlines. Our international service further requires us to comply with host government civil aviation security regimes and foreign border control authorities.</w:t>
      </w:r>
    </w:p>
    <w:p>
      <w:pPr>
        <w:spacing w:after="0" w:line="138" w:lineRule="exact"/>
        <w:rPr>
          <w:sz w:val="20"/>
          <w:szCs w:val="20"/>
          <w:color w:val="auto"/>
        </w:rPr>
      </w:pPr>
    </w:p>
    <w:p>
      <w:pPr>
        <w:jc w:val="both"/>
        <w:ind w:firstLine="223"/>
        <w:spacing w:after="0" w:line="254" w:lineRule="auto"/>
        <w:rPr>
          <w:sz w:val="20"/>
          <w:szCs w:val="20"/>
          <w:color w:val="auto"/>
        </w:rPr>
      </w:pPr>
      <w:r>
        <w:rPr>
          <w:rFonts w:ascii="Arial" w:cs="Arial" w:eastAsia="Arial" w:hAnsi="Arial"/>
          <w:sz w:val="20"/>
          <w:szCs w:val="20"/>
          <w:color w:val="00162F"/>
        </w:rPr>
        <w:t>In addition to meeting TSA and CBP regulatory requirements, we support programs that enhance security, compliance and operational efficiency while improving the passenger experience. These initiatives include TSA’s Touchless Identity Solution, which enables biometric identity verification at TSA security checkpoints, and CBP’s Enhanced Passenger Processing program, which uses facial recognition to expedite border clearance. We also participate in TSA’s One Stop Security pilot program to streamline security for connecting passengers and CBP’s International Remote Baggage Screening program, which facilitates pre-clearance of baggage for arriving international travelers.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Environmental Matters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20"/>
          <w:szCs w:val="20"/>
          <w:i w:val="1"/>
          <w:iCs w:val="1"/>
          <w:u w:val="single" w:color="auto"/>
          <w:color w:val="00162F"/>
        </w:rPr>
        <w:t>Environmental Regulation</w:t>
      </w:r>
    </w:p>
    <w:p>
      <w:pPr>
        <w:spacing w:after="0" w:line="95" w:lineRule="exact"/>
        <w:rPr>
          <w:sz w:val="20"/>
          <w:szCs w:val="20"/>
          <w:color w:val="auto"/>
        </w:rPr>
      </w:pPr>
    </w:p>
    <w:p>
      <w:pPr>
        <w:jc w:val="both"/>
        <w:ind w:firstLine="223"/>
        <w:spacing w:after="0" w:line="252" w:lineRule="auto"/>
        <w:rPr>
          <w:sz w:val="20"/>
          <w:szCs w:val="20"/>
          <w:color w:val="auto"/>
        </w:rPr>
      </w:pPr>
      <w:r>
        <w:rPr>
          <w:rFonts w:ascii="Arial" w:cs="Arial" w:eastAsia="Arial" w:hAnsi="Arial"/>
          <w:sz w:val="20"/>
          <w:szCs w:val="20"/>
          <w:color w:val="00162F"/>
        </w:rPr>
        <w:t>The airline industry is subject to various environmental laws and regulations in the U.S. and other countries. U.S. federal laws with a particular effect on our operations include the Airport Noise and Capacity Act of 1990, the Clean Air Act, the Resource Conservation and Recovery Act, the Clean Water Act, the Safe Drinking Water Act and the Comprehensive Environmental Response, Compensation and Liability Act. The U.S. Environmental Protection Agency (EPA) and other federal agencies promulgate regulations that affect our operations. In light of recent announcements and actions by the U.S. Government to reconsider air- and climate-related regulations and policies, the impact of regulatory changes has become increasingly difficult to predict. Additionally, various states have been delegated certain authorities under these aforementioned federal statutes, and many state and local governments have adopted environmental laws and regulations that mirror or are more stringent than federal requirements.</w:t>
      </w:r>
    </w:p>
    <w:p>
      <w:pPr>
        <w:spacing w:after="0" w:line="143" w:lineRule="exact"/>
        <w:rPr>
          <w:sz w:val="20"/>
          <w:szCs w:val="20"/>
          <w:color w:val="auto"/>
        </w:rPr>
      </w:pPr>
    </w:p>
    <w:p>
      <w:pPr>
        <w:jc w:val="both"/>
        <w:ind w:firstLine="223"/>
        <w:spacing w:after="0" w:line="253" w:lineRule="auto"/>
        <w:rPr>
          <w:sz w:val="20"/>
          <w:szCs w:val="20"/>
          <w:color w:val="auto"/>
        </w:rPr>
      </w:pPr>
      <w:r>
        <w:rPr>
          <w:rFonts w:ascii="Arial" w:cs="Arial" w:eastAsia="Arial" w:hAnsi="Arial"/>
          <w:sz w:val="20"/>
          <w:szCs w:val="20"/>
          <w:color w:val="00162F"/>
        </w:rPr>
        <w:t>Revised underground storage tank regulations issued by the EPA in 2015 have affected certain airport fuel hydrant systems, with modifications of those systems needed to comply with the revised regulations. As part of EPA and state regulations of storm water management, several U.S. airport authorities are trying to limit permitted discharges of deicing fluid into the environment, which can include requiring airlines to help build or reconfigure airport deicing facilities. Additionally, compliance with updated federal and state regulations governing firefighting foams require modifications to the fire suppression systems we operate, as well as those maintained by airports. On November 23, 2022, the EPA also published the final rule for particulate matter emission standards and test procedures for civil aircraft engines, which took</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18</w:t>
      </w:r>
    </w:p>
    <w:p>
      <w:pPr>
        <w:sectPr>
          <w:pgSz w:w="11880" w:h="15480" w:orient="portrait"/>
          <w:cols w:equalWidth="0" w:num="1">
            <w:col w:w="10680"/>
          </w:cols>
          <w:pgMar w:left="600" w:top="992" w:right="600" w:bottom="0" w:gutter="0" w:footer="0" w:header="0"/>
          <w:type w:val="continuous"/>
        </w:sectPr>
      </w:pPr>
    </w:p>
    <w:bookmarkStart w:id="19" w:name="page20"/>
    <w:bookmarkEnd w:id="19"/>
    <w:p>
      <w:pPr>
        <w:jc w:val="both"/>
        <w:spacing w:after="0" w:line="282" w:lineRule="auto"/>
        <w:rPr>
          <w:sz w:val="20"/>
          <w:szCs w:val="20"/>
          <w:color w:val="auto"/>
        </w:rPr>
      </w:pPr>
      <w:r>
        <w:rPr>
          <w:rFonts w:ascii="Arial" w:cs="Arial" w:eastAsia="Arial" w:hAnsi="Arial"/>
          <w:sz w:val="20"/>
          <w:szCs w:val="20"/>
          <w:color w:val="00162F"/>
        </w:rPr>
        <w:t>effect on December 23, 2022. These or similar regulations could result in increased compliance costs, but at this time we do not expect these costs to be material.</w:t>
      </w:r>
    </w:p>
    <w:p>
      <w:pPr>
        <w:spacing w:after="0" w:line="113"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20"/>
          <w:szCs w:val="20"/>
          <w:color w:val="00162F"/>
        </w:rPr>
        <w:t>Environmental laws include those related to responsibility for potential soil and groundwater contamination. We are conducting ongoing investigation and remediation activities to address environmental conditions at several sites that may have been impacted by our historic operations, including airports and maintenance bases. We anticipate that the ongoing costs of those activities will not materially affect our operations.</w:t>
      </w:r>
    </w:p>
    <w:p>
      <w:pPr>
        <w:spacing w:after="0" w:line="136" w:lineRule="exact"/>
        <w:rPr>
          <w:sz w:val="20"/>
          <w:szCs w:val="20"/>
          <w:color w:val="auto"/>
        </w:rPr>
      </w:pPr>
    </w:p>
    <w:p>
      <w:pPr>
        <w:jc w:val="both"/>
        <w:ind w:firstLine="223"/>
        <w:spacing w:after="0" w:line="265" w:lineRule="auto"/>
        <w:rPr>
          <w:sz w:val="20"/>
          <w:szCs w:val="20"/>
          <w:color w:val="auto"/>
        </w:rPr>
      </w:pPr>
      <w:r>
        <w:rPr>
          <w:rFonts w:ascii="Arial" w:cs="Arial" w:eastAsia="Arial" w:hAnsi="Arial"/>
          <w:sz w:val="20"/>
          <w:szCs w:val="20"/>
          <w:color w:val="00162F"/>
        </w:rPr>
        <w:t>We employ an environmental management system that provides a systematic approach for monitoring changes to and compliance with environmental regulations, and for managing a broad range of environmental issues, including air emissions, hazardous waste, underground tanks, and aircraft water quality.</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0"/>
          <w:szCs w:val="20"/>
          <w:i w:val="1"/>
          <w:iCs w:val="1"/>
          <w:u w:val="single" w:color="auto"/>
          <w:color w:val="00162F"/>
        </w:rPr>
        <w:t>Global and Domestic Regulation Related to Climate Change</w:t>
      </w:r>
    </w:p>
    <w:p>
      <w:pPr>
        <w:spacing w:after="0" w:line="95" w:lineRule="exact"/>
        <w:rPr>
          <w:sz w:val="20"/>
          <w:szCs w:val="20"/>
          <w:color w:val="auto"/>
        </w:rPr>
      </w:pPr>
    </w:p>
    <w:p>
      <w:pPr>
        <w:jc w:val="both"/>
        <w:ind w:firstLine="223"/>
        <w:spacing w:after="0" w:line="273" w:lineRule="auto"/>
        <w:rPr>
          <w:sz w:val="20"/>
          <w:szCs w:val="20"/>
          <w:color w:val="auto"/>
        </w:rPr>
      </w:pPr>
      <w:r>
        <w:rPr>
          <w:rFonts w:ascii="Arial" w:cs="Arial" w:eastAsia="Arial" w:hAnsi="Arial"/>
          <w:sz w:val="19"/>
          <w:szCs w:val="19"/>
          <w:color w:val="00162F"/>
        </w:rPr>
        <w:t>Climate change-related regulatory activity and developments may adversely affect our business and financial results by requiring us to adapt to rapidly evolving domestic and international regulations and to achieve GHG emission reductions before cost-effective technologies are available. For example, such regulations may require us or our suppliers to make capital investments to purchase specific equipment or technologies, purchase SAF, pay taxes and fees or otherwise incur additional costs related to our emissions. These trends may also increase our operating costs, including fuel costs.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0"/>
          <w:szCs w:val="20"/>
          <w:i w:val="1"/>
          <w:iCs w:val="1"/>
          <w:u w:val="single" w:color="auto"/>
          <w:color w:val="00162F"/>
        </w:rPr>
        <w:t>The Carbon Offsetting and Reduction Scheme for International Aviation (CORSIA)</w:t>
      </w:r>
    </w:p>
    <w:p>
      <w:pPr>
        <w:spacing w:after="0" w:line="95" w:lineRule="exact"/>
        <w:rPr>
          <w:sz w:val="20"/>
          <w:szCs w:val="20"/>
          <w:color w:val="auto"/>
        </w:rPr>
      </w:pPr>
    </w:p>
    <w:p>
      <w:pPr>
        <w:jc w:val="both"/>
        <w:ind w:firstLine="223"/>
        <w:spacing w:after="0" w:line="265" w:lineRule="auto"/>
        <w:rPr>
          <w:sz w:val="20"/>
          <w:szCs w:val="20"/>
          <w:color w:val="auto"/>
        </w:rPr>
      </w:pPr>
      <w:r>
        <w:rPr>
          <w:rFonts w:ascii="Arial" w:cs="Arial" w:eastAsia="Arial" w:hAnsi="Arial"/>
          <w:sz w:val="20"/>
          <w:szCs w:val="20"/>
          <w:color w:val="00162F"/>
        </w:rPr>
        <w:t>CORSIA is an international, market-based emissions reduction program adopted by the International Civil Aviation Organization (ICAO) in 2016 and is intended to limit emissions in the international aviation sector from 2021 until 2035 through the purchase of eligible carbon offset credits or the use of eligible renewable fuels.</w:t>
      </w:r>
    </w:p>
    <w:p>
      <w:pPr>
        <w:spacing w:after="0" w:line="36" w:lineRule="exact"/>
        <w:rPr>
          <w:sz w:val="20"/>
          <w:szCs w:val="20"/>
          <w:color w:val="auto"/>
        </w:rPr>
      </w:pPr>
    </w:p>
    <w:p>
      <w:pPr>
        <w:jc w:val="both"/>
        <w:ind w:firstLine="223"/>
        <w:spacing w:after="0" w:line="261" w:lineRule="auto"/>
        <w:rPr>
          <w:sz w:val="20"/>
          <w:szCs w:val="20"/>
          <w:color w:val="auto"/>
        </w:rPr>
      </w:pPr>
      <w:r>
        <w:rPr>
          <w:rFonts w:ascii="Arial" w:cs="Arial" w:eastAsia="Arial" w:hAnsi="Arial"/>
          <w:sz w:val="20"/>
          <w:szCs w:val="20"/>
          <w:color w:val="00162F"/>
        </w:rPr>
        <w:t>For each year from 2021 through 2032, CORSIA requires airlines to compensate for the growth of carbon dioxide (CO</w:t>
      </w:r>
      <w:r>
        <w:rPr>
          <w:rFonts w:ascii="Arial" w:cs="Arial" w:eastAsia="Arial" w:hAnsi="Arial"/>
          <w:sz w:val="25"/>
          <w:szCs w:val="25"/>
          <w:color w:val="00162F"/>
          <w:vertAlign w:val="subscript"/>
        </w:rPr>
        <w:t>2</w:t>
      </w:r>
      <w:r>
        <w:rPr>
          <w:rFonts w:ascii="Arial" w:cs="Arial" w:eastAsia="Arial" w:hAnsi="Arial"/>
          <w:sz w:val="20"/>
          <w:szCs w:val="20"/>
          <w:color w:val="00162F"/>
        </w:rPr>
        <w:t>) emissions from the aviation sector, relative to a predetermined ICAO baseline. ICAO originally defined the baseline as the average emissions from covered flights in 2019 and 2020. However, due to the effect of the COVID-19 pandemic on air travel, in June 2020, ICAO removed 2020 from the baseline calculation for the CORSIA pilot phase (2021-2023). In October 2022, ICAO member countries agreed that 85% of 2019 emissions would be used as the baseline for the remainder of CORSIA’s term (2024-2035).</w:t>
      </w:r>
    </w:p>
    <w:p>
      <w:pPr>
        <w:spacing w:after="0" w:line="133" w:lineRule="exact"/>
        <w:rPr>
          <w:sz w:val="20"/>
          <w:szCs w:val="20"/>
          <w:color w:val="auto"/>
        </w:rPr>
      </w:pPr>
    </w:p>
    <w:p>
      <w:pPr>
        <w:jc w:val="both"/>
        <w:ind w:firstLine="223"/>
        <w:spacing w:after="0" w:line="256" w:lineRule="auto"/>
        <w:rPr>
          <w:sz w:val="20"/>
          <w:szCs w:val="20"/>
          <w:color w:val="auto"/>
        </w:rPr>
      </w:pPr>
      <w:r>
        <w:rPr>
          <w:rFonts w:ascii="Arial" w:cs="Arial" w:eastAsia="Arial" w:hAnsi="Arial"/>
          <w:sz w:val="20"/>
          <w:szCs w:val="20"/>
          <w:color w:val="00162F"/>
        </w:rPr>
        <w:t>The CORSIA program is being implemented in three phases: a pilot phase that ran from 2021 through 2023, followed by a first phase covering 2024 through 2026 and a second phase beginning in 2027 through 2035. ICAO member countries are expected to enact legislation to implement CORSIA. In December 2025, ICAO confirmed that governments participating in CORSIA are expected to inform airlines of their carbon emissions offsetting requirements for the first year (2024) of CORSIA’s first phase in the near future.</w:t>
      </w:r>
    </w:p>
    <w:p>
      <w:pPr>
        <w:spacing w:after="0" w:line="139" w:lineRule="exact"/>
        <w:rPr>
          <w:sz w:val="20"/>
          <w:szCs w:val="20"/>
          <w:color w:val="auto"/>
        </w:rPr>
      </w:pPr>
    </w:p>
    <w:p>
      <w:pPr>
        <w:jc w:val="both"/>
        <w:ind w:firstLine="223"/>
        <w:spacing w:after="0" w:line="239" w:lineRule="auto"/>
        <w:rPr>
          <w:sz w:val="20"/>
          <w:szCs w:val="20"/>
          <w:color w:val="auto"/>
        </w:rPr>
      </w:pPr>
      <w:r>
        <w:rPr>
          <w:rFonts w:ascii="Arial" w:cs="Arial" w:eastAsia="Arial" w:hAnsi="Arial"/>
          <w:sz w:val="20"/>
          <w:szCs w:val="20"/>
          <w:color w:val="00162F"/>
        </w:rPr>
        <w:t>Our future costs related to CORSIA compliance are uncertain due to a variety of factors, including the status of the U.S. Government’s implementation of CORSIA with respect to the obligations of aircraft operators to purchase carbon offsets, uncertainty in the growth of covered CO</w:t>
      </w:r>
      <w:r>
        <w:rPr>
          <w:rFonts w:ascii="Arial" w:cs="Arial" w:eastAsia="Arial" w:hAnsi="Arial"/>
          <w:sz w:val="25"/>
          <w:szCs w:val="25"/>
          <w:color w:val="00162F"/>
          <w:vertAlign w:val="subscript"/>
        </w:rPr>
        <w:t>2</w:t>
      </w:r>
      <w:r>
        <w:rPr>
          <w:rFonts w:ascii="Arial" w:cs="Arial" w:eastAsia="Arial" w:hAnsi="Arial"/>
          <w:sz w:val="20"/>
          <w:szCs w:val="20"/>
          <w:color w:val="00162F"/>
        </w:rPr>
        <w:t xml:space="preserve"> emissions, the supply and price of CORSIA-eligible carbon offset credits and the development of the market for eligible renewable fuels.</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20"/>
          <w:szCs w:val="20"/>
          <w:i w:val="1"/>
          <w:iCs w:val="1"/>
          <w:u w:val="single" w:color="auto"/>
          <w:color w:val="00162F"/>
        </w:rPr>
        <w:t>European GHG Emissions Regulations</w:t>
      </w:r>
    </w:p>
    <w:p>
      <w:pPr>
        <w:spacing w:after="0" w:line="96" w:lineRule="exact"/>
        <w:rPr>
          <w:sz w:val="20"/>
          <w:szCs w:val="20"/>
          <w:color w:val="auto"/>
        </w:rPr>
      </w:pPr>
    </w:p>
    <w:p>
      <w:pPr>
        <w:jc w:val="both"/>
        <w:ind w:firstLine="223"/>
        <w:spacing w:after="0" w:line="252" w:lineRule="auto"/>
        <w:rPr>
          <w:sz w:val="20"/>
          <w:szCs w:val="20"/>
          <w:color w:val="auto"/>
        </w:rPr>
      </w:pPr>
      <w:r>
        <w:rPr>
          <w:rFonts w:ascii="Arial" w:cs="Arial" w:eastAsia="Arial" w:hAnsi="Arial"/>
          <w:sz w:val="20"/>
          <w:szCs w:val="20"/>
          <w:color w:val="00162F"/>
        </w:rPr>
        <w:t>On May 16, 2023, revisions to the EU Emissions Trading System (EU ETS) were published in the Official Journal of the EU. Under these revisions, the allocation of free emissions allowances to aircraft operators was phased out by the end of 2025. Also, by July 2026, the EC will have to undertake a review to determine whether CORSIA sufficiently delivers on the goals of the Paris Agreement. Depending on the outcome of that review, the EU may expand the scope of the EU ETS, which is currently limited to flights within the European Economic Area (EEA), to include any flight departing the EEA. Should the EU expand the EU ETS scope, there could be serious repercussions for our business and the broader industry, and our costs to comply with the EU ETS would likely be significant. The UK and Switzerland have similar emissions trading schemes that often align with the EU ETS; our compliance costs would further increase if both countries followed the EU in extending the scope of their regulation of GHG emissions from aviation.</w:t>
      </w:r>
    </w:p>
    <w:p>
      <w:pPr>
        <w:spacing w:after="0" w:line="143" w:lineRule="exact"/>
        <w:rPr>
          <w:sz w:val="20"/>
          <w:szCs w:val="20"/>
          <w:color w:val="auto"/>
        </w:rPr>
      </w:pPr>
    </w:p>
    <w:p>
      <w:pPr>
        <w:jc w:val="both"/>
        <w:ind w:firstLine="334"/>
        <w:spacing w:after="0" w:line="277" w:lineRule="auto"/>
        <w:rPr>
          <w:sz w:val="20"/>
          <w:szCs w:val="20"/>
          <w:color w:val="auto"/>
        </w:rPr>
      </w:pPr>
      <w:r>
        <w:rPr>
          <w:rFonts w:ascii="Arial" w:cs="Arial" w:eastAsia="Arial" w:hAnsi="Arial"/>
          <w:sz w:val="19"/>
          <w:szCs w:val="19"/>
          <w:color w:val="00162F"/>
        </w:rPr>
        <w:t>The EU’s ReFuelEU Aviation initiative, which creates a SAF blending mandate for aviation fuel suppliers, took effect January 1, 2025. This regulation requires fuel suppliers to blend minimum shares of SAF with petroleum jet fuel in the fuel delivered to aircraft operators at EU airports. The minimum requirements are 2% from 2025, 6% from 2030, 20% from 2035, 34% from 2040, 42% from 2045 and 70% from 2050. A specific proportion of the fuel mix (an average of 1.2% in</w:t>
      </w:r>
    </w:p>
    <w:p>
      <w:pPr>
        <w:sectPr>
          <w:pgSz w:w="11880" w:h="15480" w:orient="portrait"/>
          <w:cols w:equalWidth="0" w:num="1">
            <w:col w:w="10680"/>
          </w:cols>
          <w:pgMar w:left="600" w:top="992" w:right="600" w:bottom="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19</w:t>
      </w:r>
    </w:p>
    <w:p>
      <w:pPr>
        <w:sectPr>
          <w:pgSz w:w="11880" w:h="15480" w:orient="portrait"/>
          <w:cols w:equalWidth="0" w:num="1">
            <w:col w:w="10680"/>
          </w:cols>
          <w:pgMar w:left="600" w:top="992" w:right="600" w:bottom="0" w:gutter="0" w:footer="0" w:header="0"/>
          <w:type w:val="continuous"/>
        </w:sectPr>
      </w:pPr>
    </w:p>
    <w:bookmarkStart w:id="20" w:name="page21"/>
    <w:bookmarkEnd w:id="20"/>
    <w:p>
      <w:pPr>
        <w:jc w:val="both"/>
        <w:spacing w:after="0" w:line="282" w:lineRule="auto"/>
        <w:rPr>
          <w:sz w:val="20"/>
          <w:szCs w:val="20"/>
          <w:color w:val="auto"/>
        </w:rPr>
      </w:pPr>
      <w:r>
        <w:rPr>
          <w:rFonts w:ascii="Arial" w:cs="Arial" w:eastAsia="Arial" w:hAnsi="Arial"/>
          <w:sz w:val="20"/>
          <w:szCs w:val="20"/>
          <w:color w:val="00162F"/>
        </w:rPr>
        <w:t>2030-2031, an average of 2% in 2032-2034, a minimum of 5% from 2035 and progressively reaching a minimum of 35% from 2050) must comprise synthetic fuels such as e-kerosene.</w:t>
      </w:r>
    </w:p>
    <w:p>
      <w:pPr>
        <w:spacing w:after="0" w:line="113"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The UK also adopted a SAF mandate for aviation fuel suppliers, starting January 1, 2025, with minimum requirements that increase linearly from 2% in 2025, to 10% in 2030 and to 22% in 2040. The UK SAF mandate policy includes separate targets for e-kerosene (referred to under the obligation as power-to-liquid fuels), which start from 2028, and a cap, starting in 2027, on the amount of SAF made from hydrotreated fats and oils that fuel suppliers may use to reach the annual blending targets. Nearly all SAF produced today is made from hydrotreated fats and oils, and it is uncertain whether eligible SAF will be available to meet this requirement.</w:t>
      </w:r>
    </w:p>
    <w:p>
      <w:pPr>
        <w:spacing w:after="0" w:line="143"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While we expect these requirements to increase our fuel costs, it remains uncertain by how much costs will rise, whether those costs can be passed on to customers, and, assuming they can, whether higher prices will affect customer demand. There is also uncertainty regarding how the EU and UK may implement the SAF mandates, including, the extent to which the relevant governments will change their existing policies or adopt new policies such as flexibility mechanisms for suppliers (e.g., book and claim) and revenue certainty programs for SAF producers.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Other countries have adopted, or are considering adopting, similar SAF blending mandates.</w:t>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20"/>
          <w:szCs w:val="20"/>
          <w:i w:val="1"/>
          <w:iCs w:val="1"/>
          <w:u w:val="single" w:color="auto"/>
          <w:color w:val="00162F"/>
        </w:rPr>
        <w:t>U.S. Emissions Standards for Aircraft Engines</w:t>
      </w:r>
    </w:p>
    <w:p>
      <w:pPr>
        <w:spacing w:after="0" w:line="95" w:lineRule="exact"/>
        <w:rPr>
          <w:sz w:val="20"/>
          <w:szCs w:val="20"/>
          <w:color w:val="auto"/>
        </w:rPr>
      </w:pPr>
    </w:p>
    <w:p>
      <w:pPr>
        <w:jc w:val="both"/>
        <w:ind w:firstLine="223"/>
        <w:spacing w:after="0" w:line="253" w:lineRule="auto"/>
        <w:rPr>
          <w:sz w:val="20"/>
          <w:szCs w:val="20"/>
          <w:color w:val="auto"/>
        </w:rPr>
      </w:pPr>
      <w:r>
        <w:rPr>
          <w:rFonts w:ascii="Arial" w:cs="Arial" w:eastAsia="Arial" w:hAnsi="Arial"/>
          <w:sz w:val="20"/>
          <w:szCs w:val="20"/>
          <w:color w:val="00162F"/>
        </w:rPr>
        <w:t>In January 2021, the EPA adopted GHG emission standards for new aircraft engines, aligning with the 2017 ICAO aircraft engine GHG emission standards. Similar to the ICAO standards, the EPA’s standards do not apply retroactively to engines on in-service aircraft. Pursuant to the Clean Air Act, the FAA issued a final rule in February 2024 to implement these standards, introducing new fuel efficiency certification regulations. These regulations, which took effect in April 2024, apply to airplanes manufactured after January 1, 2028, as well as to uncertified large business and commercial jet aircraft. Given announcements and actions by the U.S. Government to reconsider air- and climate-related regulations and policies, the future and impact of these new requirements remain uncertain.</w:t>
      </w:r>
    </w:p>
    <w:p>
      <w:pPr>
        <w:spacing w:after="0" w:line="144" w:lineRule="exact"/>
        <w:rPr>
          <w:sz w:val="20"/>
          <w:szCs w:val="20"/>
          <w:color w:val="auto"/>
        </w:rPr>
      </w:pPr>
    </w:p>
    <w:p>
      <w:pPr>
        <w:jc w:val="both"/>
        <w:ind w:firstLine="223"/>
        <w:spacing w:after="0" w:line="265" w:lineRule="auto"/>
        <w:rPr>
          <w:sz w:val="20"/>
          <w:szCs w:val="20"/>
          <w:color w:val="auto"/>
        </w:rPr>
      </w:pPr>
      <w:r>
        <w:rPr>
          <w:rFonts w:ascii="Arial" w:cs="Arial" w:eastAsia="Arial" w:hAnsi="Arial"/>
          <w:sz w:val="20"/>
          <w:szCs w:val="20"/>
          <w:color w:val="00162F"/>
        </w:rPr>
        <w:t xml:space="preserve">For more information on our approach to climate change, see our 2024 Sustainability Report on our website </w:t>
      </w:r>
      <w:r>
        <w:rPr>
          <w:rFonts w:ascii="Arial" w:cs="Arial" w:eastAsia="Arial" w:hAnsi="Arial"/>
          <w:sz w:val="20"/>
          <w:szCs w:val="20"/>
          <w:i w:val="1"/>
          <w:iCs w:val="1"/>
          <w:color w:val="00162F"/>
        </w:rPr>
        <w:t>www</w:t>
      </w:r>
      <w:r>
        <w:rPr>
          <w:rFonts w:ascii="Arial" w:cs="Arial" w:eastAsia="Arial" w:hAnsi="Arial"/>
          <w:sz w:val="20"/>
          <w:szCs w:val="20"/>
          <w:color w:val="00162F"/>
        </w:rPr>
        <w:t>.</w:t>
      </w:r>
      <w:r>
        <w:rPr>
          <w:rFonts w:ascii="Arial" w:cs="Arial" w:eastAsia="Arial" w:hAnsi="Arial"/>
          <w:sz w:val="20"/>
          <w:szCs w:val="20"/>
          <w:i w:val="1"/>
          <w:iCs w:val="1"/>
          <w:color w:val="00162F"/>
        </w:rPr>
        <w:t xml:space="preserve">aa.com </w:t>
      </w:r>
      <w:r>
        <w:rPr>
          <w:rFonts w:ascii="Arial" w:cs="Arial" w:eastAsia="Arial" w:hAnsi="Arial"/>
          <w:sz w:val="20"/>
          <w:szCs w:val="20"/>
          <w:color w:val="00162F"/>
        </w:rPr>
        <w:t>available under “Sustainability.” None of the information or contents under our “Sustainability” page, 2024</w:t>
      </w:r>
      <w:r>
        <w:rPr>
          <w:rFonts w:ascii="Arial" w:cs="Arial" w:eastAsia="Arial" w:hAnsi="Arial"/>
          <w:sz w:val="20"/>
          <w:szCs w:val="20"/>
          <w:i w:val="1"/>
          <w:iCs w:val="1"/>
          <w:color w:val="00162F"/>
        </w:rPr>
        <w:t xml:space="preserve"> </w:t>
      </w:r>
      <w:r>
        <w:rPr>
          <w:rFonts w:ascii="Arial" w:cs="Arial" w:eastAsia="Arial" w:hAnsi="Arial"/>
          <w:sz w:val="20"/>
          <w:szCs w:val="20"/>
          <w:color w:val="00162F"/>
        </w:rPr>
        <w:t>Sustainability Report, or our website are incorporated into this Annual Report on Form 10-K.</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Impact of Regulatory Requirements on Our Business</w:t>
      </w:r>
    </w:p>
    <w:p>
      <w:pPr>
        <w:spacing w:after="0" w:line="95" w:lineRule="exact"/>
        <w:rPr>
          <w:sz w:val="20"/>
          <w:szCs w:val="20"/>
          <w:color w:val="auto"/>
        </w:rPr>
      </w:pPr>
    </w:p>
    <w:p>
      <w:pPr>
        <w:jc w:val="both"/>
        <w:ind w:firstLine="223"/>
        <w:spacing w:after="0" w:line="250" w:lineRule="auto"/>
        <w:rPr>
          <w:sz w:val="20"/>
          <w:szCs w:val="20"/>
          <w:color w:val="auto"/>
        </w:rPr>
      </w:pPr>
      <w:r>
        <w:rPr>
          <w:rFonts w:ascii="Arial" w:cs="Arial" w:eastAsia="Arial" w:hAnsi="Arial"/>
          <w:sz w:val="20"/>
          <w:szCs w:val="20"/>
          <w:color w:val="00162F"/>
        </w:rPr>
        <w:t>Regulatory requirements, including but not limited to those discussed above, affect operations and increase operating costs for the airline industry, including our airline subsidiaries, and future regulatory developments may continue to do the same. For additional information, see Part I, Item 1A. Risk Factors – “</w:t>
      </w:r>
      <w:r>
        <w:rPr>
          <w:rFonts w:ascii="Arial" w:cs="Arial" w:eastAsia="Arial" w:hAnsi="Arial"/>
          <w:sz w:val="20"/>
          <w:szCs w:val="20"/>
          <w:i w:val="1"/>
          <w:iCs w:val="1"/>
          <w:color w:val="00162F"/>
        </w:rPr>
        <w:t>Evolving data privacy requirements (in particular,</w:t>
      </w:r>
      <w:r>
        <w:rPr>
          <w:rFonts w:ascii="Arial" w:cs="Arial" w:eastAsia="Arial" w:hAnsi="Arial"/>
          <w:sz w:val="20"/>
          <w:szCs w:val="20"/>
          <w:color w:val="00162F"/>
        </w:rPr>
        <w:t xml:space="preserve"> </w:t>
      </w:r>
      <w:r>
        <w:rPr>
          <w:rFonts w:ascii="Arial" w:cs="Arial" w:eastAsia="Arial" w:hAnsi="Arial"/>
          <w:sz w:val="20"/>
          <w:szCs w:val="20"/>
          <w:i w:val="1"/>
          <w:iCs w:val="1"/>
          <w:color w:val="00162F"/>
        </w:rPr>
        <w:t>compliance with applicable federal, state and foreign laws relating to handling of personal information about individuals) could increase our costs, and any significant data privacy incident could disrupt our operations, harm our reputation, expose us to legal risks and otherwise materially adversely affect our business, results of operations and financial condition,” “If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 “Our business is subject to extensive government regulation, which may result in increases in our costs, disruptions to our operations, limits on our operating flexibility, reductions in the demand for air travel, and competitive disadvantages,” “The airline industry is heavily taxed,</w:t>
      </w:r>
      <w:r>
        <w:rPr>
          <w:rFonts w:ascii="Arial" w:cs="Arial" w:eastAsia="Arial" w:hAnsi="Arial"/>
          <w:sz w:val="20"/>
          <w:szCs w:val="20"/>
          <w:color w:val="00162F"/>
        </w:rPr>
        <w:t>”</w:t>
      </w:r>
      <w:r>
        <w:rPr>
          <w:rFonts w:ascii="Arial" w:cs="Arial" w:eastAsia="Arial" w:hAnsi="Arial"/>
          <w:sz w:val="20"/>
          <w:szCs w:val="20"/>
          <w:i w:val="1"/>
          <w:iCs w:val="1"/>
          <w:color w:val="00162F"/>
        </w:rPr>
        <w:t xml:space="preserve"> “We are subject to many forms of environmental and noise regulation and may incur substantial costs as a result,” </w:t>
      </w:r>
      <w:r>
        <w:rPr>
          <w:rFonts w:ascii="Arial" w:cs="Arial" w:eastAsia="Arial" w:hAnsi="Arial"/>
          <w:sz w:val="20"/>
          <w:szCs w:val="20"/>
          <w:color w:val="00162F"/>
        </w:rPr>
        <w:t xml:space="preserve">and </w:t>
      </w:r>
      <w:r>
        <w:rPr>
          <w:rFonts w:ascii="Arial" w:cs="Arial" w:eastAsia="Arial" w:hAnsi="Arial"/>
          <w:sz w:val="20"/>
          <w:szCs w:val="20"/>
          <w:i w:val="1"/>
          <w:iCs w:val="1"/>
          <w:color w:val="00162F"/>
        </w:rPr>
        <w:t>“We are subject to risks associated with climate change, including increased regulation of our GHG emissions,</w:t>
      </w:r>
      <w:r>
        <w:rPr>
          <w:rFonts w:ascii="Arial" w:cs="Arial" w:eastAsia="Arial" w:hAnsi="Arial"/>
          <w:sz w:val="20"/>
          <w:szCs w:val="20"/>
          <w:color w:val="00162F"/>
        </w:rPr>
        <w:t xml:space="preserve"> </w:t>
      </w:r>
      <w:r>
        <w:rPr>
          <w:rFonts w:ascii="Arial" w:cs="Arial" w:eastAsia="Arial" w:hAnsi="Arial"/>
          <w:sz w:val="20"/>
          <w:szCs w:val="20"/>
          <w:i w:val="1"/>
          <w:iCs w:val="1"/>
          <w:color w:val="00162F"/>
        </w:rPr>
        <w:t>changing consumer preferences and the potential for increased impacts of severe weather events on our operations and infrastructure.”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Available Information</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162F"/>
        </w:rPr>
        <w:t>Use of Websites to Disclose Information</w:t>
      </w:r>
    </w:p>
    <w:p>
      <w:pPr>
        <w:spacing w:after="0" w:line="95" w:lineRule="exact"/>
        <w:rPr>
          <w:sz w:val="20"/>
          <w:szCs w:val="20"/>
          <w:color w:val="auto"/>
        </w:rPr>
      </w:pPr>
    </w:p>
    <w:p>
      <w:pPr>
        <w:jc w:val="both"/>
        <w:ind w:firstLine="223"/>
        <w:spacing w:after="0" w:line="253" w:lineRule="auto"/>
        <w:rPr>
          <w:sz w:val="20"/>
          <w:szCs w:val="20"/>
          <w:color w:val="auto"/>
        </w:rPr>
      </w:pPr>
      <w:r>
        <w:rPr>
          <w:rFonts w:ascii="Arial" w:cs="Arial" w:eastAsia="Arial" w:hAnsi="Arial"/>
          <w:sz w:val="20"/>
          <w:szCs w:val="20"/>
          <w:color w:val="00162F"/>
        </w:rPr>
        <w:t xml:space="preserve">Our website is located at </w:t>
      </w:r>
      <w:r>
        <w:rPr>
          <w:rFonts w:ascii="Arial" w:cs="Arial" w:eastAsia="Arial" w:hAnsi="Arial"/>
          <w:sz w:val="20"/>
          <w:szCs w:val="20"/>
          <w:i w:val="1"/>
          <w:iCs w:val="1"/>
          <w:color w:val="00162F"/>
        </w:rPr>
        <w:t>www.aa.com</w:t>
      </w:r>
      <w:r>
        <w:rPr>
          <w:rFonts w:ascii="Arial" w:cs="Arial" w:eastAsia="Arial" w:hAnsi="Arial"/>
          <w:sz w:val="20"/>
          <w:szCs w:val="20"/>
          <w:color w:val="00162F"/>
        </w:rPr>
        <w:t xml:space="preserve">. We have made, and expect in the future to make, public disclosures to investors and the general public of information regarding AAG and its subsidiaries by means of the investor relations section of our website as well as through the use of our social media sites, including Facebook and X. In order to receive notifications regarding new postings to our website, investors are encouraged to enroll on our website to receive automatic email alerts (see </w:t>
      </w:r>
      <w:r>
        <w:rPr>
          <w:rFonts w:ascii="Arial" w:cs="Arial" w:eastAsia="Arial" w:hAnsi="Arial"/>
          <w:sz w:val="20"/>
          <w:szCs w:val="20"/>
          <w:i w:val="1"/>
          <w:iCs w:val="1"/>
          <w:color w:val="00162F"/>
        </w:rPr>
        <w:t>https://americanairlines.gcs-web.com/email-alerts</w:t>
      </w:r>
      <w:r>
        <w:rPr>
          <w:rFonts w:ascii="Arial" w:cs="Arial" w:eastAsia="Arial" w:hAnsi="Arial"/>
          <w:sz w:val="20"/>
          <w:szCs w:val="20"/>
          <w:color w:val="00162F"/>
        </w:rPr>
        <w:t>), “follow” American (@AmericanAir) on X and “like” American on our Facebook page (</w:t>
      </w:r>
      <w:r>
        <w:rPr>
          <w:rFonts w:ascii="Arial" w:cs="Arial" w:eastAsia="Arial" w:hAnsi="Arial"/>
          <w:sz w:val="20"/>
          <w:szCs w:val="20"/>
          <w:i w:val="1"/>
          <w:iCs w:val="1"/>
          <w:color w:val="00162F"/>
        </w:rPr>
        <w:t>www.facebook.com/AmericanAirlines</w:t>
      </w:r>
      <w:r>
        <w:rPr>
          <w:rFonts w:ascii="Arial" w:cs="Arial" w:eastAsia="Arial" w:hAnsi="Arial"/>
          <w:sz w:val="20"/>
          <w:szCs w:val="20"/>
          <w:color w:val="00162F"/>
        </w:rPr>
        <w:t>). None of the information or contents of our website or social media postings is incorporated into this Annual Report on Form 10-K.</w:t>
      </w:r>
    </w:p>
    <w:p>
      <w:pPr>
        <w:sectPr>
          <w:pgSz w:w="11880" w:h="15480" w:orient="portrait"/>
          <w:cols w:equalWidth="0" w:num="1">
            <w:col w:w="10680"/>
          </w:cols>
          <w:pgMar w:left="600" w:top="992" w:right="600" w:bottom="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20</w:t>
      </w:r>
    </w:p>
    <w:p>
      <w:pPr>
        <w:sectPr>
          <w:pgSz w:w="11880" w:h="15480" w:orient="portrait"/>
          <w:cols w:equalWidth="0" w:num="1">
            <w:col w:w="10680"/>
          </w:cols>
          <w:pgMar w:left="600" w:top="992" w:right="600" w:bottom="0" w:gutter="0" w:footer="0" w:header="0"/>
          <w:type w:val="continuous"/>
        </w:sectPr>
      </w:pPr>
    </w:p>
    <w:bookmarkStart w:id="21" w:name="page22"/>
    <w:bookmarkEnd w:id="21"/>
    <w:p>
      <w:pPr>
        <w:ind w:left="220"/>
        <w:spacing w:after="0"/>
        <w:rPr>
          <w:sz w:val="20"/>
          <w:szCs w:val="20"/>
          <w:color w:val="auto"/>
        </w:rPr>
      </w:pPr>
      <w:r>
        <w:rPr>
          <w:rFonts w:ascii="Arial" w:cs="Arial" w:eastAsia="Arial" w:hAnsi="Arial"/>
          <w:sz w:val="20"/>
          <w:szCs w:val="20"/>
          <w:b w:val="1"/>
          <w:bCs w:val="1"/>
          <w:i w:val="1"/>
          <w:iCs w:val="1"/>
          <w:color w:val="00162F"/>
        </w:rPr>
        <w:t>Availability of SEC Reports</w:t>
      </w:r>
    </w:p>
    <w:p>
      <w:pPr>
        <w:spacing w:after="0" w:line="95" w:lineRule="exact"/>
        <w:rPr>
          <w:sz w:val="20"/>
          <w:szCs w:val="20"/>
          <w:color w:val="auto"/>
        </w:rPr>
      </w:pPr>
    </w:p>
    <w:p>
      <w:pPr>
        <w:jc w:val="both"/>
        <w:ind w:firstLine="223"/>
        <w:spacing w:after="0" w:line="256" w:lineRule="auto"/>
        <w:rPr>
          <w:sz w:val="20"/>
          <w:szCs w:val="20"/>
          <w:color w:val="auto"/>
        </w:rPr>
      </w:pPr>
      <w:r>
        <w:rPr>
          <w:rFonts w:ascii="Arial" w:cs="Arial" w:eastAsia="Arial" w:hAnsi="Arial"/>
          <w:sz w:val="20"/>
          <w:szCs w:val="20"/>
          <w:color w:val="00162F"/>
        </w:rPr>
        <w:t xml:space="preserve">A copy of this Annual Report on Form 10-K, Quarterly Reports on Form 10-Q, Current Reports on Form 8-K and amendments to those reports are available free of charge on our website as soon as reasonably practicable after we electronically file such material with, or furnish it to, the SEC. The SEC also maintains a website that contains reports, proxy and information statements, and other information regarding issuers that file electronically with the SEC at </w:t>
      </w:r>
      <w:r>
        <w:rPr>
          <w:rFonts w:ascii="Arial" w:cs="Arial" w:eastAsia="Arial" w:hAnsi="Arial"/>
          <w:sz w:val="20"/>
          <w:szCs w:val="20"/>
          <w:i w:val="1"/>
          <w:iCs w:val="1"/>
          <w:color w:val="00162F"/>
        </w:rPr>
        <w:t>www.sec.gov</w:t>
      </w:r>
      <w:r>
        <w:rPr>
          <w:rFonts w:ascii="Arial" w:cs="Arial" w:eastAsia="Arial" w:hAnsi="Arial"/>
          <w:sz w:val="20"/>
          <w:szCs w:val="20"/>
          <w:color w:val="00162F"/>
        </w:rPr>
        <w:t>.</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21</w:t>
      </w:r>
    </w:p>
    <w:p>
      <w:pPr>
        <w:sectPr>
          <w:pgSz w:w="11880" w:h="15480" w:orient="portrait"/>
          <w:cols w:equalWidth="0" w:num="1">
            <w:col w:w="10680"/>
          </w:cols>
          <w:pgMar w:left="600" w:top="994" w:right="600" w:bottom="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00162F"/>
        </w:rPr>
        <w:t>ITEM 1A. RISK FACTORS</w:t>
      </w:r>
    </w:p>
    <w:p>
      <w:pPr>
        <w:spacing w:after="0" w:line="97"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162F"/>
        </w:rPr>
        <w:t>Risks Related to our Business and Industry</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Downturns in economic conditions could adversely affect our business.</w:t>
      </w:r>
    </w:p>
    <w:p>
      <w:pPr>
        <w:spacing w:after="0" w:line="95"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Furthermore, our efforts to increase travel revenue share, including corporate and travel agency revenue share, may not succeed and competitive pressures and shifts in corporate travel preferences could impede our ability to grow this revenue, negatively affecting our business strategy and financial results.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We will need to obtain sufficient financing or other capital to operate successfully.</w:t>
      </w:r>
    </w:p>
    <w:p>
      <w:pPr>
        <w:spacing w:after="0" w:line="95" w:lineRule="exact"/>
        <w:rPr>
          <w:sz w:val="20"/>
          <w:szCs w:val="20"/>
          <w:color w:val="auto"/>
        </w:rPr>
      </w:pPr>
    </w:p>
    <w:p>
      <w:pPr>
        <w:jc w:val="both"/>
        <w:ind w:firstLine="267"/>
        <w:spacing w:after="0" w:line="249" w:lineRule="auto"/>
        <w:rPr>
          <w:sz w:val="20"/>
          <w:szCs w:val="20"/>
          <w:color w:val="auto"/>
        </w:rPr>
      </w:pPr>
      <w:r>
        <w:rPr>
          <w:rFonts w:ascii="Arial" w:cs="Arial" w:eastAsia="Arial" w:hAnsi="Arial"/>
          <w:sz w:val="20"/>
          <w:szCs w:val="20"/>
          <w:color w:val="00162F"/>
        </w:rPr>
        <w:t>Our business plan contemplates continued significant investments related to our fleet, improving the experience of our customers, updating our facilities and deploying technology. Significant capital resources will be required to execute this plan. We estimate that, based on our commitments as of December 31, 2025, our planned aggregate expenditures for aircraft purchase commitments and certain engines on a consolidated basis for calendar years 2026 through 2030 would be approximately $17.5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It may be difficult for us to raise additional capital on acceptable terms, or at all, due to, among other factors: our substantial level of existing indebtedness; our non-investment grade corporate credit rating; volatile or otherwise unfavorable market conditions; and the availability of corporate assets to use as collateral for loans or other indebtedness. If we are unable to arrange any such required financing at customary advance rates and on terms and conditions acceptable to us, we may need to use cash from operations or cash on hand to purchase aircraft and engines or fund our other corporate 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prevailing interest rates, and the general availability of debt and equity capital, the financing or other capital resources that we will need may not be available to us, or may be available only on onerous terms and conditions. Furthermore, we hold significant balances of cash and short-term investments, including as necessary to conduct our day-to-day operations, some of which are held in deposit accounts at commercial banks in excess of the government-provided deposit insurance, which could lead to the loss of such excess balances. There can be no assurance that we will be successful in obtaining financing or other needed sources of capital to operate successfully or to fund our committed expenditures. An inability to obtain necessary financing on acceptable terms would limit our ability to execute necessary capital projects and would have a material adverse impact on our business, results of operations and financial condition.</w:t>
      </w:r>
    </w:p>
    <w:p>
      <w:pPr>
        <w:spacing w:after="0" w:line="243" w:lineRule="exact"/>
        <w:rPr>
          <w:sz w:val="20"/>
          <w:szCs w:val="20"/>
          <w:color w:val="auto"/>
        </w:rPr>
      </w:pPr>
    </w:p>
    <w:p>
      <w:pPr>
        <w:jc w:val="both"/>
        <w:ind w:left="260"/>
        <w:spacing w:after="0" w:line="269" w:lineRule="auto"/>
        <w:rPr>
          <w:sz w:val="20"/>
          <w:szCs w:val="20"/>
          <w:color w:val="auto"/>
        </w:rPr>
      </w:pPr>
      <w:r>
        <w:rPr>
          <w:rFonts w:ascii="Arial" w:cs="Arial" w:eastAsia="Arial" w:hAnsi="Arial"/>
          <w:sz w:val="20"/>
          <w:szCs w:val="20"/>
          <w:b w:val="1"/>
          <w:bCs w:val="1"/>
          <w:i w:val="1"/>
          <w:iCs w:val="1"/>
          <w:color w:val="00162F"/>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27"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We have significant amounts of indebtedness and other financial obligations, including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43" w:lineRule="exact"/>
        <w:rPr>
          <w:sz w:val="20"/>
          <w:szCs w:val="20"/>
          <w:color w:val="auto"/>
        </w:rPr>
      </w:pPr>
    </w:p>
    <w:p>
      <w:pPr>
        <w:ind w:left="700" w:hanging="349"/>
        <w:spacing w:after="0"/>
        <w:tabs>
          <w:tab w:leader="none" w:pos="700" w:val="left"/>
        </w:tabs>
        <w:numPr>
          <w:ilvl w:val="0"/>
          <w:numId w:val="13"/>
        </w:numPr>
        <w:rPr>
          <w:rFonts w:ascii="Arial" w:cs="Arial" w:eastAsia="Arial" w:hAnsi="Arial"/>
          <w:sz w:val="20"/>
          <w:szCs w:val="20"/>
          <w:color w:val="00162F"/>
        </w:rPr>
      </w:pPr>
      <w:r>
        <w:rPr>
          <w:rFonts w:ascii="Arial" w:cs="Arial" w:eastAsia="Arial" w:hAnsi="Arial"/>
          <w:sz w:val="20"/>
          <w:szCs w:val="20"/>
          <w:color w:val="00162F"/>
        </w:rPr>
        <w:t>make it more difficult for us to satisfy our obligations under our indebtedness;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22</w:t>
      </w:r>
    </w:p>
    <w:p>
      <w:pPr>
        <w:sectPr>
          <w:pgSz w:w="11880" w:h="15480" w:orient="portrait"/>
          <w:cols w:equalWidth="0" w:num="1">
            <w:col w:w="10680"/>
          </w:cols>
          <w:pgMar w:left="600" w:top="992" w:right="600" w:bottom="0" w:gutter="0" w:footer="0" w:header="0"/>
          <w:type w:val="continuous"/>
        </w:sectPr>
      </w:pPr>
    </w:p>
    <w:bookmarkStart w:id="23" w:name="page24"/>
    <w:bookmarkEnd w:id="23"/>
    <w:p>
      <w:pPr>
        <w:ind w:left="700" w:hanging="349"/>
        <w:spacing w:after="0" w:line="282" w:lineRule="auto"/>
        <w:tabs>
          <w:tab w:leader="none" w:pos="700" w:val="left"/>
        </w:tabs>
        <w:numPr>
          <w:ilvl w:val="0"/>
          <w:numId w:val="14"/>
        </w:numPr>
        <w:rPr>
          <w:rFonts w:ascii="Arial" w:cs="Arial" w:eastAsia="Arial" w:hAnsi="Arial"/>
          <w:sz w:val="20"/>
          <w:szCs w:val="20"/>
          <w:color w:val="00162F"/>
        </w:rPr>
      </w:pPr>
      <w:r>
        <w:rPr>
          <w:rFonts w:ascii="Arial" w:cs="Arial" w:eastAsia="Arial" w:hAnsi="Arial"/>
          <w:sz w:val="20"/>
          <w:szCs w:val="20"/>
          <w:color w:val="00162F"/>
        </w:rPr>
        <w:t>limit our ability to obtain additional funding for working capital, capital expenditures, acquisitions, investments and general corporate purposes, and adversely affect the terms on which such funding can be obtained;</w:t>
      </w:r>
    </w:p>
    <w:p>
      <w:pPr>
        <w:spacing w:after="0" w:line="112" w:lineRule="exact"/>
        <w:rPr>
          <w:rFonts w:ascii="Arial" w:cs="Arial" w:eastAsia="Arial" w:hAnsi="Arial"/>
          <w:sz w:val="20"/>
          <w:szCs w:val="20"/>
          <w:color w:val="00162F"/>
        </w:rPr>
      </w:pPr>
    </w:p>
    <w:p>
      <w:pPr>
        <w:jc w:val="both"/>
        <w:ind w:left="700" w:hanging="349"/>
        <w:spacing w:after="0" w:line="265" w:lineRule="auto"/>
        <w:tabs>
          <w:tab w:leader="none" w:pos="700" w:val="left"/>
        </w:tabs>
        <w:numPr>
          <w:ilvl w:val="0"/>
          <w:numId w:val="14"/>
        </w:numPr>
        <w:rPr>
          <w:rFonts w:ascii="Arial" w:cs="Arial" w:eastAsia="Arial" w:hAnsi="Arial"/>
          <w:sz w:val="20"/>
          <w:szCs w:val="20"/>
          <w:color w:val="00162F"/>
        </w:rPr>
      </w:pPr>
      <w:r>
        <w:rPr>
          <w:rFonts w:ascii="Arial" w:cs="Arial" w:eastAsia="Arial" w:hAnsi="Arial"/>
          <w:sz w:val="20"/>
          <w:szCs w:val="20"/>
          <w:color w:val="00162F"/>
        </w:rPr>
        <w:t>require us to dedicate a substantial portion of our liquidity or cash flow from operations to payments on our indebtedness and other obligations, thereby reducing the funds available for investment in our business and other purposes;</w:t>
      </w:r>
    </w:p>
    <w:p>
      <w:pPr>
        <w:spacing w:after="0" w:line="129"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4"/>
        </w:numPr>
        <w:rPr>
          <w:rFonts w:ascii="Arial" w:cs="Arial" w:eastAsia="Arial" w:hAnsi="Arial"/>
          <w:sz w:val="20"/>
          <w:szCs w:val="20"/>
          <w:color w:val="00162F"/>
        </w:rPr>
      </w:pPr>
      <w:r>
        <w:rPr>
          <w:rFonts w:ascii="Arial" w:cs="Arial" w:eastAsia="Arial" w:hAnsi="Arial"/>
          <w:sz w:val="20"/>
          <w:szCs w:val="20"/>
          <w:color w:val="00162F"/>
        </w:rPr>
        <w:t>make us more vulnerable to economic downturns, industry conditions and catastrophic external events, particularly relative to competitors with lower relative levels of financial leverage;</w:t>
      </w:r>
    </w:p>
    <w:p>
      <w:pPr>
        <w:spacing w:after="0" w:line="112" w:lineRule="exact"/>
        <w:rPr>
          <w:rFonts w:ascii="Arial" w:cs="Arial" w:eastAsia="Arial" w:hAnsi="Arial"/>
          <w:sz w:val="20"/>
          <w:szCs w:val="20"/>
          <w:color w:val="00162F"/>
        </w:rPr>
      </w:pPr>
    </w:p>
    <w:p>
      <w:pPr>
        <w:jc w:val="both"/>
        <w:ind w:left="700" w:hanging="349"/>
        <w:spacing w:after="0" w:line="265" w:lineRule="auto"/>
        <w:tabs>
          <w:tab w:leader="none" w:pos="700" w:val="left"/>
        </w:tabs>
        <w:numPr>
          <w:ilvl w:val="0"/>
          <w:numId w:val="14"/>
        </w:numPr>
        <w:rPr>
          <w:rFonts w:ascii="Arial" w:cs="Arial" w:eastAsia="Arial" w:hAnsi="Arial"/>
          <w:sz w:val="20"/>
          <w:szCs w:val="20"/>
          <w:color w:val="00162F"/>
        </w:rPr>
      </w:pPr>
      <w:r>
        <w:rPr>
          <w:rFonts w:ascii="Arial" w:cs="Arial" w:eastAsia="Arial" w:hAnsi="Arial"/>
          <w:sz w:val="20"/>
          <w:szCs w:val="20"/>
          <w:color w:val="00162F"/>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29"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4"/>
        </w:numPr>
        <w:rPr>
          <w:rFonts w:ascii="Arial" w:cs="Arial" w:eastAsia="Arial" w:hAnsi="Arial"/>
          <w:sz w:val="20"/>
          <w:szCs w:val="20"/>
          <w:color w:val="00162F"/>
        </w:rPr>
      </w:pPr>
      <w:r>
        <w:rPr>
          <w:rFonts w:ascii="Arial" w:cs="Arial" w:eastAsia="Arial" w:hAnsi="Arial"/>
          <w:sz w:val="20"/>
          <w:szCs w:val="20"/>
          <w:color w:val="00162F"/>
        </w:rPr>
        <w:t>limit our ability to withstand competitive pressures and reduce our flexibility in responding to changing business and economic conditions;</w:t>
      </w:r>
    </w:p>
    <w:p>
      <w:pPr>
        <w:spacing w:after="0" w:line="112" w:lineRule="exact"/>
        <w:rPr>
          <w:rFonts w:ascii="Arial" w:cs="Arial" w:eastAsia="Arial" w:hAnsi="Arial"/>
          <w:sz w:val="20"/>
          <w:szCs w:val="20"/>
          <w:color w:val="00162F"/>
        </w:rPr>
      </w:pPr>
    </w:p>
    <w:p>
      <w:pPr>
        <w:ind w:left="700" w:hanging="349"/>
        <w:spacing w:after="0"/>
        <w:tabs>
          <w:tab w:leader="none" w:pos="700" w:val="left"/>
        </w:tabs>
        <w:numPr>
          <w:ilvl w:val="0"/>
          <w:numId w:val="14"/>
        </w:numPr>
        <w:rPr>
          <w:rFonts w:ascii="Arial" w:cs="Arial" w:eastAsia="Arial" w:hAnsi="Arial"/>
          <w:sz w:val="20"/>
          <w:szCs w:val="20"/>
          <w:color w:val="00162F"/>
        </w:rPr>
      </w:pPr>
      <w:r>
        <w:rPr>
          <w:rFonts w:ascii="Arial" w:cs="Arial" w:eastAsia="Arial" w:hAnsi="Arial"/>
          <w:sz w:val="20"/>
          <w:szCs w:val="20"/>
          <w:color w:val="00162F"/>
        </w:rPr>
        <w:t>bear interest at floating rates, subjecting us to volatility in interest expenses as interest rates fluctuate;</w:t>
      </w:r>
    </w:p>
    <w:p>
      <w:pPr>
        <w:spacing w:after="0" w:line="185" w:lineRule="exact"/>
        <w:rPr>
          <w:rFonts w:ascii="Arial" w:cs="Arial" w:eastAsia="Arial" w:hAnsi="Arial"/>
          <w:sz w:val="20"/>
          <w:szCs w:val="20"/>
          <w:color w:val="00162F"/>
        </w:rPr>
      </w:pPr>
    </w:p>
    <w:p>
      <w:pPr>
        <w:jc w:val="both"/>
        <w:ind w:left="700" w:hanging="349"/>
        <w:spacing w:after="0" w:line="265" w:lineRule="auto"/>
        <w:tabs>
          <w:tab w:leader="none" w:pos="700" w:val="left"/>
        </w:tabs>
        <w:numPr>
          <w:ilvl w:val="0"/>
          <w:numId w:val="14"/>
        </w:numPr>
        <w:rPr>
          <w:rFonts w:ascii="Arial" w:cs="Arial" w:eastAsia="Arial" w:hAnsi="Arial"/>
          <w:sz w:val="20"/>
          <w:szCs w:val="20"/>
          <w:color w:val="00162F"/>
        </w:rPr>
      </w:pPr>
      <w:r>
        <w:rPr>
          <w:rFonts w:ascii="Arial" w:cs="Arial" w:eastAsia="Arial" w:hAnsi="Arial"/>
          <w:sz w:val="20"/>
          <w:szCs w:val="20"/>
          <w:color w:val="00162F"/>
        </w:rPr>
        <w:t>contain financial covenants, including the requirement to maintain an aggregate of at least $2.0 billion of unrestricted cash and cash equivalents and amounts available to be drawn under revolving credit facilities, as well as collateral coverage ratios and peak debt service coverage ratios;</w:t>
      </w:r>
    </w:p>
    <w:p>
      <w:pPr>
        <w:spacing w:after="0" w:line="129" w:lineRule="exact"/>
        <w:rPr>
          <w:rFonts w:ascii="Arial" w:cs="Arial" w:eastAsia="Arial" w:hAnsi="Arial"/>
          <w:sz w:val="20"/>
          <w:szCs w:val="20"/>
          <w:color w:val="00162F"/>
        </w:rPr>
      </w:pPr>
    </w:p>
    <w:p>
      <w:pPr>
        <w:ind w:left="700" w:hanging="349"/>
        <w:spacing w:after="0"/>
        <w:tabs>
          <w:tab w:leader="none" w:pos="700" w:val="left"/>
        </w:tabs>
        <w:numPr>
          <w:ilvl w:val="0"/>
          <w:numId w:val="14"/>
        </w:numPr>
        <w:rPr>
          <w:rFonts w:ascii="Arial" w:cs="Arial" w:eastAsia="Arial" w:hAnsi="Arial"/>
          <w:sz w:val="20"/>
          <w:szCs w:val="20"/>
          <w:color w:val="00162F"/>
        </w:rPr>
      </w:pPr>
      <w:r>
        <w:rPr>
          <w:rFonts w:ascii="Arial" w:cs="Arial" w:eastAsia="Arial" w:hAnsi="Arial"/>
          <w:sz w:val="20"/>
          <w:szCs w:val="20"/>
          <w:color w:val="00162F"/>
        </w:rPr>
        <w:t>impact availability of borrowings under revolving lines of credit; and</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4"/>
        </w:numPr>
        <w:rPr>
          <w:rFonts w:ascii="Arial" w:cs="Arial" w:eastAsia="Arial" w:hAnsi="Arial"/>
          <w:sz w:val="20"/>
          <w:szCs w:val="20"/>
          <w:color w:val="00162F"/>
        </w:rPr>
      </w:pPr>
      <w:r>
        <w:rPr>
          <w:rFonts w:ascii="Arial" w:cs="Arial" w:eastAsia="Arial" w:hAnsi="Arial"/>
          <w:sz w:val="20"/>
          <w:szCs w:val="20"/>
          <w:color w:val="00162F"/>
        </w:rPr>
        <w:t>contain restrictive covenants that could, among other things:</w:t>
      </w:r>
    </w:p>
    <w:p>
      <w:pPr>
        <w:spacing w:after="0" w:line="185" w:lineRule="exact"/>
        <w:rPr>
          <w:rFonts w:ascii="Arial" w:cs="Arial" w:eastAsia="Arial" w:hAnsi="Arial"/>
          <w:sz w:val="20"/>
          <w:szCs w:val="20"/>
          <w:color w:val="00162F"/>
        </w:rPr>
      </w:pPr>
    </w:p>
    <w:p>
      <w:pPr>
        <w:ind w:left="1340" w:hanging="632"/>
        <w:spacing w:after="0" w:line="282" w:lineRule="auto"/>
        <w:tabs>
          <w:tab w:leader="none" w:pos="1340" w:val="left"/>
        </w:tabs>
        <w:numPr>
          <w:ilvl w:val="1"/>
          <w:numId w:val="14"/>
        </w:numPr>
        <w:rPr>
          <w:rFonts w:ascii="Arial" w:cs="Arial" w:eastAsia="Arial" w:hAnsi="Arial"/>
          <w:sz w:val="20"/>
          <w:szCs w:val="20"/>
          <w:color w:val="00162F"/>
        </w:rPr>
      </w:pPr>
      <w:r>
        <w:rPr>
          <w:rFonts w:ascii="Arial" w:cs="Arial" w:eastAsia="Arial" w:hAnsi="Arial"/>
          <w:sz w:val="20"/>
          <w:szCs w:val="20"/>
          <w:color w:val="00162F"/>
        </w:rPr>
        <w:t>limit our ability to merge, consolidate, sell assets, incur additional indebtedness, issue preferred stock, make investments and/or pay dividends; and</w:t>
      </w:r>
    </w:p>
    <w:p>
      <w:pPr>
        <w:spacing w:after="0" w:line="112" w:lineRule="exact"/>
        <w:rPr>
          <w:rFonts w:ascii="Arial" w:cs="Arial" w:eastAsia="Arial" w:hAnsi="Arial"/>
          <w:sz w:val="20"/>
          <w:szCs w:val="20"/>
          <w:color w:val="00162F"/>
        </w:rPr>
      </w:pPr>
    </w:p>
    <w:p>
      <w:pPr>
        <w:ind w:left="1340" w:hanging="632"/>
        <w:spacing w:after="0"/>
        <w:tabs>
          <w:tab w:leader="none" w:pos="1340" w:val="left"/>
        </w:tabs>
        <w:numPr>
          <w:ilvl w:val="1"/>
          <w:numId w:val="14"/>
        </w:numPr>
        <w:rPr>
          <w:rFonts w:ascii="Arial" w:cs="Arial" w:eastAsia="Arial" w:hAnsi="Arial"/>
          <w:sz w:val="20"/>
          <w:szCs w:val="20"/>
          <w:color w:val="00162F"/>
        </w:rPr>
      </w:pPr>
      <w:r>
        <w:rPr>
          <w:rFonts w:ascii="Arial" w:cs="Arial" w:eastAsia="Arial" w:hAnsi="Arial"/>
          <w:sz w:val="20"/>
          <w:szCs w:val="20"/>
          <w:color w:val="00162F"/>
        </w:rPr>
        <w:t>if breached, result in an event of default under our other indebtedness.</w:t>
      </w:r>
    </w:p>
    <w:p>
      <w:pPr>
        <w:spacing w:after="0" w:line="18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Any additional future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The significant number of financings with respect to which such restrictive covenants and provisions apply subjects us to substantial risk of cross-default and cross-acceleration in the event of breach, and additional covenants and provisions could become binding on us should we seek additional liquidity in the future.</w:t>
      </w:r>
    </w:p>
    <w:p>
      <w:pPr>
        <w:spacing w:after="0" w:line="14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obligations discussed above, including those imposed as a result of any additional financings we may undertake, could also impact our ability to obtain additional financing, if needed, and our flexibility in the conduct of our business, and could materially adversely affect our liquidity, results of operations and financial condition.</w:t>
      </w:r>
    </w:p>
    <w:p>
      <w:pPr>
        <w:spacing w:after="0" w:line="129"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Further, a substantial amount of our long-term indebtedness bears interest at floating interest rates, which tend to fluctuate based on general short-term interest rates, rates set by central banks, the supply of and demand for credit in treasury markets and general economic conditions. We have not entered into any derivative transactions to hedge our interest rate exposure. Accordingly, our interest expense for any particular period will fluctuate based on the relevant benchmark rate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234"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If our financial condition worsens, provisions in our credit card processing and other commercial agreements may adversely affect our liquidity.</w:t>
      </w:r>
    </w:p>
    <w:p>
      <w:pPr>
        <w:spacing w:after="0" w:line="5"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9"/>
          <w:szCs w:val="19"/>
          <w:color w:val="00162F"/>
        </w:rPr>
        <w:t>We have agreements with companies that process customer credit card transactions for the sale of air travel and other services. These agreements allow these credit card processing companies, under certain conditions (including, for certain agreements, our failure to maintain certain levels of liquidity), to hold an amount of our cash (referred to as a holdback) equal to some or all of the advance ticket sales that have been processed by that credit card processor, but for which we</w:t>
      </w:r>
    </w:p>
    <w:p>
      <w:pPr>
        <w:sectPr>
          <w:pgSz w:w="11880" w:h="15480" w:orient="portrait"/>
          <w:cols w:equalWidth="0" w:num="1">
            <w:col w:w="10680"/>
          </w:cols>
          <w:pgMar w:left="600" w:top="992" w:right="600" w:bottom="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23</w:t>
      </w:r>
    </w:p>
    <w:p>
      <w:pPr>
        <w:sectPr>
          <w:pgSz w:w="11880" w:h="15480" w:orient="portrait"/>
          <w:cols w:equalWidth="0" w:num="1">
            <w:col w:w="10680"/>
          </w:cols>
          <w:pgMar w:left="600" w:top="992" w:right="600" w:bottom="0" w:gutter="0" w:footer="0" w:header="0"/>
          <w:type w:val="continuous"/>
        </w:sectPr>
      </w:pPr>
    </w:p>
    <w:bookmarkStart w:id="24" w:name="page25"/>
    <w:bookmarkEnd w:id="24"/>
    <w:p>
      <w:pPr>
        <w:jc w:val="both"/>
        <w:spacing w:after="0" w:line="252" w:lineRule="auto"/>
        <w:rPr>
          <w:sz w:val="20"/>
          <w:szCs w:val="20"/>
          <w:color w:val="auto"/>
        </w:rPr>
      </w:pPr>
      <w:r>
        <w:rPr>
          <w:rFonts w:ascii="Arial" w:cs="Arial" w:eastAsia="Arial" w:hAnsi="Arial"/>
          <w:sz w:val="20"/>
          <w:szCs w:val="20"/>
          <w:color w:val="00162F"/>
        </w:rPr>
        <w:t>have not yet provided the air transportation. Additionally, those credit card processing companies may require cash or other collateral reserves to be established. These holdback requirements can be implemented at the discretion of the credit card processing companies upon the occurrence of specific events, including material adverse changes in our financial condition or the triggering of a liquidity covenant. The imposition of holdback requirements, up to and including 100% of relevant advanced ticket sales, would materially reduce our liquidity. Likewise, some of our other commercial agreements contain provisions that allow counterparties to impose less-favorable terms, including the acceleration of amounts due, in the event of material adverse changes in our financial condition. For example, we maintain certain letters of credit as well as insurance- and surety-related agreements under which counterparties may require collateral, including cash collateral.</w:t>
      </w:r>
    </w:p>
    <w:p>
      <w:pPr>
        <w:spacing w:after="0" w:line="233"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The loss of key personnel whom we depend on to operate our business, or the inability to attract, develop and retain additional qualified personnel could adversely affect our business.</w:t>
      </w:r>
    </w:p>
    <w:p>
      <w:pPr>
        <w:spacing w:after="0" w:line="5" w:lineRule="exact"/>
        <w:rPr>
          <w:sz w:val="20"/>
          <w:szCs w:val="20"/>
          <w:color w:val="auto"/>
        </w:rPr>
      </w:pPr>
    </w:p>
    <w:p>
      <w:pPr>
        <w:jc w:val="both"/>
        <w:ind w:firstLine="267"/>
        <w:spacing w:after="0" w:line="270" w:lineRule="auto"/>
        <w:rPr>
          <w:sz w:val="20"/>
          <w:szCs w:val="20"/>
          <w:color w:val="auto"/>
        </w:rPr>
      </w:pPr>
      <w:r>
        <w:rPr>
          <w:rFonts w:ascii="Arial" w:cs="Arial" w:eastAsia="Arial" w:hAnsi="Arial"/>
          <w:sz w:val="19"/>
          <w:szCs w:val="19"/>
          <w:color w:val="00162F"/>
        </w:rPr>
        <w:t>We believe that our future success will depend in large part on our ability to attract, develop and retain highly qualified management, technical and other personnel. We may not be successful in attracting, developing or retaining key personnel or other highly qualified personnel. In addition, competition for skilled personnel has intensified and may continue to intensify if overall industry capacity continues to increase and/or we were to incur attrition at levels higher than we have incurred historically. Any inability to attract, develop and retain significant numbers of qualified management and other personnel would have a material adverse effect on our business, results of operations and financial condition.</w:t>
      </w:r>
    </w:p>
    <w:p>
      <w:pPr>
        <w:spacing w:after="0" w:line="219" w:lineRule="exact"/>
        <w:rPr>
          <w:sz w:val="20"/>
          <w:szCs w:val="20"/>
          <w:color w:val="auto"/>
        </w:rPr>
      </w:pPr>
    </w:p>
    <w:p>
      <w:pPr>
        <w:jc w:val="both"/>
        <w:ind w:left="260"/>
        <w:spacing w:after="0" w:line="262" w:lineRule="auto"/>
        <w:rPr>
          <w:sz w:val="20"/>
          <w:szCs w:val="20"/>
          <w:color w:val="auto"/>
        </w:rPr>
      </w:pPr>
      <w:r>
        <w:rPr>
          <w:rFonts w:ascii="Arial" w:cs="Arial" w:eastAsia="Arial" w:hAnsi="Arial"/>
          <w:sz w:val="20"/>
          <w:szCs w:val="20"/>
          <w:b w:val="1"/>
          <w:bCs w:val="1"/>
          <w:i w:val="1"/>
          <w:iCs w:val="1"/>
          <w:color w:val="00162F"/>
        </w:rPr>
        <w:t>Our business has been and will continue to be materially affected by many changing economic, geopolitical, commercial, regulatory and other conditions beyond our control, including global events that affect travel behavior, and our results of operations could be volatile and fluctuate materially due to changes in such conditions.</w:t>
      </w:r>
    </w:p>
    <w:p>
      <w:pPr>
        <w:spacing w:after="0" w:line="34"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Our business, results of operations and financial condition have been and will continue to be affected by many changing economic, geopolitical, commercial, regulatory and other conditions beyond our control, including, among others:</w:t>
      </w:r>
    </w:p>
    <w:p>
      <w:pPr>
        <w:spacing w:after="0" w:line="129" w:lineRule="exact"/>
        <w:rPr>
          <w:sz w:val="20"/>
          <w:szCs w:val="20"/>
          <w:color w:val="auto"/>
        </w:rPr>
      </w:pPr>
    </w:p>
    <w:p>
      <w:pPr>
        <w:ind w:left="700" w:right="840" w:hanging="349"/>
        <w:spacing w:after="0" w:line="282" w:lineRule="auto"/>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actual or potential changes in international, national, regional and local economic, business and financial conditions, including recession, inflation and elevated interest rates;</w:t>
      </w:r>
    </w:p>
    <w:p>
      <w:pPr>
        <w:spacing w:after="0" w:line="112" w:lineRule="exact"/>
        <w:rPr>
          <w:rFonts w:ascii="Arial" w:cs="Arial" w:eastAsia="Arial" w:hAnsi="Arial"/>
          <w:sz w:val="20"/>
          <w:szCs w:val="20"/>
          <w:color w:val="00162F"/>
        </w:rPr>
      </w:pPr>
    </w:p>
    <w:p>
      <w:pPr>
        <w:ind w:left="700" w:hanging="349"/>
        <w:spacing w:after="0"/>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wars or other conflicts and escalations thereof, terrorist attacks and geopolitical instability;</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changes in consumer disposable income, preferences, perceptions, spending patterns and demographics;</w:t>
      </w:r>
    </w:p>
    <w:p>
      <w:pPr>
        <w:spacing w:after="0" w:line="185" w:lineRule="exact"/>
        <w:rPr>
          <w:rFonts w:ascii="Arial" w:cs="Arial" w:eastAsia="Arial" w:hAnsi="Arial"/>
          <w:sz w:val="20"/>
          <w:szCs w:val="20"/>
          <w:color w:val="00162F"/>
        </w:rPr>
      </w:pPr>
    </w:p>
    <w:p>
      <w:pPr>
        <w:ind w:left="700" w:right="240" w:hanging="349"/>
        <w:spacing w:after="0" w:line="282" w:lineRule="auto"/>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changes in the competitive environment due to industry consolidation, changes in airline alliance affiliations and changes in our or our competitors’ commercial strategies;</w:t>
      </w:r>
    </w:p>
    <w:p>
      <w:pPr>
        <w:spacing w:after="0" w:line="112" w:lineRule="exact"/>
        <w:rPr>
          <w:rFonts w:ascii="Arial" w:cs="Arial" w:eastAsia="Arial" w:hAnsi="Arial"/>
          <w:sz w:val="20"/>
          <w:szCs w:val="20"/>
          <w:color w:val="00162F"/>
        </w:rPr>
      </w:pPr>
    </w:p>
    <w:p>
      <w:pPr>
        <w:ind w:left="700" w:right="80" w:hanging="349"/>
        <w:spacing w:after="0" w:line="265" w:lineRule="auto"/>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delays in scheduled aircraft deliveries, unexpected grounding of aircraft or aircraft engines by us or by regulators, or other loss of anticipated fleet capacity, and failure of new aircraft or aircraft-related equipment to receive regulatory approval, be produced or perform as and when expected;</w:t>
      </w:r>
    </w:p>
    <w:p>
      <w:pPr>
        <w:spacing w:after="0" w:line="129" w:lineRule="exact"/>
        <w:rPr>
          <w:rFonts w:ascii="Arial" w:cs="Arial" w:eastAsia="Arial" w:hAnsi="Arial"/>
          <w:sz w:val="20"/>
          <w:szCs w:val="20"/>
          <w:color w:val="00162F"/>
        </w:rPr>
      </w:pPr>
    </w:p>
    <w:p>
      <w:pPr>
        <w:ind w:left="700" w:right="880" w:hanging="349"/>
        <w:spacing w:after="0" w:line="282" w:lineRule="auto"/>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actual or potential disruptions to the U.S. National Airspace System (the ATC system), including due to a government shutdown;</w:t>
      </w:r>
    </w:p>
    <w:p>
      <w:pPr>
        <w:spacing w:after="0" w:line="112" w:lineRule="exact"/>
        <w:rPr>
          <w:rFonts w:ascii="Arial" w:cs="Arial" w:eastAsia="Arial" w:hAnsi="Arial"/>
          <w:sz w:val="20"/>
          <w:szCs w:val="20"/>
          <w:color w:val="00162F"/>
        </w:rPr>
      </w:pPr>
    </w:p>
    <w:p>
      <w:pPr>
        <w:ind w:left="700" w:right="740" w:hanging="349"/>
        <w:spacing w:after="0" w:line="282" w:lineRule="auto"/>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increases in costs of safety, security and environmental measures or costs of complying with new or more onerous consumer protection laws or regulations;</w:t>
      </w:r>
    </w:p>
    <w:p>
      <w:pPr>
        <w:spacing w:after="0" w:line="112"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increases in costs related to meeting our stated climate goals or obligations, including costs incurred to migrate to increase use of SAF in lieu of conventional aviation fuel;</w:t>
      </w:r>
    </w:p>
    <w:p>
      <w:pPr>
        <w:spacing w:after="0" w:line="112"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disruptions in global trade relations, such as increased tariffs or other trade barriers, that could create additional costs, new supply chain risks or a decrease in the demand for international air travel;</w:t>
      </w:r>
    </w:p>
    <w:p>
      <w:pPr>
        <w:spacing w:after="0" w:line="112"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increases in compliance burdens and costs associated with new and emerging national security regulations, including regulations related to access to certain categories of personal information;</w:t>
      </w:r>
    </w:p>
    <w:p>
      <w:pPr>
        <w:spacing w:after="0" w:line="112"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5"/>
        </w:numPr>
        <w:rPr>
          <w:rFonts w:ascii="Arial" w:cs="Arial" w:eastAsia="Arial" w:hAnsi="Arial"/>
          <w:sz w:val="20"/>
          <w:szCs w:val="20"/>
          <w:color w:val="00162F"/>
        </w:rPr>
      </w:pPr>
      <w:r>
        <w:rPr>
          <w:rFonts w:ascii="Arial" w:cs="Arial" w:eastAsia="Arial" w:hAnsi="Arial"/>
          <w:sz w:val="20"/>
          <w:szCs w:val="20"/>
          <w:color w:val="00162F"/>
        </w:rPr>
        <w:t>outbreaks of diseases or other public health or safety concerns that affect travel behavior, such as occurred during the COVID-19 pandemic; and</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24</w:t>
      </w:r>
    </w:p>
    <w:p>
      <w:pPr>
        <w:sectPr>
          <w:pgSz w:w="11880" w:h="15480" w:orient="portrait"/>
          <w:cols w:equalWidth="0" w:num="1">
            <w:col w:w="10680"/>
          </w:cols>
          <w:pgMar w:left="600" w:top="992" w:right="600" w:bottom="0" w:gutter="0" w:footer="0" w:header="0"/>
          <w:type w:val="continuous"/>
        </w:sectPr>
      </w:pPr>
    </w:p>
    <w:bookmarkStart w:id="25" w:name="page26"/>
    <w:bookmarkEnd w:id="25"/>
    <w:p>
      <w:pPr>
        <w:ind w:left="700" w:hanging="349"/>
        <w:spacing w:after="0" w:line="282" w:lineRule="auto"/>
        <w:tabs>
          <w:tab w:leader="none" w:pos="700" w:val="left"/>
        </w:tabs>
        <w:numPr>
          <w:ilvl w:val="0"/>
          <w:numId w:val="16"/>
        </w:numPr>
        <w:rPr>
          <w:rFonts w:ascii="Arial" w:cs="Arial" w:eastAsia="Arial" w:hAnsi="Arial"/>
          <w:sz w:val="20"/>
          <w:szCs w:val="20"/>
          <w:color w:val="00162F"/>
        </w:rPr>
      </w:pPr>
      <w:r>
        <w:rPr>
          <w:rFonts w:ascii="Arial" w:cs="Arial" w:eastAsia="Arial" w:hAnsi="Arial"/>
          <w:sz w:val="20"/>
          <w:szCs w:val="20"/>
          <w:color w:val="00162F"/>
        </w:rPr>
        <w:t>adverse weather and natural disasters, including increases in frequency, severity or duration of such disasters, and related costs caused by more severe weather due to climate change.</w:t>
      </w:r>
    </w:p>
    <w:p>
      <w:pPr>
        <w:spacing w:after="0" w:line="113"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An outbreak of any contagious disease, such as has occurred in the past with COVID-19, the Ebola virus, Middle East Respiratory Syndrome, Severe Acute Respiratory Syndrome, H1N1 influenza virus, avian flu, Zika virus or any other similar illness, if it becomes associated with air travel or persists for an extended period, could materially affect the airline industry and us by reducing revenues and adversely impacting our operations and passengers’ travel behavior. Governments could implement travel restrictions, including testing regimes, “stay at home” and quarantine orders, limitations on public gatherings, or cancellation of public events or take or mandate other actions that could significantly decrease demand for both domestic and international business and leisure travel. There can be no assurance that any mitigating actions we take in response will be sufficient to avert a deterioration in our business, financial condition and results of operations. As a result of these or other conditions beyond our control, our results of operations could be volatile and subject to rapid and unexpected changes.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The airline industry is intensely competitive and dynamic.</w:t>
      </w:r>
    </w:p>
    <w:p>
      <w:pPr>
        <w:spacing w:after="0" w:line="95"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Our competitors include other major domestic airlines and foreign, regional and new entrant airlines, as well as joint ventures formed by some of these airlines, many of which have greater financial or other resources and/or lower cost structures than ours, as well as other forms of transportation, such as rail and private automobiles or alternatives to 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effect on our and industry revenues. These factors may become even more significant when the industry experiences large losses, as airlines under financial stress, or in bankruptcy, may institute pricing or fee structures intended to attract more customers to achieve near-term survival at the expense of long-term viability.</w:t>
      </w:r>
    </w:p>
    <w:p>
      <w:pPr>
        <w:spacing w:after="0" w:line="148"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or are price sensitive and therefore tend not to be loyal to any one particular carrier. These low-cost carriers are attempting to continue to increase their market share through growth and consolidation and are expected to continue to affect our revenues and overall performance. We and several other large network carriers have implemented “Basic Economy” fares designed to more effectively compete against low-cost carriers, but we cannot predict whether these initiatives will be successful. Low-cost carriers may also implement, and in some cases have implemented, changes to their strategies or business models that could, and in some cases have, put them in more direct competition with network carriers. Moreover, we may have to compete with other carriers emerging from bankruptcy with lower cost structures.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with the introduction of long-range narrowbody aircraft. Additionally, other carriers focused on premium passenger travel are attempting to implement growth strategies. The actions of existing or future carriers, including those described above, could have a material adverse effect on our operations and financial performance.</w:t>
      </w:r>
    </w:p>
    <w:p>
      <w:pPr>
        <w:spacing w:after="0" w:line="148" w:lineRule="exact"/>
        <w:rPr>
          <w:sz w:val="20"/>
          <w:szCs w:val="20"/>
          <w:color w:val="auto"/>
        </w:rPr>
      </w:pPr>
    </w:p>
    <w:p>
      <w:pPr>
        <w:jc w:val="both"/>
        <w:ind w:firstLine="267"/>
        <w:spacing w:after="0" w:line="267" w:lineRule="auto"/>
        <w:rPr>
          <w:sz w:val="20"/>
          <w:szCs w:val="20"/>
          <w:color w:val="auto"/>
        </w:rPr>
      </w:pPr>
      <w:r>
        <w:rPr>
          <w:rFonts w:ascii="Arial" w:cs="Arial" w:eastAsia="Arial" w:hAnsi="Arial"/>
          <w:sz w:val="19"/>
          <w:szCs w:val="19"/>
          <w:color w:val="00162F"/>
        </w:rPr>
        <w:t>In certain instances, other air carriers operate scheduled service with a business model that relies on FAA Part 135, a regulatory environment that is generally less stringent than the rules applicable to our airline and similar airlines that operate under FAA Part 121, and which provides those airlines certain competitive advantages that Part 121 airlines cannot replicate. We have objected to the DOT and the TSA that the less stringent Part 135 rules were never intended as a basis for scheduled passenger service and that business model should not be permissible, and the agencies’ review is ongoing. While both the DOT and the TSA are actively reviewing these operations, if they ultimately allow scheduled passenger service in any form under Part 135 and the actions of existing or future carriers using that business model, including those described above, it could adversely impact our business, financial condition and results of operations.</w:t>
      </w:r>
    </w:p>
    <w:p>
      <w:pPr>
        <w:spacing w:after="0" w:line="134" w:lineRule="exact"/>
        <w:rPr>
          <w:sz w:val="20"/>
          <w:szCs w:val="20"/>
          <w:color w:val="auto"/>
        </w:rPr>
      </w:pPr>
    </w:p>
    <w:p>
      <w:pPr>
        <w:jc w:val="both"/>
        <w:ind w:firstLine="267"/>
        <w:spacing w:after="0" w:line="270" w:lineRule="auto"/>
        <w:rPr>
          <w:sz w:val="20"/>
          <w:szCs w:val="20"/>
          <w:color w:val="auto"/>
        </w:rPr>
      </w:pPr>
      <w:r>
        <w:rPr>
          <w:rFonts w:ascii="Arial" w:cs="Arial" w:eastAsia="Arial" w:hAnsi="Arial"/>
          <w:sz w:val="19"/>
          <w:szCs w:val="19"/>
          <w:color w:val="00162F"/>
        </w:rPr>
        <w:t>We provide air travel internationally directly as well as through joint businesses, strategic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Asia). Our financial performance relative to our key competitors will therefore be influenced significantly by macro-economic conditions in particular regions around the world and the relative exposure of our network to the markets in those regions, including the duration of any declines in demand for</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25</w:t>
      </w:r>
    </w:p>
    <w:p>
      <w:pPr>
        <w:sectPr>
          <w:pgSz w:w="11880" w:h="15480" w:orient="portrait"/>
          <w:cols w:equalWidth="0" w:num="1">
            <w:col w:w="10680"/>
          </w:cols>
          <w:pgMar w:left="600" w:top="992" w:right="600" w:bottom="0" w:gutter="0" w:footer="0" w:header="0"/>
          <w:type w:val="continuous"/>
        </w:sectPr>
      </w:pPr>
    </w:p>
    <w:bookmarkStart w:id="26" w:name="page27"/>
    <w:bookmarkEnd w:id="26"/>
    <w:p>
      <w:pPr>
        <w:jc w:val="both"/>
        <w:spacing w:after="0" w:line="282" w:lineRule="auto"/>
        <w:rPr>
          <w:sz w:val="20"/>
          <w:szCs w:val="20"/>
          <w:color w:val="auto"/>
        </w:rPr>
      </w:pPr>
      <w:r>
        <w:rPr>
          <w:rFonts w:ascii="Arial" w:cs="Arial" w:eastAsia="Arial" w:hAnsi="Arial"/>
          <w:sz w:val="20"/>
          <w:szCs w:val="20"/>
          <w:color w:val="00162F"/>
        </w:rPr>
        <w:t>travel to specific regions as a result of health emergencies, geopolitical instability or other factors, and the speed with which demand for travel to these regions returns.</w:t>
      </w:r>
    </w:p>
    <w:p>
      <w:pPr>
        <w:spacing w:after="0" w:line="113"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Our international service exposes us to foreign economies and the potential for reduced demand when any foreign country we serve suffers adverse local economic conditions or if governments restrict commercial air services to or from any of these markets.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20"/>
          <w:szCs w:val="20"/>
          <w:i w:val="1"/>
          <w:iCs w:val="1"/>
          <w:color w:val="00162F"/>
        </w:rPr>
        <w:t>Our business is subject to extensive government regulation, which may</w:t>
      </w:r>
      <w:r>
        <w:rPr>
          <w:rFonts w:ascii="Arial" w:cs="Arial" w:eastAsia="Arial" w:hAnsi="Arial"/>
          <w:sz w:val="20"/>
          <w:szCs w:val="20"/>
          <w:color w:val="00162F"/>
        </w:rPr>
        <w:t xml:space="preserve"> </w:t>
      </w:r>
      <w:r>
        <w:rPr>
          <w:rFonts w:ascii="Arial" w:cs="Arial" w:eastAsia="Arial" w:hAnsi="Arial"/>
          <w:sz w:val="20"/>
          <w:szCs w:val="20"/>
          <w:i w:val="1"/>
          <w:iCs w:val="1"/>
          <w:color w:val="00162F"/>
        </w:rPr>
        <w:t>increase our costs, disrupt our operations, limit our operating flexibility, reduce the demand for air travel, and create competitive disadvantages.”</w:t>
      </w:r>
    </w:p>
    <w:p>
      <w:pPr>
        <w:spacing w:after="0" w:line="144"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To the extent alliances formed by our competitors can undertake activities not available to us, including regulatory approvals, access slots, gates and routes and other matters,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39"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American has established a transatlantic joint business with British Airways, Aer Lingus, Iberia and Finnair, a transpacific joint business with Japan Airlines and a joint business relating to Australia and New Zealand with Qantas Airways. We have also established a strategic alliance with Alaska Airlines relating to certain routes and a strategic alliance relating to the Middle East with Qatar Airways. Legal challenges to our joint businesses and strategic alliances could negatively impact our operations and equity value, disrupt our strategic plans and affect our ability to offer competitive services in key markets. In July 2010, in connection with a regulatory review related to our transatlantic joint business, we provided certain commitments to the EC regarding, among other things, the availability of take-off and landing slots at LHR or LGW. The commitments accepted by the EC were binding for 10 years. In anticipation of both the exit of the UK from the EU, commonly referred to as Brexit, and the expiration of the EC commitments in July 2020, the CMA, in October 2018, opened an investigation into the transatlantic joint business. In September 2020 and April 2022, the CMA adopted interim measures that extend the EC commitments until March 2026 in light of the uncertainty and other impacts resulting from the COVID-19 pandemic. In August 2025, the CMA accepted binding commitments and closed the case. The commitments will replace the prior interim measures. These arrangements are important aspects of our international network, and we are dependent on the performance and continued cooperation of the other airlines party to those arrangements.</w:t>
      </w:r>
    </w:p>
    <w:p>
      <w:pPr>
        <w:spacing w:after="0" w:line="148" w:lineRule="exact"/>
        <w:rPr>
          <w:sz w:val="20"/>
          <w:szCs w:val="20"/>
          <w:color w:val="auto"/>
        </w:rPr>
      </w:pPr>
    </w:p>
    <w:p>
      <w:pPr>
        <w:jc w:val="both"/>
        <w:ind w:firstLine="223"/>
        <w:spacing w:after="0" w:line="253" w:lineRule="auto"/>
        <w:rPr>
          <w:sz w:val="20"/>
          <w:szCs w:val="20"/>
          <w:color w:val="auto"/>
        </w:rPr>
      </w:pPr>
      <w:r>
        <w:rPr>
          <w:rFonts w:ascii="Arial" w:cs="Arial" w:eastAsia="Arial" w:hAnsi="Arial"/>
          <w:sz w:val="20"/>
          <w:szCs w:val="20"/>
          <w:color w:val="00162F"/>
        </w:rPr>
        <w:t>In December 2022, two putative class action lawsuits were filed in the U.S. District Court for the Eastern District of New York alleging that American and JetBlue violated U.S. antitrust law in connection with the previously disclosed Northeast Alliance arrangement. In February 2023, private party plaintiffs filed two additional putative class action antitrust complaints against American and JetBlue in the U.S. District Court for the District of Massachusetts and the U.S. District Court for the Eastern District of New York, respectively. All cases have since been consolidated in the U.S. District Court for the Eastern District of New York. We believe these complaints are without merit and are defending against them vigorously.</w:t>
      </w:r>
    </w:p>
    <w:p>
      <w:pPr>
        <w:spacing w:after="0" w:line="144"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spacing w:after="0" w:line="129"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Other mergers and other forms of airline partnerships, including regulatory approvals such as antitrust immunity grants, may take place and may not involve us, or could result in unforeseen impacts on the industry generally and our company in particular. Depending on which carriers combine or integrate and which assets, if any, are sold or 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other arrangements, their route networks will grow, and that growth will result in greater overlap with our network, which in turn could decrease our overall market share and revenues. Such combination or collaboration is not limited to the U.S. but could include transactions among international carriers in Europe and elsewhere that result in broader networks offered by rival airlines.</w:t>
      </w:r>
    </w:p>
    <w:p>
      <w:pPr>
        <w:spacing w:after="0" w:line="143"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9"/>
          <w:szCs w:val="19"/>
          <w:color w:val="00162F"/>
        </w:rPr>
        <w:t>Additionally, our AAdvantage program, which is an important element of our business,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w:t>
      </w:r>
    </w:p>
    <w:p>
      <w:pPr>
        <w:sectPr>
          <w:pgSz w:w="11880" w:h="15480" w:orient="portrait"/>
          <w:cols w:equalWidth="0" w:num="1">
            <w:col w:w="10680"/>
          </w:cols>
          <w:pgMar w:left="600" w:top="992" w:right="600" w:bottom="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26</w:t>
      </w:r>
    </w:p>
    <w:p>
      <w:pPr>
        <w:sectPr>
          <w:pgSz w:w="11880" w:h="15480" w:orient="portrait"/>
          <w:cols w:equalWidth="0" w:num="1">
            <w:col w:w="10680"/>
          </w:cols>
          <w:pgMar w:left="600" w:top="992" w:right="600" w:bottom="0" w:gutter="0" w:footer="0" w:header="0"/>
          <w:type w:val="continuous"/>
        </w:sectPr>
      </w:pPr>
    </w:p>
    <w:bookmarkStart w:id="27" w:name="page28"/>
    <w:bookmarkEnd w:id="27"/>
    <w:p>
      <w:pPr>
        <w:jc w:val="both"/>
        <w:spacing w:after="0" w:line="252" w:lineRule="auto"/>
        <w:rPr>
          <w:sz w:val="20"/>
          <w:szCs w:val="20"/>
          <w:color w:val="auto"/>
        </w:rPr>
      </w:pPr>
      <w:r>
        <w:rPr>
          <w:rFonts w:ascii="Arial" w:cs="Arial" w:eastAsia="Arial" w:hAnsi="Arial"/>
          <w:sz w:val="20"/>
          <w:szCs w:val="20"/>
          <w:color w:val="00162F"/>
        </w:rPr>
        <w:t>our AAdvantage program as collateral for the AAdvantage Financing (defined in the accompanying notes to the consolidated financial statements to this Annual Report on Form 10-K), which contains covenants that impose restrictions on certain amendments or changes to certain of our AAdvantage program agreements provided as collateral under the AAdvantage Financing and other aspects of the AAdvantage program. These competitive factors and covenants (to the extent applicable) may affect our ability to attract and retain customers, increase usage of our loyalty program and maximize the revenue generated by our loyalty program. Further, we rely on partners to provide available space for mileage credit redemptions on their aircraft. Should partners not make available enough inventory within their cabins for our members, the attractiveness of our program may be decreased, potentially impacting customer loyalty and program revenue.</w:t>
      </w:r>
    </w:p>
    <w:p>
      <w:pPr>
        <w:spacing w:after="0" w:line="143"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We may also be impacted by regulations affecting certain of our major commercial partners, including our co-branded credit card partner, or our loyalty program. For example, there has been bipartisan legislation proposed in Congress called the Credit Card Competition Act designed to increase credit card transaction routing options for merchants which, if enacted, could result in a material reduction of the fees levied on credit card transactions. Additionally, the executive branch recently proposed a temporary 10% cap on credit card interest rates and called on Congress to pass legislation establishing a cap. If either of these proposals were enacted through legislation or regulation, they could fundamentally alter the profitability of our agreement with our co-branded credit card partner and the benefits we provide to our consumers through the co-branded credit cards issued by our partner. The Consumer Financial Protection Bureau cautioned companies in December 2024 against what it views as illegal or unlawful credit card practices, including purported devaluation of earned points, hidden conditions and failure to deliver promised benefits. If regulatory or legislative efforts to impose restrictions on airline loyalty programs and regulations against credit card point devaluations were successful, they could materially reduce the revenues we derive from the AAdvantage program and adversely impact our results of operations.</w:t>
      </w:r>
    </w:p>
    <w:p>
      <w:pPr>
        <w:spacing w:after="0" w:line="242"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Union disputes, employee strikes and other labor-related disruptions may adversely affect our operations and financial performance.</w:t>
      </w:r>
    </w:p>
    <w:p>
      <w:pPr>
        <w:spacing w:after="0" w:line="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 xml:space="preserve">Relations between air carriers and labor unions in the U.S.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As of December 31, 2025, approximately 86% of our employees were represented for collective bargaining purposes by labor unions, and 15% were covered by CBAs that are currently amendable or that will become amendable within one year. For the dates that the CBAs with our major work groups become amendable under the RLA, see </w:t>
      </w:r>
      <w:r>
        <w:rPr>
          <w:rFonts w:ascii="Arial" w:cs="Arial" w:eastAsia="Arial" w:hAnsi="Arial"/>
          <w:sz w:val="20"/>
          <w:szCs w:val="20"/>
          <w:i w:val="1"/>
          <w:iCs w:val="1"/>
          <w:color w:val="00162F"/>
        </w:rPr>
        <w:t>“Labor Relations”</w:t>
      </w:r>
      <w:r>
        <w:rPr>
          <w:rFonts w:ascii="Arial" w:cs="Arial" w:eastAsia="Arial" w:hAnsi="Arial"/>
          <w:sz w:val="20"/>
          <w:szCs w:val="20"/>
          <w:color w:val="00162F"/>
        </w:rPr>
        <w:t xml:space="preserve"> under Part I, Item 1. Business – </w:t>
      </w:r>
      <w:r>
        <w:rPr>
          <w:rFonts w:ascii="Arial" w:cs="Arial" w:eastAsia="Arial" w:hAnsi="Arial"/>
          <w:sz w:val="20"/>
          <w:szCs w:val="20"/>
          <w:i w:val="1"/>
          <w:iCs w:val="1"/>
          <w:color w:val="00162F"/>
        </w:rPr>
        <w:t>“Sustainability</w:t>
      </w:r>
      <w:r>
        <w:rPr>
          <w:rFonts w:ascii="Arial" w:cs="Arial" w:eastAsia="Arial" w:hAnsi="Arial"/>
          <w:sz w:val="20"/>
          <w:szCs w:val="20"/>
          <w:color w:val="00162F"/>
        </w:rPr>
        <w:t xml:space="preserve"> – </w:t>
      </w:r>
      <w:r>
        <w:rPr>
          <w:rFonts w:ascii="Arial" w:cs="Arial" w:eastAsia="Arial" w:hAnsi="Arial"/>
          <w:sz w:val="20"/>
          <w:szCs w:val="20"/>
          <w:i w:val="1"/>
          <w:iCs w:val="1"/>
          <w:color w:val="00162F"/>
        </w:rPr>
        <w:t>Our People</w:t>
      </w:r>
      <w:r>
        <w:rPr>
          <w:rFonts w:ascii="Arial" w:cs="Arial" w:eastAsia="Arial" w:hAnsi="Arial"/>
          <w:sz w:val="20"/>
          <w:szCs w:val="20"/>
          <w:color w:val="00162F"/>
        </w:rPr>
        <w:t>.”</w:t>
      </w:r>
    </w:p>
    <w:p>
      <w:pPr>
        <w:spacing w:after="0" w:line="144"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48"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27</w:t>
      </w:r>
    </w:p>
    <w:p>
      <w:pPr>
        <w:sectPr>
          <w:pgSz w:w="11880" w:h="15480" w:orient="portrait"/>
          <w:cols w:equalWidth="0" w:num="1">
            <w:col w:w="10680"/>
          </w:cols>
          <w:pgMar w:left="600" w:top="992" w:right="600" w:bottom="0" w:gutter="0" w:footer="0" w:header="0"/>
          <w:type w:val="continuous"/>
        </w:sectPr>
      </w:pPr>
    </w:p>
    <w:bookmarkStart w:id="28" w:name="page29"/>
    <w:bookmarkEnd w:id="28"/>
    <w:p>
      <w:pPr>
        <w:jc w:val="both"/>
        <w:ind w:firstLine="267"/>
        <w:spacing w:after="0" w:line="253" w:lineRule="auto"/>
        <w:rPr>
          <w:sz w:val="20"/>
          <w:szCs w:val="20"/>
          <w:color w:val="auto"/>
        </w:rPr>
      </w:pPr>
      <w:r>
        <w:rPr>
          <w:rFonts w:ascii="Arial" w:cs="Arial" w:eastAsia="Arial" w:hAnsi="Arial"/>
          <w:sz w:val="20"/>
          <w:szCs w:val="20"/>
          <w:color w:val="00162F"/>
        </w:rPr>
        <w:t>Personnel shortages, and general wage inflation have impacted and are expected to continue to impact our labor costs. We have agreements with the unions representing mainline pilots, flight attendants, passenger service team members, and mechanic and fleet service workgroups. These agreements include significant increases in pay and benefits compared to the prior agreements, in many cases in line with agreements concluded by our large network competitors with their unions. We remain in negotiations for other new labor agreements and anticipate that any new contracts we agree to with our labor groups will include increases in salaries and other benefits, which will increase our labor expense.</w:t>
      </w:r>
    </w:p>
    <w:p>
      <w:pPr>
        <w:spacing w:after="0" w:line="234" w:lineRule="exact"/>
        <w:rPr>
          <w:sz w:val="20"/>
          <w:szCs w:val="20"/>
          <w:color w:val="auto"/>
        </w:rPr>
      </w:pPr>
    </w:p>
    <w:p>
      <w:pPr>
        <w:jc w:val="both"/>
        <w:ind w:left="260"/>
        <w:spacing w:after="0" w:line="269" w:lineRule="auto"/>
        <w:rPr>
          <w:sz w:val="20"/>
          <w:szCs w:val="20"/>
          <w:color w:val="auto"/>
        </w:rPr>
      </w:pPr>
      <w:r>
        <w:rPr>
          <w:rFonts w:ascii="Arial" w:cs="Arial" w:eastAsia="Arial" w:hAnsi="Arial"/>
          <w:sz w:val="20"/>
          <w:szCs w:val="20"/>
          <w:b w:val="1"/>
          <w:bCs w:val="1"/>
          <w:i w:val="1"/>
          <w:iCs w:val="1"/>
          <w:color w:val="00162F"/>
        </w:rPr>
        <w:t>If we encounter problems with any of our third-party regional operators or third-party service providers, our operations could be adversely affected by a resulting decline in revenue or negative public perception about our services.</w:t>
      </w:r>
    </w:p>
    <w:p>
      <w:pPr>
        <w:spacing w:after="0" w:line="27"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9"/>
          <w:szCs w:val="19"/>
          <w:color w:val="00162F"/>
        </w:rPr>
        <w:t>A significant portion of our regional operations are conducted by third-party operators on our behalf and are principally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labor difficulties, shortages of pilots, mechanics and other skilled personnel and adverse economic conditions in general have subjected certain of these third-party regional operators to significant financial pressures, which have in the past and may in the future lead to bankruptcies among these operators. Periods of volatility in travel demand have the potential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36"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In addition, our reliance upon others to provide essential services on our behalf in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fueling, catering,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temporarily or permanently, and there is no guarantee that we could replace these providers on a timely basis with comparably priced providers, or at all. These third parties have faced challenges retaining and recruiting people with the appropriate skills to meet our requirements. We rely on the operation of complex supply chains and a large number of third parties for the procurement and fulfillment of parts, components, consumable or disposable goods and other products and services essential to our business. We cannot guarantee that, as a result of ongoing or future supply chain disruptions or staffing shortages, we, our third-party partners, or the airports we serve will be able to timely source all of the products and services we require in the course of our business, or that we will be successful in procuring suitable alternatives. Any material problems with the adequacy, efficiency and timeliness of contract services, resulting from financial hardships, personnel shortages or otherwise, could have a material adverse effect on our business, results of operations and financial condition.</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Any damage to our reputation or brand image could adversely affect our business or financial results.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19"/>
          <w:szCs w:val="19"/>
          <w:color w:val="00162F"/>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customer perceptions of our advertising campaigns, sponsorship arrangements or marketing programs, customer perceptions of our use of social media, customer concerns in the nature of “greenwashing” allegations that may surround any of our advertising campaigns, marketing programs or commercial offerings related to our sustainability initiatives,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28</w:t>
      </w:r>
    </w:p>
    <w:p>
      <w:pPr>
        <w:sectPr>
          <w:pgSz w:w="11880" w:h="15480" w:orient="portrait"/>
          <w:cols w:equalWidth="0" w:num="1">
            <w:col w:w="10680"/>
          </w:cols>
          <w:pgMar w:left="600" w:top="992" w:right="600" w:bottom="0" w:gutter="0" w:footer="0" w:header="0"/>
          <w:type w:val="continuous"/>
        </w:sectPr>
      </w:pPr>
    </w:p>
    <w:bookmarkStart w:id="29" w:name="page30"/>
    <w:bookmarkEnd w:id="29"/>
    <w:p>
      <w:pPr>
        <w:jc w:val="both"/>
        <w:spacing w:after="0" w:line="282" w:lineRule="auto"/>
        <w:rPr>
          <w:sz w:val="20"/>
          <w:szCs w:val="20"/>
          <w:color w:val="auto"/>
        </w:rPr>
      </w:pPr>
      <w:r>
        <w:rPr>
          <w:rFonts w:ascii="Arial" w:cs="Arial" w:eastAsia="Arial" w:hAnsi="Arial"/>
          <w:sz w:val="20"/>
          <w:szCs w:val="20"/>
          <w:color w:val="00162F"/>
        </w:rPr>
        <w:t>our services could adversely affect our business and financial results, as well as require additional resources to rebuild our reputation.</w:t>
      </w:r>
    </w:p>
    <w:p>
      <w:pPr>
        <w:spacing w:after="0" w:line="11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19"/>
          <w:szCs w:val="19"/>
          <w:color w:val="00162F"/>
        </w:rPr>
        <w:t>Moreover, an outbreak and spread of an infectious disease could adversely impact consumer perceptions of the health and safety of travel, and in particular airline travel, such as occurred during the COVID-19 pandemic. Actual or perceived risk of infection on our flights could have a material adverse effect on the public’s perception of us and may harm our reputation and business. We have in the past, and may in the future, be required to take extensive measures to reassure our team members and the traveling public of the safety of air travel, and we could incur significant costs implementing safety, hygiene-related or other actions to limit the actual or perceived threat of infection among our employees and passengers. However, we cannot assure that any actions we might take in response to an infectious disease outbreak will be sufficient to restore the confidence of consumers in the safety of air travel. We have experienced incidences of aggressive customer behavior and physical confrontation on our flights in the past, certain of which resulted in injuries to our personnel, and we may experience such behavior in the future. If our employees feel unsafe or believe that we are not doing enough to prevent and prosecute such incidents, we could experience higher rates of employee absence or attrition and we may suffer reputational harm which could make it more difficult to attract and retain employees, and which could in turn negatively affect our business, financial condition and results of operations.</w:t>
      </w:r>
    </w:p>
    <w:p>
      <w:pPr>
        <w:spacing w:after="0" w:line="220" w:lineRule="exact"/>
        <w:rPr>
          <w:sz w:val="20"/>
          <w:szCs w:val="20"/>
          <w:color w:val="auto"/>
        </w:rPr>
      </w:pPr>
    </w:p>
    <w:p>
      <w:pPr>
        <w:jc w:val="both"/>
        <w:ind w:left="260"/>
        <w:spacing w:after="0" w:line="269" w:lineRule="auto"/>
        <w:rPr>
          <w:sz w:val="20"/>
          <w:szCs w:val="20"/>
          <w:color w:val="auto"/>
        </w:rPr>
      </w:pPr>
      <w:r>
        <w:rPr>
          <w:rFonts w:ascii="Arial" w:cs="Arial" w:eastAsia="Arial" w:hAnsi="Arial"/>
          <w:sz w:val="20"/>
          <w:szCs w:val="20"/>
          <w:b w:val="1"/>
          <w:bCs w:val="1"/>
          <w:i w:val="1"/>
          <w:iCs w:val="1"/>
          <w:color w:val="00162F"/>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27" w:lineRule="exact"/>
        <w:rPr>
          <w:sz w:val="20"/>
          <w:szCs w:val="20"/>
          <w:color w:val="auto"/>
        </w:rPr>
      </w:pPr>
    </w:p>
    <w:p>
      <w:pPr>
        <w:jc w:val="both"/>
        <w:ind w:firstLine="267"/>
        <w:spacing w:after="0" w:line="249" w:lineRule="auto"/>
        <w:rPr>
          <w:sz w:val="20"/>
          <w:szCs w:val="20"/>
          <w:color w:val="auto"/>
        </w:rPr>
      </w:pPr>
      <w:r>
        <w:rPr>
          <w:rFonts w:ascii="Arial" w:cs="Arial" w:eastAsia="Arial" w:hAnsi="Arial"/>
          <w:sz w:val="20"/>
          <w:szCs w:val="20"/>
          <w:color w:val="00162F"/>
        </w:rPr>
        <w:t>We are at risk of adverse publicity from any public incident involving our company, our people or our brand, particularly given the ease with which individuals can now capture and rapidly disseminate information via social media. Such an incident could involve the actual or alleged behavior of any of our employees, contractors or passengers. On January 29, 2025, American Eagle flight 5342 was involved in a fatal accident in Washington, D.C. The Bombardier CRJ700 aircraft operated by PSA was en route to Washington, D.C. from Wichita, Kansas, when it was involved in a midair collision near Ronald Reagan Washington National Airport. We estimate that the accident reduced first quarter 2025 total operating revenues by approximately $200 million, and the families of multiple passengers have filed lawsuits against the U.S. Government, PSA and American seeking unspecified damages. If other aircraft in our fleet or aircraft operated under our brand, were to be involved in an accident, or if our personnel, one of our aircraft, a type of aircraft in our fleet, or the personnel or aircraft of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future incident, accident, catastrophe or action involving our personnel, one of our aircraft (or personnel and aircraft of our regional operators, marketing alliance, joint business and codeshare partners), or a type of aircraft in our fleet could create an adverse public perception, which could harm our reputation, result in air travelers being reluctant to fly on our aircraft or those of our regional operators, marketing alliance, joint business or codeshare partners, and adversely impact our business, results of operations and financial condition.</w:t>
      </w:r>
    </w:p>
    <w:p>
      <w:pPr>
        <w:spacing w:after="0" w:line="248"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Changes to our business model that are designed to increase revenues and reduce costs may not be successful and may cause operational difficulties or decreased demand.</w:t>
      </w:r>
    </w:p>
    <w:p>
      <w:pPr>
        <w:spacing w:after="0" w:line="5"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9"/>
          <w:szCs w:val="19"/>
          <w:color w:val="00162F"/>
        </w:rPr>
        <w:t>We have in the past instituted, and intend to institute in the future, changes to our business model designed to increase revenues and offset costs. These measures include further segmentation of the classes of service we offer, such as Premium Economy service and Basic Economy service, enhancements to our AAdvantage program, charging separately for services that had previously been included within the price of a ticket, changes to our practices and contracts with providers of distribution systems to provide additional content flexibility, commercial practices related to ticket distribution channels, including efforts by us to migrate an increasing portion of our customers to our modern, direct distribution channels in lieu of third party channels,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assuming this policy remains in place. In addition, during the second quarter of 2024 we concluded that certain changes to our distribution strategy contributed to softness in customer bookings relative to our expectations and we reversed many of these measures late in the quarter, and in 2026, we stopped charging for Wi-Fi on most aircraft for AAdvantage members. We may introduce additional initiatives in the future; however, as time goes on, we expect that it will be more difficult to identify and implement additional initiatives. We cannot assure that these measures or any future</w:t>
      </w:r>
    </w:p>
    <w:p>
      <w:pPr>
        <w:sectPr>
          <w:pgSz w:w="11880" w:h="15480" w:orient="portrait"/>
          <w:cols w:equalWidth="0" w:num="1">
            <w:col w:w="10680"/>
          </w:cols>
          <w:pgMar w:left="600" w:top="992" w:right="600" w:bottom="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29</w:t>
      </w:r>
    </w:p>
    <w:p>
      <w:pPr>
        <w:sectPr>
          <w:pgSz w:w="11880" w:h="15480" w:orient="portrait"/>
          <w:cols w:equalWidth="0" w:num="1">
            <w:col w:w="10680"/>
          </w:cols>
          <w:pgMar w:left="600" w:top="992" w:right="600" w:bottom="0" w:gutter="0" w:footer="0" w:header="0"/>
          <w:type w:val="continuous"/>
        </w:sectPr>
      </w:pPr>
    </w:p>
    <w:bookmarkStart w:id="30" w:name="page31"/>
    <w:bookmarkEnd w:id="30"/>
    <w:p>
      <w:pPr>
        <w:jc w:val="both"/>
        <w:spacing w:after="0" w:line="252" w:lineRule="auto"/>
        <w:rPr>
          <w:sz w:val="20"/>
          <w:szCs w:val="20"/>
          <w:color w:val="auto"/>
        </w:rPr>
      </w:pPr>
      <w:r>
        <w:rPr>
          <w:rFonts w:ascii="Arial" w:cs="Arial" w:eastAsia="Arial" w:hAnsi="Arial"/>
          <w:sz w:val="20"/>
          <w:szCs w:val="20"/>
          <w:color w:val="00162F"/>
        </w:rPr>
        <w:t>initiatives will be successful in increasing our revenues or offsetting our costs. Additionally, the implementation of these initiatives may create logistical challenges that could harm the operational performance of our airline or result in decreased demand. Also, our implementation of any new or increased fees, or changes to the operation of or benefits offered by our loyalty program,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changes. Such changes could result in adverse brand perceptions, reputational harm or regulatory scrutiny. If regulatory or legislative efforts to impose restrictions on airline loyalty programs were successful, they could materially reduce the revenues we derive from the AAdvantage program and adversely impact our results of operations.</w:t>
      </w:r>
    </w:p>
    <w:p>
      <w:pPr>
        <w:spacing w:after="0" w:line="233"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Our intellectual property rights, particularly our branding rights, are valuable, and any inability to protect them may adversely affect our business and financial results.</w:t>
      </w:r>
    </w:p>
    <w:p>
      <w:pPr>
        <w:spacing w:after="0" w:line="5" w:lineRule="exact"/>
        <w:rPr>
          <w:sz w:val="20"/>
          <w:szCs w:val="20"/>
          <w:color w:val="auto"/>
        </w:rPr>
      </w:pPr>
    </w:p>
    <w:p>
      <w:pPr>
        <w:jc w:val="both"/>
        <w:ind w:firstLine="267"/>
        <w:spacing w:after="0" w:line="267" w:lineRule="auto"/>
        <w:rPr>
          <w:sz w:val="20"/>
          <w:szCs w:val="20"/>
          <w:color w:val="auto"/>
        </w:rPr>
      </w:pPr>
      <w:r>
        <w:rPr>
          <w:rFonts w:ascii="Arial" w:cs="Arial" w:eastAsia="Arial" w:hAnsi="Arial"/>
          <w:sz w:val="19"/>
          <w:szCs w:val="19"/>
          <w:color w:val="00162F"/>
        </w:rPr>
        <w:t>We consider our intellectual property rights, particularly our branding rights such as our trademarks applicable to our airline and AAdvantage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34"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In addition, we use certain of our branding and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program. These covenants may have an adverse effect on our ability to use such intellectual property.</w:t>
      </w:r>
    </w:p>
    <w:p>
      <w:pPr>
        <w:spacing w:after="0" w:line="226"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We may be a party to litigation in the normal course of business or otherwise, which could affect our financial position and liquidity.</w:t>
      </w:r>
    </w:p>
    <w:p>
      <w:pPr>
        <w:spacing w:after="0" w:line="5"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9"/>
          <w:szCs w:val="19"/>
          <w:color w:val="00162F"/>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11(e) to AAG’s Consolidated Financial Statements in Part II, Item 8A and Note 10(e) to American’s Consolidated Financial Statements in Part II, Item 8B.</w:t>
      </w:r>
    </w:p>
    <w:p>
      <w:pPr>
        <w:spacing w:after="0" w:line="221"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We rely heavily on technology and automated systems, including AI, to operate our business and any failure of these technologies or systems could harm our business, results of operations and financial condition.</w:t>
      </w:r>
    </w:p>
    <w:p>
      <w:pPr>
        <w:spacing w:after="0" w:line="5"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We are highly dependent on existing and emerging technology and automated systems, including AI, to operate our business. These technologies and systems include but may not be limited to our computerized airline reservation system, flight operations and crew scheduling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w:t>
      </w:r>
    </w:p>
    <w:p>
      <w:pPr>
        <w:sectPr>
          <w:pgSz w:w="11880" w:h="15480" w:orient="portrait"/>
          <w:cols w:equalWidth="0" w:num="1">
            <w:col w:w="10680"/>
          </w:cols>
          <w:pgMar w:left="600" w:top="992" w:right="600" w:bottom="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30</w:t>
      </w:r>
    </w:p>
    <w:p>
      <w:pPr>
        <w:sectPr>
          <w:pgSz w:w="11880" w:h="15480" w:orient="portrait"/>
          <w:cols w:equalWidth="0" w:num="1">
            <w:col w:w="10680"/>
          </w:cols>
          <w:pgMar w:left="600" w:top="992" w:right="600" w:bottom="0" w:gutter="0" w:footer="0" w:header="0"/>
          <w:type w:val="continuous"/>
        </w:sectPr>
      </w:pPr>
    </w:p>
    <w:bookmarkStart w:id="31" w:name="page32"/>
    <w:bookmarkEnd w:id="31"/>
    <w:p>
      <w:pPr>
        <w:jc w:val="both"/>
        <w:ind w:right="20"/>
        <w:spacing w:after="0" w:line="267" w:lineRule="auto"/>
        <w:rPr>
          <w:sz w:val="20"/>
          <w:szCs w:val="20"/>
          <w:color w:val="auto"/>
        </w:rPr>
      </w:pPr>
      <w:r>
        <w:rPr>
          <w:rFonts w:ascii="Arial" w:cs="Arial" w:eastAsia="Arial" w:hAnsi="Arial"/>
          <w:sz w:val="19"/>
          <w:szCs w:val="19"/>
          <w:color w:val="00162F"/>
        </w:rPr>
        <w:t>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Furthermore, certain critical aspects of our operation rely on legacy technological systems which may grow more difficult or expensive to support and maintain over time, and such systems may fail to perform as required or become more vulnerable to malfunction or failure over time.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29"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In December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While the FAA and the telecommunications industry reached an agreement to delay the full implementation of 5G deployment near airports until 2028, there could be future impacts once the current agreement expires. Additionally, there has been an increase in the reported use of jamming or “spoofing” technologies by bad actors intended to disrupt the operation of GPS navigation and other flight systems by relaying fake or erroneous flight information and signals to crews. These technologies could pose risks to the safe operation of aircraft by diverting pilots’ attention and potentially resulting in operational disruptions.</w:t>
      </w:r>
    </w:p>
    <w:p>
      <w:pPr>
        <w:spacing w:after="0" w:line="152" w:lineRule="exact"/>
        <w:rPr>
          <w:sz w:val="20"/>
          <w:szCs w:val="20"/>
          <w:color w:val="auto"/>
        </w:rPr>
      </w:pPr>
    </w:p>
    <w:p>
      <w:pPr>
        <w:jc w:val="both"/>
        <w:ind w:right="20" w:firstLine="267"/>
        <w:spacing w:after="0" w:line="250" w:lineRule="auto"/>
        <w:rPr>
          <w:sz w:val="20"/>
          <w:szCs w:val="20"/>
          <w:color w:val="auto"/>
        </w:rPr>
      </w:pPr>
      <w:r>
        <w:rPr>
          <w:rFonts w:ascii="Arial" w:cs="Arial" w:eastAsia="Arial" w:hAnsi="Arial"/>
          <w:sz w:val="20"/>
          <w:szCs w:val="20"/>
          <w:color w:val="00162F"/>
        </w:rPr>
        <w:t>Our technologies and automated systems are not completely protected against events that are beyond our control, including natural disasters, power failures, terrorist attacks, cyberattacks, data theft, defects, errors, equipment and software failures, computer viruses or telecommunications failures. For example, the CrowdStrike-caused systems outage in July 2024 significantly impacted airline operations, including our own, and forced several carriers to ground flights for a prolonged period and incur significant costs associated with reaccommodating and compensating affected passengers. Similarly, in September 2025, hundreds of our flights were delayed or cancelled out of Dallas/Fort Worth International Airport (DFW) when FAA fiberoptic cables were accidentally cut by a third party. When service interruptions occur as a result of any of the 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152" w:lineRule="exact"/>
        <w:rPr>
          <w:sz w:val="20"/>
          <w:szCs w:val="20"/>
          <w:color w:val="auto"/>
        </w:rPr>
      </w:pPr>
    </w:p>
    <w:p>
      <w:pPr>
        <w:jc w:val="both"/>
        <w:ind w:right="20" w:firstLine="267"/>
        <w:spacing w:after="0" w:line="250" w:lineRule="auto"/>
        <w:rPr>
          <w:sz w:val="20"/>
          <w:szCs w:val="20"/>
          <w:color w:val="auto"/>
        </w:rPr>
      </w:pPr>
      <w:r>
        <w:rPr>
          <w:rFonts w:ascii="Arial" w:cs="Arial" w:eastAsia="Arial" w:hAnsi="Arial"/>
          <w:sz w:val="20"/>
          <w:szCs w:val="20"/>
          <w:color w:val="00162F"/>
        </w:rPr>
        <w:t>Additionally, new technologies, such as the use of AI and machine learning, present evolving and significant legal and operational risks for us and our third-party vendors. We use AI and machine learning technologies, including those licensed from third parties, in our technologies and our ability to continue to use such technologies at the scale may depend on access to specific third-party software and infrastructure. We cannot control the availability or pricing of such third-party AI and machine learning technologies, especially in a highly competitive environment, and we may be unable to negotiate favorable economic terms with the applicable providers. If any such third-party AI and machine learning technologies become incompatible with our solutions or are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and machine learning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52" w:lineRule="exact"/>
        <w:rPr>
          <w:sz w:val="20"/>
          <w:szCs w:val="20"/>
          <w:color w:val="auto"/>
        </w:rPr>
      </w:pPr>
    </w:p>
    <w:p>
      <w:pPr>
        <w:jc w:val="both"/>
        <w:ind w:right="20" w:firstLine="267"/>
        <w:spacing w:after="0" w:line="254" w:lineRule="auto"/>
        <w:rPr>
          <w:sz w:val="20"/>
          <w:szCs w:val="20"/>
          <w:color w:val="auto"/>
        </w:rPr>
      </w:pPr>
      <w:r>
        <w:rPr>
          <w:rFonts w:ascii="Arial" w:cs="Arial" w:eastAsia="Arial" w:hAnsi="Arial"/>
          <w:sz w:val="20"/>
          <w:szCs w:val="20"/>
          <w:color w:val="00162F"/>
        </w:rPr>
        <w:t>We expect that increased investment will be required in the future to continuously improve our use of AI (including generative AI) and machine learning technologies. As with many technological innovations, there are significant risks involved in developing, maintaining and deploying these technologies and there can be no assurance that the usage of our investments in such technologies will always enhance our products or services or be beneficial to our business, including our efficiency or profitability. Additionally, the development of generative AI technologies is complex, with practical and competitive challenges in achieving desired accuracy, efficiency and reliability. Generative AI training</w:t>
      </w:r>
    </w:p>
    <w:p>
      <w:pPr>
        <w:sectPr>
          <w:pgSz w:w="11880" w:h="15480" w:orient="portrait"/>
          <w:cols w:equalWidth="0" w:num="1">
            <w:col w:w="10700"/>
          </w:cols>
          <w:pgMar w:left="600" w:top="992" w:right="58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31</w:t>
      </w:r>
    </w:p>
    <w:p>
      <w:pPr>
        <w:sectPr>
          <w:pgSz w:w="11880" w:h="15480" w:orient="portrait"/>
          <w:cols w:equalWidth="0" w:num="1">
            <w:col w:w="10700"/>
          </w:cols>
          <w:pgMar w:left="600" w:top="992" w:right="580" w:bottom="0" w:gutter="0" w:footer="0" w:header="0"/>
          <w:type w:val="continuous"/>
        </w:sectPr>
      </w:pPr>
    </w:p>
    <w:bookmarkStart w:id="32" w:name="page33"/>
    <w:bookmarkEnd w:id="32"/>
    <w:p>
      <w:pPr>
        <w:jc w:val="both"/>
        <w:spacing w:after="0" w:line="249" w:lineRule="auto"/>
        <w:rPr>
          <w:sz w:val="20"/>
          <w:szCs w:val="20"/>
          <w:color w:val="auto"/>
        </w:rPr>
      </w:pPr>
      <w:r>
        <w:rPr>
          <w:rFonts w:ascii="Arial" w:cs="Arial" w:eastAsia="Arial" w:hAnsi="Arial"/>
          <w:sz w:val="20"/>
          <w:szCs w:val="20"/>
          <w:color w:val="00162F"/>
        </w:rPr>
        <w:t>content, algorithms, models, software and other related systems may have limitations, including biases, errors or inability to process or restrict certain data types or scenarios. In particular, if the models underlying our AI and machine learning technologies are incorrectly designed or implemented, or used without sufficient oversight and governance to ensure their responsible use, the performance of our business, as well as our reputation could suffer or we could incur liability resulting from the violation of laws or contracts to which we are a party or civil claims. Further, there is a risk of system failures, disruptions or vulnerabilities compromising the confidentiality of personal data and intellectual property, or the integrity or availability of training content, input content and prompts, as well as generated content, including disinformation and deepfakes. Use of AI technologies could also expose us to intellectual property risks, such as allegations of infringement of third-party patents or copyrights, which could result in significant fees or damages. Our competitors or other third parties may incorporate AI into their products or services more quickly or more successfully than us, which could impair our ability to compete effectively. AI also presents emerging ethical issues, and if our use of AI becomes controversial, we may experience brand or reputational harm, competitive harm or legal liability. For example, with the increased use of AI and social media, adverse publicity, even if unfounded, can be disseminated quickly and broadly without context, making it increasingly difficult for us to effectively respond. The rapid evolution of AI, including existing and proposed government regulation, may require significant resources to develop, test and maintain our AI technologies and services to ensure compliance and minimize adverse impacts. Any limitations or failures relating to any of the foregoing could result in reputational damage, legal liabilities or loss of customer confidence. There can be no assurance that the usage of AI will enhance our strategies or initiatives.</w:t>
      </w:r>
    </w:p>
    <w:p>
      <w:pPr>
        <w:spacing w:after="0" w:line="250" w:lineRule="exact"/>
        <w:rPr>
          <w:sz w:val="20"/>
          <w:szCs w:val="20"/>
          <w:color w:val="auto"/>
        </w:rPr>
      </w:pPr>
    </w:p>
    <w:p>
      <w:pPr>
        <w:jc w:val="both"/>
        <w:ind w:left="260"/>
        <w:spacing w:after="0" w:line="262" w:lineRule="auto"/>
        <w:rPr>
          <w:sz w:val="20"/>
          <w:szCs w:val="20"/>
          <w:color w:val="auto"/>
        </w:rPr>
      </w:pPr>
      <w:r>
        <w:rPr>
          <w:rFonts w:ascii="Arial" w:cs="Arial" w:eastAsia="Arial" w:hAnsi="Arial"/>
          <w:sz w:val="20"/>
          <w:szCs w:val="20"/>
          <w:b w:val="1"/>
          <w:bCs w:val="1"/>
          <w:i w:val="1"/>
          <w:iCs w:val="1"/>
          <w:color w:val="00162F"/>
        </w:rPr>
        <w:t>Evolving data privacy requirements (in particular, compliance with applicable federal, state and foreign laws relating to handling of personal information about individuals) could increase our costs, and any significant cybersecurity incident could disrupt our operations, harm our reputation, expose us to legal risks and otherwise materially adversely affect our business, results of operations and financial condition.</w:t>
      </w:r>
    </w:p>
    <w:p>
      <w:pPr>
        <w:spacing w:after="0" w:line="34"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In the normal course of our business, we collect, process, use and disclose personal information about individuals and rely on third party service providers to host or otherwise process personal information. Many federal, state and foreign governmental bodies and agencies have adopted, or are considering adopting, laws and regulations that impose limits on the collection, processing, use, disclosure and security of personal information about individuals. In some cases, such laws and regulations can be enforced by private parties in addition to government entities. In addition, privacy advocacy and industry groups may propose new and different self-regulatory standards or guidance that may legally or contractually apply to us and our vendors. These non-uniform laws, regulations, standards and guidance are complex and currently evolving and can be subject to significant change and interpretation, and may be inconsistently applied and enforced from one jurisdiction to another.</w:t>
      </w:r>
    </w:p>
    <w:p>
      <w:pPr>
        <w:spacing w:after="0" w:line="143"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Our business requires the secure processing and storage of personal information relating to our customers, employees, business partners and others, and other data such as confidential information. However, like any global enterprise operating in today’s digital business environment, we and our third party service providers have experienced cybersecurity incidents and data breaches. We react and respond to these cybersecurity incidents in accordance with the applicable legal requirements, our own cybersecurity protocols, as well as our commercial partners’ standards (as appropriate), but we cannot ensure that our responses (or those of our partners and service providers) will be sufficient to prevent or mitigate the potential adverse impacts of these cybersecurity incidents, which may be material.</w:t>
      </w:r>
    </w:p>
    <w:p>
      <w:pPr>
        <w:spacing w:after="0" w:line="144"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There has been heightened legislative and regulatory focus on AI, data privacy and cybersecurity in the U.S., EU, U.K., China and elsewhere, particularly with respect to critical infrastructure providers, including those in the transportation sector. For example, in March 2024, the DOT launched a privacy review of the ten largest U.S. airlines’ collection, handling, maintenance and use of passengers’ personal information, indicating the DOT may seek to increase its regulation, investigation, and enforcement of airlines’ privacy practices, including ours. As a result, we must comply with a proliferating and fast-evolving set of legal requirements in this area, including substantive data privacy and cybersecurity standards as well as requirements for notifying regulators and affected individuals in the event of a cybersecurity incident. In addition, we are subject to an increasing number of reporting obligations in respect of certain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cybersecurity incident response and could potentially reveal system vulnerabilities to threat actors. Failure to timely report cybersecurity incidents under these rules could also result in regulatory investigations, litigation, monetary fines, sanctions, or subject us to other forms of liability.</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32</w:t>
      </w:r>
    </w:p>
    <w:p>
      <w:pPr>
        <w:sectPr>
          <w:pgSz w:w="11880" w:h="15480" w:orient="portrait"/>
          <w:cols w:equalWidth="0" w:num="1">
            <w:col w:w="10680"/>
          </w:cols>
          <w:pgMar w:left="600" w:top="992" w:right="600" w:bottom="0" w:gutter="0" w:footer="0" w:header="0"/>
          <w:type w:val="continuous"/>
        </w:sectPr>
      </w:pPr>
    </w:p>
    <w:bookmarkStart w:id="33" w:name="page34"/>
    <w:bookmarkEnd w:id="33"/>
    <w:p>
      <w:pPr>
        <w:jc w:val="both"/>
        <w:ind w:firstLine="267"/>
        <w:spacing w:after="0" w:line="264" w:lineRule="auto"/>
        <w:rPr>
          <w:sz w:val="20"/>
          <w:szCs w:val="20"/>
          <w:color w:val="auto"/>
        </w:rPr>
      </w:pPr>
      <w:r>
        <w:rPr>
          <w:rFonts w:ascii="Arial" w:cs="Arial" w:eastAsia="Arial" w:hAnsi="Arial"/>
          <w:sz w:val="19"/>
          <w:szCs w:val="19"/>
          <w:color w:val="00162F"/>
        </w:rPr>
        <w:t>Additionally, in 2024, the National Security Division of the Department of Justice (DOJ) issued a new rule, referred to as the “Data Security Program” (DSP), to implement Executive Order 14117 aimed at preventing access to “bulk U.S. sensitive personal data” and “government-related data” by “countries of concern” (including China, Russia, Iran, North Korea, Cuba, and Venezuela) and so-called “covered persons.” The DSP imposes stringent obligations on companies that engage in transactions with persons and companies with a connection to countries of concern including by prohibiting or restricting certain data transfers and data transactions.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certain security requirements and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spacing w:after="0" w:line="139"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Even though we believe we and our third-party service providers are generally in compliance with applicable laws, rules and regulations relating to AI, data privacy and security, the regulatory environment is increasingly challenging as AI, data privacy and cybersecurity laws, rules, regulations, industry standards and other requirements are continually developing. These changing requirements, along with their evolving application, interpretation, and amendment, may present material obligations and risks to our business, including significantly expanded compliance burdens, costs and enforcement risks.</w:t>
      </w:r>
    </w:p>
    <w:p>
      <w:pPr>
        <w:spacing w:after="0" w:line="143"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(the Payment Card Industry Data Security Standard (PCI DSS)). While we and our service providers continue our efforts to meet these standards, new and revised standards may be imposed that may be difficult for us to meet and could increase our costs, and if we are unable to comply with revised standards, we may be subject to fines, restrictions or other liability, which could materially and adversely affect our business. Moreover, it is not guaranteed that PCI DSS compliance will prevent illegal or improper use of our payment systems or the theft, loss or misuse of payment card data or transaction information.</w:t>
      </w:r>
    </w:p>
    <w:p>
      <w:pPr>
        <w:spacing w:after="0" w:line="147"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Litigation, claims and enforcement related to data privacy, biometrics and other provisions of state privacy laws may involve new interpretations of privacy laws. There has also been a noticeable increase in class actions in the U.S. wherein plaintiffs have utilized a variety of laws, including state wiretapping laws, in relation to companies’ use of tracking technologies, such as cookies and pixels. Compliance with these laws and regulations may be inconsistent from jurisdiction to jurisdiction, increasing the cost of compliance and our risk of liability from litigation. Any litigation, claims or enforcement actions to which we are or become a party could potentially result in substantial monetary damages or fines, and negative reputational impacts that cause us to lose existing or future customers, which could materially adversely affect our business, results of operations and financial condition.</w:t>
      </w:r>
    </w:p>
    <w:p>
      <w:pPr>
        <w:spacing w:after="0" w:line="237" w:lineRule="exact"/>
        <w:rPr>
          <w:sz w:val="20"/>
          <w:szCs w:val="20"/>
          <w:color w:val="auto"/>
        </w:rPr>
      </w:pPr>
    </w:p>
    <w:p>
      <w:pPr>
        <w:jc w:val="both"/>
        <w:ind w:left="260"/>
        <w:spacing w:after="0" w:line="269" w:lineRule="auto"/>
        <w:rPr>
          <w:sz w:val="20"/>
          <w:szCs w:val="20"/>
          <w:color w:val="auto"/>
        </w:rPr>
      </w:pPr>
      <w:r>
        <w:rPr>
          <w:rFonts w:ascii="Arial" w:cs="Arial" w:eastAsia="Arial" w:hAnsi="Arial"/>
          <w:sz w:val="20"/>
          <w:szCs w:val="20"/>
          <w:b w:val="1"/>
          <w:bCs w:val="1"/>
          <w:i w:val="1"/>
          <w:iCs w:val="1"/>
          <w:color w:val="00162F"/>
        </w:rPr>
        <w:t>We are exposed to risks from cyberattacks, and any cybersecurity incidents involving us, our third-party service providers, or one of our AAdvantage partners or other business partners, could materially adversely affect our business, results of operations and financial condition.</w:t>
      </w:r>
    </w:p>
    <w:p>
      <w:pPr>
        <w:spacing w:after="0" w:line="27"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9"/>
          <w:szCs w:val="19"/>
          <w:color w:val="00162F"/>
        </w:rPr>
        <w:t>Significant cybersecurity incidents involving us, our third-party service providers,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cyberattacks; a diminished ability to retain or attract new customers; a deterioration in our relationships with business partners and other third parties; interruptions or failures in our technology systems;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and there is a risk that our security measures will not be fully effective in the future.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ensures their ability to perform on a timely basis. A security failure, including a failure to meet data security requirements, breach or other significant cybersecurity incident affecting one of our partners,</w:t>
      </w:r>
    </w:p>
    <w:p>
      <w:pPr>
        <w:sectPr>
          <w:pgSz w:w="11880" w:h="15480" w:orient="portrait"/>
          <w:cols w:equalWidth="0" w:num="1">
            <w:col w:w="10680"/>
          </w:cols>
          <w:pgMar w:left="600" w:top="992" w:right="600" w:bottom="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33</w:t>
      </w:r>
    </w:p>
    <w:p>
      <w:pPr>
        <w:sectPr>
          <w:pgSz w:w="11880" w:h="15480" w:orient="portrait"/>
          <w:cols w:equalWidth="0" w:num="1">
            <w:col w:w="10680"/>
          </w:cols>
          <w:pgMar w:left="600" w:top="992" w:right="600" w:bottom="0" w:gutter="0" w:footer="0" w:header="0"/>
          <w:type w:val="continuous"/>
        </w:sectPr>
      </w:pPr>
    </w:p>
    <w:bookmarkStart w:id="34" w:name="page35"/>
    <w:bookmarkEnd w:id="34"/>
    <w:p>
      <w:pPr>
        <w:jc w:val="both"/>
        <w:spacing w:after="0" w:line="252" w:lineRule="auto"/>
        <w:rPr>
          <w:sz w:val="20"/>
          <w:szCs w:val="20"/>
          <w:color w:val="auto"/>
        </w:rPr>
      </w:pPr>
      <w:r>
        <w:rPr>
          <w:rFonts w:ascii="Arial" w:cs="Arial" w:eastAsia="Arial" w:hAnsi="Arial"/>
          <w:sz w:val="20"/>
          <w:szCs w:val="20"/>
          <w:color w:val="00162F"/>
        </w:rPr>
        <w:t>interruptions or failures in our technology systems, could result in potentially material negative consequences for us, including loss of critical data, service interruptions, delays in operations, and the potential for fines, restrictions and expulsion from credit card acceptance programs. In addition, we use third party service providers to help us deliver services to customers. These service providers may store personal information, credit card information and/or other confidential information. Such information has been and will be the target of unauthorized access or subject to security breaches because of third-party action, employee error, malfeasance or otherwise. Any of these could (a) result in the loss of information, litigation, indemnity obligations, expensive and inconsistent cybersecurity incident and data breach notification requirements, damage to our reputation, regulatory scrutiny, and other liability, or (b) have a material adverse effect on our business, financial condition and results of operations.</w:t>
      </w:r>
    </w:p>
    <w:p>
      <w:pPr>
        <w:spacing w:after="0" w:line="143"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The threat of cybersecurity incidents continues to increase as the frequency, intensity and sophistication of cyberattacks and intrusions increase around the world. The rapid evolution and increased adoption of AI and machine learning technologies may increase certain cybersecurity risks. To the extent AI and/or machine learning capabilities improve and are increasingly adopted, they may be used to identify vulnerabilities and craft increasingly sophisticated cybersecurity attacks. Vulnerabilities may be introduced from the use of AI and/or machine learning by us, our counterparties, vendors and other business partners and third-party providers.</w:t>
      </w:r>
    </w:p>
    <w:p>
      <w:pPr>
        <w:spacing w:after="0" w:line="143"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Diverse threat actors, such as state-sponsored organizations, opportunistic hackers and hacktivists, as well as diverse attack vectors such as social engineering/phishing, use of AI techniques such as deepfakes, malware (including ransomware), malfeasance by insiders, human or technological error, denial of service attacks or exploitation of vulnerabilities, threaten the confidentiality, integrity, and availability of our and our third party service providers’ and business partners’ information systems, personal information and confidential information. For example, starting in 2025, a sophisticated and well- known threat actor began targeting the aviation industry using social engineering tactics. Geopolitical issues also continue to increase our cybersecurity risk and potential for cybersecurity incidents, for example, the conflict involving Russia and Ukraine, which has resulted in a heightened risk of cyberattacks against companies like ours that have operations, vendors and/or supply chain providers located in or around the region of conflict or are otherwise related to the conflict. Despite ongoing efforts to maintain and improve the security of our information systems and digital information, individuals, including employees, contractors, and external threat actors, may be able to circumvent the security measures we put in place, and we may be unable to anticipate new techniques used for these attacks and intrusions, such as the use of AI applications, and implement adequate preventative measures. We, our business partners and service providers have been the target of cybersecurity attacks in the past and expect that we, our business and service partners, will continue to experience cybersecurity incidents in the future.</w:t>
      </w:r>
    </w:p>
    <w:p>
      <w:pPr>
        <w:spacing w:after="0" w:line="148" w:lineRule="exact"/>
        <w:rPr>
          <w:sz w:val="20"/>
          <w:szCs w:val="20"/>
          <w:color w:val="auto"/>
        </w:rPr>
      </w:pPr>
    </w:p>
    <w:p>
      <w:pPr>
        <w:jc w:val="both"/>
        <w:ind w:firstLine="267"/>
        <w:spacing w:after="0" w:line="249" w:lineRule="auto"/>
        <w:rPr>
          <w:sz w:val="20"/>
          <w:szCs w:val="20"/>
          <w:color w:val="auto"/>
        </w:rPr>
      </w:pPr>
      <w:r>
        <w:rPr>
          <w:rFonts w:ascii="Arial" w:cs="Arial" w:eastAsia="Arial" w:hAnsi="Arial"/>
          <w:sz w:val="20"/>
          <w:szCs w:val="20"/>
          <w:color w:val="00162F"/>
        </w:rPr>
        <w:t>The costs and operational consequences of defending against, preparing for, responding to and remediating a cybersecurity incident are substantial. As cybersecurity incidents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The airline industry, including other large airlines, have suffered a significant number of data privacy and cybersecurity incidents and these incidents have resulted in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information is secured, such as how personal information is collected, used for marketing purposes, and shared with third parties – including with our AAdvantage and other business partners – also may require changes to our processes and increase compliance costs. There is also an increased risk to our business in the event of a significant cybersecurity or data privacy violation, including additional compliance costs, reputational harm, disruption to the manner in which we provide our services, including the geographies we service, and being subject to complaints and/or regulatory investigations, significant monetary liability, fines, penalties, regulatory enforcement, individual or class action lawsuits, public criticism, loss of customers, loss of goodwill or other additional liabilities, such as claims by industry groups or other third parties. Accordingly, failure to appropriately address data privacy and cybersecurity issues could result in material financial and other liabilities and cause significant reputational harm to our company.</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34</w:t>
      </w:r>
    </w:p>
    <w:p>
      <w:pPr>
        <w:sectPr>
          <w:pgSz w:w="11880" w:h="15480" w:orient="portrait"/>
          <w:cols w:equalWidth="0" w:num="1">
            <w:col w:w="10680"/>
          </w:cols>
          <w:pgMar w:left="600" w:top="992" w:right="600" w:bottom="0" w:gutter="0" w:footer="0" w:header="0"/>
          <w:type w:val="continuous"/>
        </w:sectPr>
      </w:pPr>
    </w:p>
    <w:bookmarkStart w:id="35" w:name="page36"/>
    <w:bookmarkEnd w:id="35"/>
    <w:p>
      <w:pPr>
        <w:ind w:left="260"/>
        <w:spacing w:after="0" w:line="291" w:lineRule="auto"/>
        <w:rPr>
          <w:sz w:val="20"/>
          <w:szCs w:val="20"/>
          <w:color w:val="auto"/>
        </w:rPr>
      </w:pPr>
      <w:r>
        <w:rPr>
          <w:rFonts w:ascii="Arial" w:cs="Arial" w:eastAsia="Arial" w:hAnsi="Arial"/>
          <w:sz w:val="20"/>
          <w:szCs w:val="20"/>
          <w:b w:val="1"/>
          <w:bCs w:val="1"/>
          <w:i w:val="1"/>
          <w:iCs w:val="1"/>
          <w:color w:val="00162F"/>
        </w:rPr>
        <w:t>New U.S. and international tax legislation may adversely affect our financial condition, results of operations and cash flows.</w:t>
      </w:r>
    </w:p>
    <w:p>
      <w:pPr>
        <w:spacing w:after="0" w:line="5"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We are subject to taxation at the federal, state and local levels in the United States, as well as taxation in international jurisdictions in which we operate. New taxes, rates and charges may be imposed from time to time that significantly increase our costs, reduce revenues or otherwise negatively impact our results of operations. The U.S. Government may enact significant changes to the taxation of business entities. For example, on July 4, 2025, the “One, Big, Beautiful Bill Act” (OBBBA), was signed into law, permanently extending many of the business tax provisions originally introduced in the 2017 Tax Cuts and Jobs Act. If, in the future, any additional changes to tax laws are implemented or new regulations and other IRS guidance are issued impacting existing tax laws, such changes or new regulations may give rise to new costs or other issues that we did not foresee. We are currently unable to predict the ultimate impact of any such changes or new regulations may have on our business and therefore there can be no assurance our business will not be adversely affected.</w:t>
      </w:r>
    </w:p>
    <w:p>
      <w:pPr>
        <w:spacing w:after="0" w:line="148" w:lineRule="exact"/>
        <w:rPr>
          <w:sz w:val="20"/>
          <w:szCs w:val="20"/>
          <w:color w:val="auto"/>
        </w:rPr>
      </w:pPr>
    </w:p>
    <w:p>
      <w:pPr>
        <w:jc w:val="both"/>
        <w:ind w:firstLine="271"/>
        <w:spacing w:after="0" w:line="250" w:lineRule="auto"/>
        <w:rPr>
          <w:sz w:val="20"/>
          <w:szCs w:val="20"/>
          <w:color w:val="auto"/>
        </w:rPr>
      </w:pPr>
      <w:r>
        <w:rPr>
          <w:rFonts w:ascii="Arial" w:cs="Arial" w:eastAsia="Arial" w:hAnsi="Arial"/>
          <w:sz w:val="20"/>
          <w:szCs w:val="20"/>
          <w:color w:val="00162F"/>
        </w:rPr>
        <w:t>In recent years, numerous legislative, judicial and administrative changes have been made to international tax laws applicable to us and similar companies. The Organization for Economic Co-operation and Development (OECD) has issued numerous announcements regarding fundamental changes in allocation of profits among tax jurisdictions in which companies do business, as well as the implementation of a global minimum tax, referred to as the “Pillar One” and “Pillar Two” proposals. Many countries in which we operate have enacted or are in the process of enacting laws based on the Pillar Two proposal. On June 28, 2025, the G7 nations issued a statement indicating the G7’s commitment to a side-by-side system that would fully exclude U.S. parented groups from certain aspects of the Pillar Two framework in respect of both their domestic and foreign profits. On January 5, 2026, more than 145 countries in the OECD/G20 Inclusive Framework agreed to have U.S.-headquartered companies remain subject to only U.S. global minimum taxes while exempting them from Pillar Two. This side-by-side agreement recognizes the tax sovereignty of the United States over the worldwide operations of U.S. companies and the tax sovereignty of other countries over business activity within their own borders. However, the precise contours of this side-by-side agreement as well as the details about its implementation by specific jurisdictions are uncertain. Therefore, even with this agreement, our effective tax rate and cash tax payments could increase in future years from efforts related to a global minimum tax.</w:t>
      </w:r>
    </w:p>
    <w:p>
      <w:pPr>
        <w:spacing w:after="0" w:line="240" w:lineRule="exact"/>
        <w:rPr>
          <w:sz w:val="20"/>
          <w:szCs w:val="20"/>
          <w:color w:val="auto"/>
        </w:rPr>
      </w:pPr>
    </w:p>
    <w:p>
      <w:pPr>
        <w:jc w:val="both"/>
        <w:ind w:left="260"/>
        <w:spacing w:after="0" w:line="269" w:lineRule="auto"/>
        <w:rPr>
          <w:sz w:val="20"/>
          <w:szCs w:val="20"/>
          <w:color w:val="auto"/>
        </w:rPr>
      </w:pPr>
      <w:r>
        <w:rPr>
          <w:rFonts w:ascii="Arial" w:cs="Arial" w:eastAsia="Arial" w:hAnsi="Arial"/>
          <w:sz w:val="20"/>
          <w:szCs w:val="20"/>
          <w:b w:val="1"/>
          <w:bCs w:val="1"/>
          <w:i w:val="1"/>
          <w:iCs w:val="1"/>
          <w:color w:val="00162F"/>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27"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39"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Future impairment of goodwill, intangible assets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We can provide no assurance that a material impairment loss of tangible or intangible assets will not occur in a future period; for example, we have previously incurred significant impairment charges associated with our decision to retire certain aircraft as a result of the severe decline in demand for air travel due to the COVID-19 pandemic, and the risk of future material impairments remains uncertain. Such impairment charges could have a material adverse effect on our business, results of operations and financial condition.</w:t>
      </w:r>
    </w:p>
    <w:p>
      <w:pPr>
        <w:spacing w:after="0" w:line="236"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The commercial relationships that we have with other companies, including any related equity investments, may not produce the returns or results we expect.</w:t>
      </w:r>
    </w:p>
    <w:p>
      <w:pPr>
        <w:spacing w:after="0" w:line="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An important part of our strategy to expand our network has been to initiate or expand our commercial relationships with other airlines, such as by entering into global alliance, joint business and codeshare relationships, and, in certain instances, including China Southern Airlines, GOL and JetSMART, by agreeing to make an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w:t>
      </w:r>
    </w:p>
    <w:p>
      <w:pPr>
        <w:sectPr>
          <w:pgSz w:w="11880" w:h="15480" w:orient="portrait"/>
          <w:cols w:equalWidth="0" w:num="1">
            <w:col w:w="10680"/>
          </w:cols>
          <w:pgMar w:left="600" w:top="994" w:right="600" w:bottom="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35</w:t>
      </w:r>
    </w:p>
    <w:p>
      <w:pPr>
        <w:sectPr>
          <w:pgSz w:w="11880" w:h="15480" w:orient="portrait"/>
          <w:cols w:equalWidth="0" w:num="1">
            <w:col w:w="10680"/>
          </w:cols>
          <w:pgMar w:left="600" w:top="994" w:right="600" w:bottom="0" w:gutter="0" w:footer="0" w:header="0"/>
          <w:type w:val="continuous"/>
        </w:sectPr>
      </w:pPr>
    </w:p>
    <w:bookmarkStart w:id="36" w:name="page37"/>
    <w:bookmarkEnd w:id="36"/>
    <w:p>
      <w:pPr>
        <w:jc w:val="both"/>
        <w:spacing w:after="0" w:line="250" w:lineRule="auto"/>
        <w:rPr>
          <w:sz w:val="20"/>
          <w:szCs w:val="20"/>
          <w:color w:val="auto"/>
        </w:rPr>
      </w:pPr>
      <w:r>
        <w:rPr>
          <w:rFonts w:ascii="Arial" w:cs="Arial" w:eastAsia="Arial" w:hAnsi="Arial"/>
          <w:sz w:val="20"/>
          <w:szCs w:val="20"/>
          <w:color w:val="00162F"/>
        </w:rPr>
        <w:t>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if any,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volatility in demand for air travel, could materially disrupt our partners’ abilities to provide air service, the timely execution of our strategic operating plans, including the finalization, approval and implementation of new strategic relationships or the maintenance or expansion of existing relationships. For example, in August 2025, the U.S. Federal Bankruptcy Court for the Southern District of New York approved GOL’s plan of reorganization, and as a result, we have lost substantially all of the value of our equity investment in GOL. If any other carriers with which we partner or in which we hold an equity stake were to cease trading or be declared insolvent, we could lose the value of any such investment or experience significant operational disruption. These events could have a material adverse effect on our business, results of operations and financial condition.</w:t>
      </w:r>
    </w:p>
    <w:p>
      <w:pPr>
        <w:spacing w:after="0" w:line="148"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We may also from time-to-time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spacing w:after="0" w:line="226" w:lineRule="exact"/>
        <w:rPr>
          <w:sz w:val="20"/>
          <w:szCs w:val="20"/>
          <w:color w:val="auto"/>
        </w:rPr>
      </w:pPr>
    </w:p>
    <w:p>
      <w:pPr>
        <w:jc w:val="both"/>
        <w:ind w:left="260"/>
        <w:spacing w:after="0" w:line="269" w:lineRule="auto"/>
        <w:rPr>
          <w:sz w:val="20"/>
          <w:szCs w:val="20"/>
          <w:color w:val="auto"/>
        </w:rPr>
      </w:pPr>
      <w:r>
        <w:rPr>
          <w:rFonts w:ascii="Arial" w:cs="Arial" w:eastAsia="Arial" w:hAnsi="Arial"/>
          <w:sz w:val="20"/>
          <w:szCs w:val="20"/>
          <w:b w:val="1"/>
          <w:bCs w:val="1"/>
          <w:i w:val="1"/>
          <w:iCs w:val="1"/>
          <w:color w:val="00162F"/>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7"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$1.83 per gallon to a high of approximately $3.82 per gallon during the period from January 1, 2023 to December 31, 2025. Aircraft fuel prices reflect not only the price of underlying crude oil, but also the price charged to refine crude oil into aircraft fuel (often referred to as the “crack spread”), transportation costs, handling costs and taxes, and increases in any of these underlying components would increase the price we ultimately pay for aircraft fuel.</w:t>
      </w:r>
    </w:p>
    <w:p>
      <w:pPr>
        <w:spacing w:after="0" w:line="147"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Because of the very large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43"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We cannot predict the future availability, price volatility or cost of aircraft fuel, weather-related events, natural disasters (including hurricanes or similar events in the U.S. Southeast and on the Gulf Coast where a significant portion of domestic refining capacity is located), terrorism, political disruptions, disputes, or armed conflicts involving oil-producing countries or impacting global trade routes, changes in production levels of individual nations or associations of oil-producing states, economic sanctions imposed against oil-producing countries or specific industry participants, changes in fuel-related governmental policy, the strength of the U.S. dollar against foreign currencies, changes in the cost to refine, transport or store petroleum products and any related staffing or transportation equipment shortages, changes in access to petroleum product pipelines and terminals, speculation in the energy futures markets, changes in aircraft fuel production capacity, unplanned interruptions or disruption of production at refineries, environmental concerns and other unpredictable events, may result in fuel supply shortages, variations in the applicable crack spread, distribution challenges, additional fuel price volatility and cost increases in the future.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 Additionally, because passengers often purchase tickets well in advance of their travel, a significant rapid increase in fuel price may result in the fare charged not covering that increase. At times in the past, we were not able to increase our fares to offset fully the effect of increases in fuel costs, and we may not be able to do so in the future.</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36</w:t>
      </w:r>
    </w:p>
    <w:p>
      <w:pPr>
        <w:sectPr>
          <w:pgSz w:w="11880" w:h="15480" w:orient="portrait"/>
          <w:cols w:equalWidth="0" w:num="1">
            <w:col w:w="10680"/>
          </w:cols>
          <w:pgMar w:left="600" w:top="992" w:right="600" w:bottom="0" w:gutter="0" w:footer="0" w:header="0"/>
          <w:type w:val="continuous"/>
        </w:sectPr>
      </w:pPr>
    </w:p>
    <w:bookmarkStart w:id="37" w:name="page38"/>
    <w:bookmarkEnd w:id="37"/>
    <w:p>
      <w:pPr>
        <w:jc w:val="both"/>
        <w:ind w:right="20" w:firstLine="267"/>
        <w:spacing w:after="0" w:line="254" w:lineRule="auto"/>
        <w:rPr>
          <w:sz w:val="20"/>
          <w:szCs w:val="20"/>
          <w:color w:val="auto"/>
        </w:rPr>
      </w:pPr>
      <w:r>
        <w:rPr>
          <w:rFonts w:ascii="Arial" w:cs="Arial" w:eastAsia="Arial" w:hAnsi="Arial"/>
          <w:sz w:val="20"/>
          <w:szCs w:val="20"/>
          <w:color w:val="00162F"/>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December 31, 2025,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II, Item 7A. Quantitative and Qualitative Disclosures About Market Risk – </w:t>
      </w:r>
      <w:r>
        <w:rPr>
          <w:rFonts w:ascii="Arial" w:cs="Arial" w:eastAsia="Arial" w:hAnsi="Arial"/>
          <w:sz w:val="20"/>
          <w:szCs w:val="20"/>
          <w:i w:val="1"/>
          <w:iCs w:val="1"/>
          <w:color w:val="00162F"/>
        </w:rPr>
        <w:t>“Aircraft Fuel.”</w:t>
      </w:r>
    </w:p>
    <w:p>
      <w:pPr>
        <w:spacing w:after="0" w:line="143" w:lineRule="exact"/>
        <w:rPr>
          <w:sz w:val="20"/>
          <w:szCs w:val="20"/>
          <w:color w:val="auto"/>
        </w:rPr>
      </w:pPr>
    </w:p>
    <w:p>
      <w:pPr>
        <w:jc w:val="both"/>
        <w:ind w:right="20" w:firstLine="267"/>
        <w:spacing w:after="0" w:line="251" w:lineRule="auto"/>
        <w:rPr>
          <w:sz w:val="20"/>
          <w:szCs w:val="20"/>
          <w:color w:val="auto"/>
        </w:rPr>
      </w:pPr>
      <w:r>
        <w:rPr>
          <w:rFonts w:ascii="Arial" w:cs="Arial" w:eastAsia="Arial" w:hAnsi="Arial"/>
          <w:sz w:val="20"/>
          <w:szCs w:val="20"/>
          <w:color w:val="00162F"/>
        </w:rPr>
        <w:t>In addition, as part of our emissions reduction goals, we and other airlines have publicly announced long-term targets for the increased use of SAF in our operation. Currently, industrial production of SAF is small in scale and inadequate to meet growing industry demand, and while additional production capacity is expected to become operational in the coming years, we anticipate that competition for SAF among industry participants will remain intense. As a result, SAF may be significantly more costly than conventional jet fuel. To secure future SAF supply, we have entered into multiple agreements for the purchase of future SAF production, and we continue to engage with producers regarding potential future SAF purchases, which may include investments and other commitments to support these producers. Certain existing or potential future agreements pertain to SAF production from facilities that are planned but not yet financed,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233" w:lineRule="exact"/>
        <w:rPr>
          <w:sz w:val="20"/>
          <w:szCs w:val="20"/>
          <w:color w:val="auto"/>
        </w:rPr>
      </w:pPr>
    </w:p>
    <w:p>
      <w:pPr>
        <w:jc w:val="both"/>
        <w:ind w:left="260" w:right="20"/>
        <w:spacing w:after="0" w:line="269" w:lineRule="auto"/>
        <w:rPr>
          <w:sz w:val="20"/>
          <w:szCs w:val="20"/>
          <w:color w:val="auto"/>
        </w:rPr>
      </w:pPr>
      <w:r>
        <w:rPr>
          <w:rFonts w:ascii="Arial" w:cs="Arial" w:eastAsia="Arial" w:hAnsi="Arial"/>
          <w:sz w:val="20"/>
          <w:szCs w:val="20"/>
          <w:b w:val="1"/>
          <w:bCs w:val="1"/>
          <w:i w:val="1"/>
          <w:iCs w:val="1"/>
          <w:color w:val="00162F"/>
        </w:rPr>
        <w:t>Our business is subject to extensive government regulation, which may increase our costs, disrupt our operations, limit our operating flexibility, reduce the demand for air travel, and create competitive disadvantages.</w:t>
      </w:r>
    </w:p>
    <w:p>
      <w:pPr>
        <w:spacing w:after="0" w:line="27" w:lineRule="exact"/>
        <w:rPr>
          <w:sz w:val="20"/>
          <w:szCs w:val="20"/>
          <w:color w:val="auto"/>
        </w:rPr>
      </w:pPr>
    </w:p>
    <w:p>
      <w:pPr>
        <w:jc w:val="both"/>
        <w:ind w:right="20" w:firstLine="267"/>
        <w:spacing w:after="0" w:line="254" w:lineRule="auto"/>
        <w:rPr>
          <w:sz w:val="20"/>
          <w:szCs w:val="20"/>
          <w:color w:val="auto"/>
        </w:rPr>
      </w:pPr>
      <w:r>
        <w:rPr>
          <w:rFonts w:ascii="Arial" w:cs="Arial" w:eastAsia="Arial" w:hAnsi="Arial"/>
          <w:sz w:val="20"/>
          <w:szCs w:val="20"/>
          <w:color w:val="00162F"/>
        </w:rPr>
        <w:t>Airlines are subject to extensive domestic and international regulatory requirements. In the last several years, the U.S. executive branch, Congress and state and local and foreign governments have issued orders, passed laws, and launched regulatory initiatives, and federal agencies, including but not limited to the DOT, the FAA, the TSA, the Centers for Disease Control, the DOJ, and their respective international counterparts have issued regulations and a number of other directives that affect the airline industry. These requirements impose substantial costs on us and restrict the ways we may conduct our business.</w:t>
      </w:r>
    </w:p>
    <w:p>
      <w:pPr>
        <w:spacing w:after="0" w:line="143" w:lineRule="exact"/>
        <w:rPr>
          <w:sz w:val="20"/>
          <w:szCs w:val="20"/>
          <w:color w:val="auto"/>
        </w:rPr>
      </w:pPr>
    </w:p>
    <w:p>
      <w:pPr>
        <w:jc w:val="both"/>
        <w:ind w:right="20" w:firstLine="267"/>
        <w:spacing w:after="0" w:line="249" w:lineRule="auto"/>
        <w:rPr>
          <w:sz w:val="20"/>
          <w:szCs w:val="20"/>
          <w:color w:val="auto"/>
        </w:rPr>
      </w:pPr>
      <w:r>
        <w:rPr>
          <w:rFonts w:ascii="Arial" w:cs="Arial" w:eastAsia="Arial" w:hAnsi="Arial"/>
          <w:sz w:val="20"/>
          <w:szCs w:val="20"/>
          <w:color w:val="00162F"/>
        </w:rPr>
        <w:t>For example, the FAA from time-to-time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or prolonged grounding of aircraft or engine types altogether including, for example, the March 2019 grounding of all Boeing 737 MAX Family aircraft, which was not lifted in the United States until November 2020, the January 2024 grounding of 737-9 MAX aircraft (a model we do not operate), and the significant limitations imposed on the use of Pratt &amp; Whitney GTF aircraft engines on certain Airbus aircraft (an engine we do not use in our fleet), or otherwise caused substantial disruption and resulted in material costs to us and lost revenues. In 2023, the telecom industry rolled out 5G technology, and concerns were raised by the FAA regarding its possible interference with aircraft navigation systems, which resulted in regulatory uncertainty and the potential for operational impacts, including possible suspension of service to certain airports or the operation of certain aircraft. Although the issue was resolved through an agreement between the FAA, the FCC, and telecommunications industry, that agreement expires in 2028 and will need to be extended or modified. Additionally, the passage of OBBBA included the requirement for the FCC to auction additional spectrum, which could lead to new impacts on aviation. See “</w:t>
      </w:r>
      <w:r>
        <w:rPr>
          <w:rFonts w:ascii="Arial" w:cs="Arial" w:eastAsia="Arial" w:hAnsi="Arial"/>
          <w:sz w:val="20"/>
          <w:szCs w:val="20"/>
          <w:i w:val="1"/>
          <w:iCs w:val="1"/>
          <w:color w:val="00162F"/>
        </w:rPr>
        <w:t>We rely heavily on technology and automated</w:t>
      </w:r>
      <w:r>
        <w:rPr>
          <w:rFonts w:ascii="Arial" w:cs="Arial" w:eastAsia="Arial" w:hAnsi="Arial"/>
          <w:sz w:val="20"/>
          <w:szCs w:val="20"/>
          <w:color w:val="00162F"/>
        </w:rPr>
        <w:t xml:space="preserve"> </w:t>
      </w:r>
      <w:r>
        <w:rPr>
          <w:rFonts w:ascii="Arial" w:cs="Arial" w:eastAsia="Arial" w:hAnsi="Arial"/>
          <w:sz w:val="20"/>
          <w:szCs w:val="20"/>
          <w:i w:val="1"/>
          <w:iCs w:val="1"/>
          <w:color w:val="00162F"/>
        </w:rPr>
        <w:t xml:space="preserve">systems, including AI, to operate our business and any failure of these technologies or systems could harm our business, results of operations and financial condition.” </w:t>
      </w:r>
      <w:r>
        <w:rPr>
          <w:rFonts w:ascii="Arial" w:cs="Arial" w:eastAsia="Arial" w:hAnsi="Arial"/>
          <w:sz w:val="20"/>
          <w:szCs w:val="20"/>
          <w:color w:val="00162F"/>
        </w:rPr>
        <w:t>The FAA also exercises comprehensive regulatory authority over nearly all</w:t>
      </w:r>
      <w:r>
        <w:rPr>
          <w:rFonts w:ascii="Arial" w:cs="Arial" w:eastAsia="Arial" w:hAnsi="Arial"/>
          <w:sz w:val="20"/>
          <w:szCs w:val="20"/>
          <w:i w:val="1"/>
          <w:iCs w:val="1"/>
          <w:color w:val="00162F"/>
        </w:rPr>
        <w:t xml:space="preserve"> </w:t>
      </w:r>
      <w:r>
        <w:rPr>
          <w:rFonts w:ascii="Arial" w:cs="Arial" w:eastAsia="Arial" w:hAnsi="Arial"/>
          <w:sz w:val="20"/>
          <w:szCs w:val="20"/>
          <w:color w:val="00162F"/>
        </w:rPr>
        <w:t>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57" w:lineRule="exact"/>
        <w:rPr>
          <w:sz w:val="20"/>
          <w:szCs w:val="20"/>
          <w:color w:val="auto"/>
        </w:rPr>
      </w:pPr>
    </w:p>
    <w:p>
      <w:pPr>
        <w:jc w:val="both"/>
        <w:ind w:firstLine="267"/>
        <w:spacing w:after="0" w:line="269" w:lineRule="auto"/>
        <w:rPr>
          <w:sz w:val="20"/>
          <w:szCs w:val="20"/>
          <w:color w:val="auto"/>
        </w:rPr>
      </w:pPr>
      <w:r>
        <w:rPr>
          <w:rFonts w:ascii="Arial" w:cs="Arial" w:eastAsia="Arial" w:hAnsi="Arial"/>
          <w:sz w:val="19"/>
          <w:szCs w:val="19"/>
          <w:color w:val="00162F"/>
        </w:rPr>
        <w:t>In May 2024, Congress passed a five-year funding authorization for the FAA (FAA Authorization Renewal). Among other things, the FAA Authorization Renewal increased the authorized funding level for the FAA and required the hiring of additional air traffic controllers, an effort to address staffing and resource shortages and improve the operation of the ATC system in the U.S. The FAA Authorization Renewal also codified several consumer protection rulemakings that could be challenging to implement and have negative financial impacts. Any new or enhanced requirements resulting from the FAA Authorization Renewal, including any new fees, costs we may be required to incur to comply with new rules and compensation or other penalties we may be required to pay for violations of such rules, have the potential to increase our</w:t>
      </w:r>
    </w:p>
    <w:p>
      <w:pPr>
        <w:sectPr>
          <w:pgSz w:w="11880" w:h="15480" w:orient="portrait"/>
          <w:cols w:equalWidth="0" w:num="1">
            <w:col w:w="10700"/>
          </w:cols>
          <w:pgMar w:left="600" w:top="992" w:right="580"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37</w:t>
      </w:r>
    </w:p>
    <w:p>
      <w:pPr>
        <w:sectPr>
          <w:pgSz w:w="11880" w:h="15480" w:orient="portrait"/>
          <w:cols w:equalWidth="0" w:num="1">
            <w:col w:w="10700"/>
          </w:cols>
          <w:pgMar w:left="600" w:top="992" w:right="580" w:bottom="0" w:gutter="0" w:footer="0" w:header="0"/>
          <w:type w:val="continuous"/>
        </w:sectPr>
      </w:pPr>
    </w:p>
    <w:bookmarkStart w:id="38" w:name="page39"/>
    <w:bookmarkEnd w:id="38"/>
    <w:p>
      <w:pPr>
        <w:jc w:val="both"/>
        <w:spacing w:after="0" w:line="259" w:lineRule="auto"/>
        <w:rPr>
          <w:sz w:val="20"/>
          <w:szCs w:val="20"/>
          <w:color w:val="auto"/>
        </w:rPr>
      </w:pPr>
      <w:r>
        <w:rPr>
          <w:rFonts w:ascii="Arial" w:cs="Arial" w:eastAsia="Arial" w:hAnsi="Arial"/>
          <w:sz w:val="20"/>
          <w:szCs w:val="20"/>
          <w:color w:val="00162F"/>
        </w:rPr>
        <w:t>costs or adversely impact our operation. The OBBBA included $12.5 billion in additional funding for ATC infrastructure and modernization. While this recent law and new funding should lead to ATC improvements, there is uncertainty on how and when the funding will be spent and if there will be any operational impacts as certain systems and infrastructure are modernized.</w:t>
      </w:r>
    </w:p>
    <w:p>
      <w:pPr>
        <w:spacing w:after="0" w:line="136"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 xml:space="preserve">DOT consumer rules, and rules promulgated by certain comparable agencies in other countries we serve, dictate procedures for many aspects of our customer’s journey, including at the time of ticket purchase, at the airport and onboard the aircraft. For example, in April 2024, the DOT issued a final rule mandating refunds in certain circumstances (refund rule), and a final rule requiring disclosure of certain ancillary fees by air carriers and travel agents (ancillary fee rule). Also in December 2024, the DOT published a final rule on “Ensuring Safe Accommodations for Air Travelers with Disabilities Using Wheelchairs” which sets new standards for assistance, mandates hands-on training for airline employees and contractors who physically assist passengers with disabilities and handle passengers’ wheelchairs, and specifies actions that airlines must take to protect passengers when a wheelchair is damaged or delayed during transport. Individual requirements in the final rule have varying implementation timelines, ranging from January 16, 2025 (the effective date of the final rule) to June 17, 2026 (wheelchair rule). On September 4, 2025, the Trump Administration released its Unified Agenda of Regulatory and Deregulatory Actions, outlining planned priorities, timelines, and policy directions across federal agencies. The agenda signals DOT’s intent to roll back existing regulations, including the refund rule, ancillary fee rule, compensation rule, and wheelchair rule. DOT has already begun taking action, such as rescinding an Advance Notice of Proposed Rulemaking titled </w:t>
      </w:r>
      <w:r>
        <w:rPr>
          <w:rFonts w:ascii="Arial" w:cs="Arial" w:eastAsia="Arial" w:hAnsi="Arial"/>
          <w:sz w:val="20"/>
          <w:szCs w:val="20"/>
          <w:i w:val="1"/>
          <w:iCs w:val="1"/>
          <w:color w:val="00162F"/>
        </w:rPr>
        <w:t>“Airline Passenger Rights,”</w:t>
      </w:r>
      <w:r>
        <w:rPr>
          <w:rFonts w:ascii="Arial" w:cs="Arial" w:eastAsia="Arial" w:hAnsi="Arial"/>
          <w:sz w:val="20"/>
          <w:szCs w:val="20"/>
          <w:color w:val="00162F"/>
        </w:rPr>
        <w:t xml:space="preserve"> which sought comments on requiring airlines to provide cash compensation, free rebooking, meal coverage, and overnight lodging with related transportation when disruptions are airline-caused.</w:t>
      </w:r>
    </w:p>
    <w:p>
      <w:pPr>
        <w:spacing w:after="0" w:line="146"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may impose costs and inconvenience on travelers, potentially reducing the demand for air travel.</w:t>
      </w:r>
    </w:p>
    <w:p>
      <w:pPr>
        <w:spacing w:after="0" w:line="136" w:lineRule="exact"/>
        <w:rPr>
          <w:sz w:val="20"/>
          <w:szCs w:val="20"/>
          <w:color w:val="auto"/>
        </w:rPr>
      </w:pPr>
    </w:p>
    <w:p>
      <w:pPr>
        <w:jc w:val="both"/>
        <w:ind w:firstLine="267"/>
        <w:spacing w:after="0" w:line="266" w:lineRule="auto"/>
        <w:rPr>
          <w:sz w:val="20"/>
          <w:szCs w:val="20"/>
          <w:color w:val="auto"/>
        </w:rPr>
      </w:pPr>
      <w:r>
        <w:rPr>
          <w:rFonts w:ascii="Arial" w:cs="Arial" w:eastAsia="Arial" w:hAnsi="Arial"/>
          <w:sz w:val="19"/>
          <w:szCs w:val="19"/>
          <w:color w:val="00162F"/>
        </w:rPr>
        <w:t>Similarly, there are a number of legislative and regulatory initiatives and reforms at the state and local levels in the U.S. that may affect airlines. These initiatives include increasingly stringent laws to protect the environment, wage/hour requirements, mandatory paid sick or family leave and healthcare mandates. These laws could affect our relationship with our workforce and the vendors that serve our airline and cause our expenses to increase without an ability to pass through these costs. In recent years, the airline industry has experienced an increase in litigation over the scope of the application of state and local employment laws to the airline industry. Application of these laws may result in operational disruption, increased litigation risk and impact our negotiated labor agreements. For example, we are currently involved in legal proceedings in California and other states concerning alleged violations of state labor laws including, among other things, overtime pay and violations of certain meal and rest break laws, and an adverse determination in any of these cases could adversely impact our operational flexibility and result in damages and fines, which could potentially be significant.</w:t>
      </w:r>
    </w:p>
    <w:p>
      <w:pPr>
        <w:spacing w:after="0" w:line="132"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results of our operations, demand for air travel and the manner in which we conduct business each may be affected by changes in law and future actions taken by governmental agencies, including:</w:t>
      </w:r>
    </w:p>
    <w:p>
      <w:pPr>
        <w:spacing w:after="0" w:line="113" w:lineRule="exact"/>
        <w:rPr>
          <w:sz w:val="20"/>
          <w:szCs w:val="20"/>
          <w:color w:val="auto"/>
        </w:rPr>
      </w:pPr>
    </w:p>
    <w:p>
      <w:pPr>
        <w:ind w:left="700" w:hanging="349"/>
        <w:spacing w:after="0" w:line="282" w:lineRule="auto"/>
        <w:tabs>
          <w:tab w:leader="none" w:pos="700" w:val="left"/>
        </w:tabs>
        <w:numPr>
          <w:ilvl w:val="0"/>
          <w:numId w:val="17"/>
        </w:numPr>
        <w:rPr>
          <w:rFonts w:ascii="Arial" w:cs="Arial" w:eastAsia="Arial" w:hAnsi="Arial"/>
          <w:sz w:val="20"/>
          <w:szCs w:val="20"/>
          <w:color w:val="00162F"/>
        </w:rPr>
      </w:pPr>
      <w:r>
        <w:rPr>
          <w:rFonts w:ascii="Arial" w:cs="Arial" w:eastAsia="Arial" w:hAnsi="Arial"/>
          <w:sz w:val="20"/>
          <w:szCs w:val="20"/>
          <w:color w:val="00162F"/>
        </w:rPr>
        <w:t>changes in law that affect the services that airlines can offer in particular markets and at particular airports, or the types of fares offered or fees that can be charged to passengers;</w:t>
      </w:r>
    </w:p>
    <w:p>
      <w:pPr>
        <w:spacing w:after="0" w:line="112" w:lineRule="exact"/>
        <w:rPr>
          <w:rFonts w:ascii="Arial" w:cs="Arial" w:eastAsia="Arial" w:hAnsi="Arial"/>
          <w:sz w:val="20"/>
          <w:szCs w:val="20"/>
          <w:color w:val="00162F"/>
        </w:rPr>
      </w:pPr>
    </w:p>
    <w:p>
      <w:pPr>
        <w:jc w:val="both"/>
        <w:ind w:left="700" w:hanging="349"/>
        <w:spacing w:after="0" w:line="265" w:lineRule="auto"/>
        <w:tabs>
          <w:tab w:leader="none" w:pos="700" w:val="left"/>
        </w:tabs>
        <w:numPr>
          <w:ilvl w:val="0"/>
          <w:numId w:val="17"/>
        </w:numPr>
        <w:rPr>
          <w:rFonts w:ascii="Arial" w:cs="Arial" w:eastAsia="Arial" w:hAnsi="Arial"/>
          <w:sz w:val="20"/>
          <w:szCs w:val="20"/>
          <w:color w:val="00162F"/>
        </w:rPr>
      </w:pPr>
      <w:r>
        <w:rPr>
          <w:rFonts w:ascii="Arial" w:cs="Arial" w:eastAsia="Arial" w:hAnsi="Arial"/>
          <w:sz w:val="20"/>
          <w:szCs w:val="20"/>
          <w:color w:val="00162F"/>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w:t>
      </w:r>
    </w:p>
    <w:p>
      <w:pPr>
        <w:spacing w:after="0" w:line="129"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7"/>
        </w:numPr>
        <w:rPr>
          <w:rFonts w:ascii="Arial" w:cs="Arial" w:eastAsia="Arial" w:hAnsi="Arial"/>
          <w:sz w:val="20"/>
          <w:szCs w:val="20"/>
          <w:color w:val="00162F"/>
        </w:rPr>
      </w:pPr>
      <w:r>
        <w:rPr>
          <w:rFonts w:ascii="Arial" w:cs="Arial" w:eastAsia="Arial" w:hAnsi="Arial"/>
          <w:sz w:val="20"/>
          <w:szCs w:val="20"/>
          <w:color w:val="00162F"/>
        </w:rPr>
        <w:t>restrictions on competitive practices (for example, court orders, or agency regulations or orders, that would curtail an airline’s ability to respond to a competitor);</w:t>
      </w:r>
    </w:p>
    <w:p>
      <w:pPr>
        <w:spacing w:after="0" w:line="112" w:lineRule="exact"/>
        <w:rPr>
          <w:rFonts w:ascii="Arial" w:cs="Arial" w:eastAsia="Arial" w:hAnsi="Arial"/>
          <w:sz w:val="20"/>
          <w:szCs w:val="20"/>
          <w:color w:val="00162F"/>
        </w:rPr>
      </w:pPr>
    </w:p>
    <w:p>
      <w:pPr>
        <w:ind w:left="700" w:hanging="349"/>
        <w:spacing w:after="0"/>
        <w:tabs>
          <w:tab w:leader="none" w:pos="700" w:val="left"/>
        </w:tabs>
        <w:numPr>
          <w:ilvl w:val="0"/>
          <w:numId w:val="17"/>
        </w:numPr>
        <w:rPr>
          <w:rFonts w:ascii="Arial" w:cs="Arial" w:eastAsia="Arial" w:hAnsi="Arial"/>
          <w:sz w:val="20"/>
          <w:szCs w:val="20"/>
          <w:color w:val="00162F"/>
        </w:rPr>
      </w:pPr>
      <w:r>
        <w:rPr>
          <w:rFonts w:ascii="Arial" w:cs="Arial" w:eastAsia="Arial" w:hAnsi="Arial"/>
          <w:sz w:val="20"/>
          <w:szCs w:val="20"/>
          <w:color w:val="00162F"/>
        </w:rPr>
        <w:t>the adoption of new passenger security standards or regulations that impact customer service standards;</w:t>
      </w:r>
    </w:p>
    <w:p>
      <w:pPr>
        <w:spacing w:after="0" w:line="185"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7"/>
        </w:numPr>
        <w:rPr>
          <w:rFonts w:ascii="Arial" w:cs="Arial" w:eastAsia="Arial" w:hAnsi="Arial"/>
          <w:sz w:val="20"/>
          <w:szCs w:val="20"/>
          <w:color w:val="00162F"/>
        </w:rPr>
      </w:pPr>
      <w:r>
        <w:rPr>
          <w:rFonts w:ascii="Arial" w:cs="Arial" w:eastAsia="Arial" w:hAnsi="Arial"/>
          <w:sz w:val="20"/>
          <w:szCs w:val="20"/>
          <w:color w:val="00162F"/>
        </w:rPr>
        <w:t>restrictions on airport operations, such as restrictions on the use of slots at airports or the auction or reallocation of slot rights we currently hold;</w:t>
      </w:r>
    </w:p>
    <w:p>
      <w:pPr>
        <w:spacing w:after="0" w:line="112" w:lineRule="exact"/>
        <w:rPr>
          <w:rFonts w:ascii="Arial" w:cs="Arial" w:eastAsia="Arial" w:hAnsi="Arial"/>
          <w:sz w:val="20"/>
          <w:szCs w:val="20"/>
          <w:color w:val="00162F"/>
        </w:rPr>
      </w:pPr>
    </w:p>
    <w:p>
      <w:pPr>
        <w:ind w:left="700" w:hanging="349"/>
        <w:spacing w:after="0"/>
        <w:tabs>
          <w:tab w:leader="none" w:pos="700" w:val="left"/>
        </w:tabs>
        <w:numPr>
          <w:ilvl w:val="0"/>
          <w:numId w:val="17"/>
        </w:numPr>
        <w:rPr>
          <w:rFonts w:ascii="Arial" w:cs="Arial" w:eastAsia="Arial" w:hAnsi="Arial"/>
          <w:sz w:val="20"/>
          <w:szCs w:val="20"/>
          <w:color w:val="00162F"/>
        </w:rPr>
      </w:pPr>
      <w:r>
        <w:rPr>
          <w:rFonts w:ascii="Arial" w:cs="Arial" w:eastAsia="Arial" w:hAnsi="Arial"/>
          <w:sz w:val="20"/>
          <w:szCs w:val="20"/>
          <w:color w:val="00162F"/>
        </w:rPr>
        <w:t>the adoption of more restrictive locally-imposed noise restrictions;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7"/>
        </w:numPr>
        <w:rPr>
          <w:rFonts w:ascii="Arial" w:cs="Arial" w:eastAsia="Arial" w:hAnsi="Arial"/>
          <w:sz w:val="20"/>
          <w:szCs w:val="20"/>
          <w:color w:val="00162F"/>
        </w:rPr>
      </w:pPr>
      <w:r>
        <w:rPr>
          <w:rFonts w:ascii="Arial" w:cs="Arial" w:eastAsia="Arial" w:hAnsi="Arial"/>
          <w:sz w:val="20"/>
          <w:szCs w:val="20"/>
          <w:color w:val="00162F"/>
        </w:rPr>
        <w:t>the institution of airspace and overflight closures and restrictions; and</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38</w:t>
      </w:r>
    </w:p>
    <w:p>
      <w:pPr>
        <w:sectPr>
          <w:pgSz w:w="11880" w:h="15480" w:orient="portrait"/>
          <w:cols w:equalWidth="0" w:num="1">
            <w:col w:w="10680"/>
          </w:cols>
          <w:pgMar w:left="600" w:top="992" w:right="600" w:bottom="0" w:gutter="0" w:footer="0" w:header="0"/>
          <w:type w:val="continuous"/>
        </w:sectPr>
      </w:pPr>
    </w:p>
    <w:bookmarkStart w:id="39" w:name="page40"/>
    <w:bookmarkEnd w:id="39"/>
    <w:p>
      <w:pPr>
        <w:jc w:val="both"/>
        <w:ind w:left="700" w:hanging="349"/>
        <w:spacing w:after="0" w:line="259" w:lineRule="auto"/>
        <w:tabs>
          <w:tab w:leader="none" w:pos="700" w:val="left"/>
        </w:tabs>
        <w:numPr>
          <w:ilvl w:val="0"/>
          <w:numId w:val="18"/>
        </w:numPr>
        <w:rPr>
          <w:rFonts w:ascii="Arial" w:cs="Arial" w:eastAsia="Arial" w:hAnsi="Arial"/>
          <w:sz w:val="20"/>
          <w:szCs w:val="20"/>
          <w:color w:val="00162F"/>
        </w:rPr>
      </w:pPr>
      <w:r>
        <w:rPr>
          <w:rFonts w:ascii="Arial" w:cs="Arial" w:eastAsia="Arial" w:hAnsi="Arial"/>
          <w:sz w:val="20"/>
          <w:szCs w:val="20"/>
          <w:color w:val="00162F"/>
        </w:rPr>
        <w:t>restrictions on travel or special guidelines regarding aircraft occupancy or hygiene in response to outbreaks of illness, including the imposition of preflight testing regimes or vaccination confirmation requirements that have in the past and may in the future have the effect of reducing demand for air travel in the markets where such requirements are imposed.</w:t>
      </w:r>
    </w:p>
    <w:p>
      <w:pPr>
        <w:spacing w:after="0" w:line="136"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 Any significant reduction in air traffic capacity at and in the airspace serving key airports in the U.S. or overseas could have a material adverse effect on our business, results of operations and financial condition. In addition, the ATC system has not to date modernized sufficiently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including due to staffing shortages, has led government agencies to implement short-term capacity constraints during peak travel periods or adverse weather conditions in certain markets, causing delays and disruptions of air traffic. The outdated technologies also cause the ATC system to be less resilient in the event of a failure, and past system disruptions have resulted in large-scale flight cancellations and delays. We experienced this challenge in January 2023 when an outage in the ATC Notice to Air Missions system led to a nationwide ground-stop for nearly two hours, resulting in significant operational disruption throughout the day, and in September 2025 when a local outage severely reduced traffic in the Dallas metropolitan area.</w:t>
      </w:r>
    </w:p>
    <w:p>
      <w:pPr>
        <w:spacing w:after="0" w:line="148" w:lineRule="exact"/>
        <w:rPr>
          <w:sz w:val="20"/>
          <w:szCs w:val="20"/>
          <w:color w:val="auto"/>
        </w:rPr>
      </w:pPr>
    </w:p>
    <w:p>
      <w:pPr>
        <w:jc w:val="both"/>
        <w:ind w:firstLine="267"/>
        <w:spacing w:after="0" w:line="269" w:lineRule="auto"/>
        <w:rPr>
          <w:sz w:val="20"/>
          <w:szCs w:val="20"/>
          <w:color w:val="auto"/>
        </w:rPr>
      </w:pPr>
      <w:r>
        <w:rPr>
          <w:rFonts w:ascii="Arial" w:cs="Arial" w:eastAsia="Arial" w:hAnsi="Arial"/>
          <w:sz w:val="19"/>
          <w:szCs w:val="19"/>
          <w:color w:val="00162F"/>
        </w:rPr>
        <w:t>Even though the OBBBA includes $12.5 billion in additional funding for ATC infrastructure and modernization, the outcome of this initiative remains uncertain. For example, 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fully fund a modernized ATC system may have a material adverse effect on our business.</w:t>
      </w:r>
    </w:p>
    <w:p>
      <w:pPr>
        <w:spacing w:after="0" w:line="127"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more than 130 trading partners. These agreements allow unrestricted route authority access between the U.S. and the foreign markets. While the U.S. has worked to increase the number of countries with open skies agreements, a number of significant markets, including China, do not have open skies agreements. In other instances, where there are open skies agreements, countries fail to fully implement the agreements or take actions that contravene the agreements. In these instances, we may be unable to fully realize the benefit of “open skies” agreements in foreign markets. In addition,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adversely impact us and could impair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We can be adversely affected by any prolonged U.S. Government shutdown.</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 prolonged disruption in U.S. federal government operations, including lapses in appropriations or extended continuing resolutions, has in the past and could in the future materially and adversely affect our business, financial condition and results of operations. When government agencies reduce or suspend operations, aviation system regulators —including the FAA and the TSA—may experience staffing constraints, furloughs, curtailed activities, and related operational limitations. In the fourth quarter of 2025, conditions led to mandated schedule reductions, strained air traffic control and security screening resources, reduced air traffic capacity at key U.S. airports, and increased delays and cancellations.</w:t>
      </w:r>
    </w:p>
    <w:p>
      <w:pPr>
        <w:spacing w:after="0" w:line="144"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Shutdown-related uncertainty can also dampen both business and leisure travel demand and slow booking trends, causing short-term business challenges. In addition, curtailed FAA activities during shutdowns can delay regulatory</w:t>
      </w:r>
    </w:p>
    <w:p>
      <w:pPr>
        <w:sectPr>
          <w:pgSz w:w="11880" w:h="15480" w:orient="portrait"/>
          <w:cols w:equalWidth="0" w:num="1">
            <w:col w:w="10680"/>
          </w:cols>
          <w:pgMar w:left="600" w:top="992" w:right="600" w:bottom="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39</w:t>
      </w:r>
    </w:p>
    <w:p>
      <w:pPr>
        <w:sectPr>
          <w:pgSz w:w="11880" w:h="15480" w:orient="portrait"/>
          <w:cols w:equalWidth="0" w:num="1">
            <w:col w:w="10680"/>
          </w:cols>
          <w:pgMar w:left="600" w:top="992" w:right="600" w:bottom="0" w:gutter="0" w:footer="0" w:header="0"/>
          <w:type w:val="continuous"/>
        </w:sectPr>
      </w:pPr>
    </w:p>
    <w:bookmarkStart w:id="40" w:name="page41"/>
    <w:bookmarkEnd w:id="40"/>
    <w:p>
      <w:pPr>
        <w:jc w:val="both"/>
        <w:spacing w:after="0" w:line="282" w:lineRule="auto"/>
        <w:rPr>
          <w:sz w:val="20"/>
          <w:szCs w:val="20"/>
          <w:color w:val="auto"/>
        </w:rPr>
      </w:pPr>
      <w:r>
        <w:rPr>
          <w:rFonts w:ascii="Arial" w:cs="Arial" w:eastAsia="Arial" w:hAnsi="Arial"/>
          <w:sz w:val="20"/>
          <w:szCs w:val="20"/>
          <w:color w:val="00162F"/>
        </w:rPr>
        <w:t>approvals and certifications necessary for airline operations, including those related to placing new aircraft into service, which can disrupt execution of fleet and growth plans.</w:t>
      </w:r>
    </w:p>
    <w:p>
      <w:pPr>
        <w:spacing w:after="0" w:line="113"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Because the timing, duration, scope and operational effects of shutdowns and related capacity reduction mandates are uncertain—and can vary across airports and regions—future events of this nature could result in lower load factors and yields, higher unit costs, and reduced operational reliability. The cumulative impact of these factors could be material to our operations and financial performance.</w:t>
      </w:r>
    </w:p>
    <w:p>
      <w:pPr>
        <w:spacing w:after="0" w:line="226" w:lineRule="exact"/>
        <w:rPr>
          <w:sz w:val="20"/>
          <w:szCs w:val="20"/>
          <w:color w:val="auto"/>
        </w:rPr>
      </w:pPr>
    </w:p>
    <w:p>
      <w:pPr>
        <w:jc w:val="both"/>
        <w:ind w:left="260"/>
        <w:spacing w:after="0" w:line="269" w:lineRule="auto"/>
        <w:rPr>
          <w:sz w:val="20"/>
          <w:szCs w:val="20"/>
          <w:color w:val="auto"/>
        </w:rPr>
      </w:pPr>
      <w:r>
        <w:rPr>
          <w:rFonts w:ascii="Arial" w:cs="Arial" w:eastAsia="Arial" w:hAnsi="Arial"/>
          <w:sz w:val="20"/>
          <w:szCs w:val="20"/>
          <w:b w:val="1"/>
          <w:bCs w:val="1"/>
          <w:i w:val="1"/>
          <w:iCs w:val="1"/>
          <w:color w:val="00162F"/>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7"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governmental regulation of our operations, including the inability to obtain or retain needed route authorities and/or slots, and new or evolved policies related to consumer protection policies. For example, the COVID-19 pandemic severely impacted the demand for international travel for a prolonged period, and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w:t>
      </w:r>
    </w:p>
    <w:p>
      <w:pPr>
        <w:spacing w:after="0" w:line="146"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We are subject to varying registration requirements and ongoing reporting obligations in the countries where we operate. Our permission to continue doing business in these countries may depend on our ability to timely fulfil or remedy any noncompliance with these and other governmental requirements. We may also be subject to the risk that relevant government agencies will be delayed in granting or renewing required approvals, including as a result of shutdowns, cybersecurity incidents or other events. Any lapse, revocation, suspension or delay in approval of our authority to do business in a given jurisdiction may prevent us from serving certain destinations and could adversely impact our business, financial condition and results of operations.</w:t>
      </w:r>
    </w:p>
    <w:p>
      <w:pPr>
        <w:spacing w:after="0" w:line="144"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More generally, our industry may be affected by any deterioration in global trade relations, including shifts in the trade policies of the U.S. and other nations. For example, much of the demand for international air travel is the result of business travel in support of global trade. Should protectionist governmental policies, such as tariff or other trade barriers, travel limitations and other regulatory actions, have the effect of reducing global commercial activity, the result could be a material decrease in the demand for international air travel. Additionally, certain products and services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 In addition, should additional or different retaliatory tariffs be imposed, our business could be harmed.</w:t>
      </w:r>
    </w:p>
    <w:p>
      <w:pPr>
        <w:spacing w:after="0" w:line="143"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We continue to examine any ongoing risks associated with Brexit, notably given the extent of our passenger and cargo traffic and that of our joint business partners that flows through LHR in the United Kingdom. The EU-UK Trade and Cooperation Agreement (TCA) has been in force since May 1, 2021. The TCA includes a set of review dates, including a general provision in Article 776 of the TCA for review of implementation of the entire TCA five years after it comes into force, and then every five years thereafter. The first review is due in 2026. We will continue to monitor whether the review will impact air traffic services and whether the UK government’s desire for a reset in EU-UK relations will result in any material changes to the operation of air transport under the TCA. LHR remains a very important element of our international network and significant adverse changes to the EU-UK relationship could materially adversely affect our business, results of operations and financial condition.</w:t>
      </w:r>
    </w:p>
    <w:p>
      <w:pPr>
        <w:spacing w:after="0" w:line="143"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We cannot predict fluctuations in foreign currencies, including devaluations, which can significantly affect the value of our assets outside the United States. These conditions, devaluations or imposition of more stringent repatriation restrictions, may materially adversely affect our business, results of operations and financial condition.</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40</w:t>
      </w:r>
    </w:p>
    <w:p>
      <w:pPr>
        <w:sectPr>
          <w:pgSz w:w="11880" w:h="15480" w:orient="portrait"/>
          <w:cols w:equalWidth="0" w:num="1">
            <w:col w:w="10680"/>
          </w:cols>
          <w:pgMar w:left="600" w:top="992" w:right="600" w:bottom="0" w:gutter="0" w:footer="0" w:header="0"/>
          <w:type w:val="continuous"/>
        </w:sectPr>
      </w:pPr>
    </w:p>
    <w:bookmarkStart w:id="41" w:name="page42"/>
    <w:bookmarkEnd w:id="41"/>
    <w:p>
      <w:pPr>
        <w:ind w:left="260"/>
        <w:spacing w:after="0" w:line="291" w:lineRule="auto"/>
        <w:rPr>
          <w:sz w:val="20"/>
          <w:szCs w:val="20"/>
          <w:color w:val="auto"/>
        </w:rPr>
      </w:pPr>
      <w:r>
        <w:rPr>
          <w:rFonts w:ascii="Arial" w:cs="Arial" w:eastAsia="Arial" w:hAnsi="Arial"/>
          <w:sz w:val="20"/>
          <w:szCs w:val="20"/>
          <w:b w:val="1"/>
          <w:bCs w:val="1"/>
          <w:i w:val="1"/>
          <w:iCs w:val="1"/>
          <w:color w:val="00162F"/>
        </w:rPr>
        <w:t>We may be adversely affected by conflicts overseas, terrorist attacks or other acts of violence, domestically or abroad; the travel industry continues to face ongoing security concerns.</w:t>
      </w:r>
    </w:p>
    <w:p>
      <w:pPr>
        <w:spacing w:after="0" w:line="5" w:lineRule="exact"/>
        <w:rPr>
          <w:sz w:val="20"/>
          <w:szCs w:val="20"/>
          <w:color w:val="auto"/>
        </w:rPr>
      </w:pPr>
    </w:p>
    <w:p>
      <w:pPr>
        <w:jc w:val="both"/>
        <w:ind w:firstLine="267"/>
        <w:spacing w:after="0" w:line="249" w:lineRule="auto"/>
        <w:rPr>
          <w:sz w:val="20"/>
          <w:szCs w:val="20"/>
          <w:color w:val="auto"/>
        </w:rPr>
      </w:pPr>
      <w:r>
        <w:rPr>
          <w:rFonts w:ascii="Arial" w:cs="Arial" w:eastAsia="Arial" w:hAnsi="Arial"/>
          <w:sz w:val="20"/>
          <w:szCs w:val="20"/>
          <w:color w:val="00162F"/>
        </w:rPr>
        <w:t>Acts of terrorism and other violence, domestically or abroad, or fear of such attacks, including elevated national threat warnings, wars or other military conflicts, may depress air travel, particularly on international routes, and cause declines in revenues and increases in costs. The September 11, 2001 attacks and continuing terrorist threats, attacks and attempted attacks materially impacted and continue to impact air travel. Increased security procedures introduced at airports since September 11, 2001 and any other such future measures generate higher operating costs for airlines. The Aviation and Transportation Security Act mandated improved flight deck security, deployment of federal air marshals on-board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We cannot forecast what new security requirements may be imposed in the future, or their impact on our business. In addition, avoiding areas of armed conflict or locations inaccessible to us due to geopolitical factors can impact our operations and financial results. For instance, airspace closures or restrictions may require us to alter flight paths or make further operational adjustments, such as changes to preferred diversion locations, thereby increasing the distance, duration and amount of fuel required to operate certain international flights, in particular relative to competitors not subject to these airspace restrictions. Armed conflicts in or affecting international markets we serve could also adversely impact our business by, among other things, depressing demand for travel to certain regions or requiring us to suspend air service to certain destinations. Recent or threatened armed conflicts, security events and geopolitical risks, involving countries such as Cuba, Iran, Israel, Russia, Ukraine and Venezuela, could impact our business. The outbreak or spread of armed conflict and security threats could force us to make additional reductions or changes to our service and could result in volatility in oil markets, disruptions to global trade and airspace restrictions, which could materially increase our costs or impact our supply chains.</w:t>
      </w:r>
    </w:p>
    <w:p>
      <w:pPr>
        <w:spacing w:after="0" w:line="238" w:lineRule="exact"/>
        <w:rPr>
          <w:sz w:val="20"/>
          <w:szCs w:val="20"/>
          <w:color w:val="auto"/>
        </w:rPr>
      </w:pPr>
    </w:p>
    <w:p>
      <w:pPr>
        <w:jc w:val="both"/>
        <w:ind w:left="260"/>
        <w:spacing w:after="0" w:line="269" w:lineRule="auto"/>
        <w:rPr>
          <w:sz w:val="20"/>
          <w:szCs w:val="20"/>
          <w:color w:val="auto"/>
        </w:rPr>
      </w:pPr>
      <w:r>
        <w:rPr>
          <w:rFonts w:ascii="Arial" w:cs="Arial" w:eastAsia="Arial" w:hAnsi="Arial"/>
          <w:sz w:val="20"/>
          <w:szCs w:val="20"/>
          <w:b w:val="1"/>
          <w:bCs w:val="1"/>
          <w:i w:val="1"/>
          <w:iCs w:val="1"/>
          <w:color w:val="00162F"/>
        </w:rPr>
        <w:t>We are subject to risks associated with climate change, including increased regulation of our GHG emissions, changing consumer preferences and the potential for increased impacts of severe weather events on our operations and infrastructure.</w:t>
      </w:r>
    </w:p>
    <w:p>
      <w:pPr>
        <w:spacing w:after="0" w:line="27"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Global efforts to address climate change have prompted regulators worldwide to promulgate regulations to reduce GHG emissions, including those from the airline industry. Several countries and U.S. states have adopted or are considering adopting programs, including potentially new taxes, designed to cap or reduce aviation’s GHG emissions. In addition, certain airports have proposed, and in the future could adopt, GHG emission or climate-related goals or measures that could impact our operations or require us to make further investments in our infrastructure. These regulations may also lead to attempts to adopt requirements or change business environments related to aviation that may result in increased costs to us and the airline industry.</w:t>
      </w:r>
    </w:p>
    <w:p>
      <w:pPr>
        <w:spacing w:after="0" w:line="144"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Internationally, ICAO has adopted rules, including those pertaining to CORSIA, which will require us to mitigate the growth of emissions associated with a significant majority of our international flights. At this time, the costs of complying with our future obligations under CORSIA are uncertain, primarily due to significant uncertainty with respect to the status of the U.S. government implementation of CORSIA requirements, the future growth of covered GHG emissions, the supply and price of eligible carbon credits and the future development of the market for eligible renewable fuels.</w:t>
      </w:r>
    </w:p>
    <w:p>
      <w:pPr>
        <w:spacing w:after="0" w:line="139"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We and other airlines are increasingly subject to an unpredictable and inconsistent array of international, national and regional emissions restrictions, creating a patchwork of complex regulatory requirements that could lead to increased expenses related to the emissions of our flights. Furthermore, recent implementation of and potential for other new regulatory initiatives to reduce airline GHG emissions may increase our compliance costs. For more information on these regulatory developments, see “</w:t>
      </w:r>
      <w:r>
        <w:rPr>
          <w:rFonts w:ascii="Arial" w:cs="Arial" w:eastAsia="Arial" w:hAnsi="Arial"/>
          <w:sz w:val="20"/>
          <w:szCs w:val="20"/>
          <w:i w:val="1"/>
          <w:iCs w:val="1"/>
          <w:color w:val="00162F"/>
        </w:rPr>
        <w:t>Environmental Matters”</w:t>
      </w:r>
      <w:r>
        <w:rPr>
          <w:rFonts w:ascii="Arial" w:cs="Arial" w:eastAsia="Arial" w:hAnsi="Arial"/>
          <w:sz w:val="20"/>
          <w:szCs w:val="20"/>
          <w:color w:val="00162F"/>
        </w:rPr>
        <w:t xml:space="preserve"> under Part I, Item 1. Business – </w:t>
      </w:r>
      <w:r>
        <w:rPr>
          <w:rFonts w:ascii="Arial" w:cs="Arial" w:eastAsia="Arial" w:hAnsi="Arial"/>
          <w:sz w:val="20"/>
          <w:szCs w:val="20"/>
          <w:i w:val="1"/>
          <w:iCs w:val="1"/>
          <w:color w:val="00162F"/>
        </w:rPr>
        <w:t>“Domestic and Global Regulatory</w:t>
      </w:r>
      <w:r>
        <w:rPr>
          <w:rFonts w:ascii="Arial" w:cs="Arial" w:eastAsia="Arial" w:hAnsi="Arial"/>
          <w:sz w:val="20"/>
          <w:szCs w:val="20"/>
          <w:color w:val="00162F"/>
        </w:rPr>
        <w:t xml:space="preserve"> </w:t>
      </w:r>
      <w:r>
        <w:rPr>
          <w:rFonts w:ascii="Arial" w:cs="Arial" w:eastAsia="Arial" w:hAnsi="Arial"/>
          <w:sz w:val="20"/>
          <w:szCs w:val="20"/>
          <w:i w:val="1"/>
          <w:iCs w:val="1"/>
          <w:color w:val="00162F"/>
        </w:rPr>
        <w:t>Landscape.</w:t>
      </w:r>
      <w:r>
        <w:rPr>
          <w:rFonts w:ascii="Arial" w:cs="Arial" w:eastAsia="Arial" w:hAnsi="Arial"/>
          <w:sz w:val="20"/>
          <w:szCs w:val="20"/>
          <w:color w:val="00162F"/>
        </w:rPr>
        <w:t>”</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41</w:t>
      </w:r>
    </w:p>
    <w:p>
      <w:pPr>
        <w:sectPr>
          <w:pgSz w:w="11880" w:h="15480" w:orient="portrait"/>
          <w:cols w:equalWidth="0" w:num="1">
            <w:col w:w="10680"/>
          </w:cols>
          <w:pgMar w:left="600" w:top="994" w:right="600" w:bottom="0" w:gutter="0" w:footer="0" w:header="0"/>
          <w:type w:val="continuous"/>
        </w:sectPr>
      </w:pPr>
    </w:p>
    <w:bookmarkStart w:id="42" w:name="page43"/>
    <w:bookmarkEnd w:id="42"/>
    <w:p>
      <w:pPr>
        <w:jc w:val="both"/>
        <w:ind w:firstLine="267"/>
        <w:spacing w:after="0" w:line="254" w:lineRule="auto"/>
        <w:rPr>
          <w:sz w:val="20"/>
          <w:szCs w:val="20"/>
          <w:color w:val="auto"/>
        </w:rPr>
      </w:pPr>
      <w:r>
        <w:rPr>
          <w:rFonts w:ascii="Arial" w:cs="Arial" w:eastAsia="Arial" w:hAnsi="Arial"/>
          <w:sz w:val="20"/>
          <w:szCs w:val="20"/>
          <w:color w:val="00162F"/>
        </w:rPr>
        <w:t>We have published a number of sustainability-related targets and goals, including reducing our GHG emissions and the GHG-intensity of our operations. These goals are often long-term in nature, and in many cases rely on assumptions about the future availability and efficacy of technologies that are not yet commercially viable or do not yet exist. Our ability to meet our publicly stated targets depends on a number of factors outside our control, including the ability of third parties, such as engine and airframe manufacturers, SAF producers and other industry participants, to timely develop and commercialize these technological solutions at scale and competitive prices.</w:t>
      </w:r>
    </w:p>
    <w:p>
      <w:pPr>
        <w:spacing w:after="0" w:line="143"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In addition, as part of our emissions reduction goals, we and other airlines have publicly announced future targets to increase our use of SAF. Industrial production of SAF continues to be small in scale and well below the volumes needed to meet these goals. Furthermore, current SAF prices are significantly higher than the price of conventional jet fuel. While production capacity is expected to grow in the coming years, we anticipate that SAF will remain significantly more costly than conventional jet fuel. To secure SAF supply, we have entered into multiple agreements for the purchase of current and future SAF production, and we continue to engage with producers regarding potential future SAF purchases, which may include investments and other commitments to support these producers. Certain existing or potential future agreements pertain to SAF production from facilities that are planned but not yet financed and may utilize technology that has not been proven on a commercial scale. There is no assurance that these facilities will be built or that they will meet contracted production timelines and volumes. In the event that SAF is not delivered on schedule or in sufficient volumes, there can be no assurance that we will be able to source a supply of SAF sufficient to meet our stated goals, or that we will be able to do so on favorable economic terms.</w:t>
      </w:r>
    </w:p>
    <w:p>
      <w:pPr>
        <w:spacing w:after="0" w:line="143"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We face risks associated with allegations or similar claims that our public statements, including but not limited to press releases, advertising campaigns, marketing programs or commercial offerings describing our sustainability efforts are exaggerated, unsubstantiated or inconsistent with then-current regulations, sometimes referred to as “greenwashing.” We could be subject to litigation or regulatory enforcement actions challenging the basis for such statements which could be costly and disruptive, whether or not meritorious.</w:t>
      </w:r>
    </w:p>
    <w:p>
      <w:pPr>
        <w:spacing w:after="0" w:line="139"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Additionally, growing recognition among consumers of the risks of climate change may mean some customers choose to fly less frequently or fly on an airline they perceive as operating in a manner that produces fewer GHG emissions. Business customers may choose to use alternatives to travel, such as virtual meetings and workspaces. Greater development of high-speed rail in markets now served by short-haul flights could provide passengers with lower-carbon alternatives to flying with us. Our collateral to secure loans, in the form of aircraft, airport slots, gates and routes, could lose value as customer demand shifts and economies move to low-carbon alternatives, which may increase our financing costs.</w:t>
      </w:r>
    </w:p>
    <w:p>
      <w:pPr>
        <w:spacing w:after="0" w:line="144"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as well as the safety of our customers and team members. Operational impacts, such as more frequent or widespread flight cancellations, could result in loss of revenue. We could incur significant costs to improve the climate resiliency of our infrastructure and operations and otherwise prepare for, respond to, and mitigate such physical effects of climate change. We are not able to predict accurately the materiality of any potential losses or costs associated with the physical effects of climate change.</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We are subject to various risks associated with environmental and social matters.</w:t>
      </w:r>
    </w:p>
    <w:p>
      <w:pPr>
        <w:spacing w:after="0" w:line="95"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There is increased scrutiny from investors, customers, policymakers, regulators and other stakeholders regarding company management of climate change, human capital and other environmental and social matters. We engage in various initiatives and programs to manage these matters and address stakeholder expectations. However, such initiatives and programs can be costly and at times controversial; they also may not achieve their intended outcome. Moreover, we cannot guarantee that our approach will align with the expectations or preferences of any particular stakeholder. Various stakeholders have different, and at times conflicting, expectations. For example, while some policymakers (such as the State of California and the European Union) have adopted requirements for various disclosures or actions on environmental and social matters, policymakers in other jurisdictions have sought to constrain companies’ consideration of such matters in certain circumstances.</w:t>
      </w:r>
    </w:p>
    <w:p>
      <w:pPr>
        <w:spacing w:after="0" w:line="233"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We are subject to many forms of environmental and noise regulation and may incur substantial costs as a result.</w:t>
      </w:r>
    </w:p>
    <w:p>
      <w:pPr>
        <w:spacing w:after="0" w:line="5" w:lineRule="exact"/>
        <w:rPr>
          <w:sz w:val="20"/>
          <w:szCs w:val="20"/>
          <w:color w:val="auto"/>
        </w:rPr>
      </w:pPr>
    </w:p>
    <w:p>
      <w:pPr>
        <w:ind w:firstLine="267"/>
        <w:spacing w:after="0" w:line="282" w:lineRule="auto"/>
        <w:rPr>
          <w:sz w:val="20"/>
          <w:szCs w:val="20"/>
          <w:color w:val="auto"/>
        </w:rPr>
      </w:pPr>
      <w:r>
        <w:rPr>
          <w:rFonts w:ascii="Arial" w:cs="Arial" w:eastAsia="Arial" w:hAnsi="Arial"/>
          <w:sz w:val="20"/>
          <w:szCs w:val="20"/>
          <w:color w:val="00162F"/>
        </w:rPr>
        <w:t>We are subject to a number of increasingly stringent federal, state, local and foreign laws, regulations and ordinances relating to the protection of human health and the environment and noise reduction, including those relating to emissions</w:t>
      </w:r>
    </w:p>
    <w:p>
      <w:pPr>
        <w:sectPr>
          <w:pgSz w:w="11880" w:h="15480" w:orient="portrait"/>
          <w:cols w:equalWidth="0" w:num="1">
            <w:col w:w="10680"/>
          </w:cols>
          <w:pgMar w:left="600" w:top="992" w:right="600" w:bottom="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42</w:t>
      </w:r>
    </w:p>
    <w:p>
      <w:pPr>
        <w:sectPr>
          <w:pgSz w:w="11880" w:h="15480" w:orient="portrait"/>
          <w:cols w:equalWidth="0" w:num="1">
            <w:col w:w="10680"/>
          </w:cols>
          <w:pgMar w:left="600" w:top="992" w:right="600" w:bottom="0" w:gutter="0" w:footer="0" w:header="0"/>
          <w:type w:val="continuous"/>
        </w:sectPr>
      </w:pPr>
    </w:p>
    <w:bookmarkStart w:id="43" w:name="page44"/>
    <w:bookmarkEnd w:id="43"/>
    <w:p>
      <w:pPr>
        <w:jc w:val="both"/>
        <w:spacing w:after="0" w:line="259" w:lineRule="auto"/>
        <w:rPr>
          <w:sz w:val="20"/>
          <w:szCs w:val="20"/>
          <w:color w:val="auto"/>
        </w:rPr>
      </w:pPr>
      <w:r>
        <w:rPr>
          <w:rFonts w:ascii="Arial" w:cs="Arial" w:eastAsia="Arial" w:hAnsi="Arial"/>
          <w:sz w:val="20"/>
          <w:szCs w:val="20"/>
          <w:color w:val="00162F"/>
        </w:rPr>
        <w:t>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3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domestic sites, although such costs currently are not expected to have a material adverse effect on our business.</w:t>
      </w:r>
    </w:p>
    <w:p>
      <w:pPr>
        <w:spacing w:after="0" w:line="147"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Governmental authorities in the U.S. and abroad (including in the EU) are increasingly focused on potential contamination resulting from the use of certain chemicals, most notably per- and polyfluoroalkyl substances (PFAS). Products containing PFAS have been used in manufacturing, industrial, and consumer applications over many decades, including those related to aviation. Among other things, recent changes to federal requirements for firefighting foams containing PFAS, as well as related state regulations affecting their use, will require operational and infrastructure changes. In February 2024, the EPA published, for public comment, a new rulemaking to list nine PFAS as hazardous constituents under the Resource Conservation and Recovery Act. In April 2024, the EPA published a final rule designating two PFAS substances (perfluorooctanoic acid and perfluorooctanesulfonic acid) as hazardous substances under the Comprehensive Environmental Response, Compensation, and Liability Act. This rule requires entities to immediately report releases of such substances that meet or exceed the reportable quantity to EPA’s National Response Center. These rulemakings could require additional oversight and management of PFAS-containing materials and waste. We may incur costs in connection with current and future reporting obligations, costs related to materials management and historic usage and disposal of PFAS-containing materials, transitioning away from the usage of PFAS-containing products and firefighting systems, or remediating any environmental impacts.</w:t>
      </w:r>
    </w:p>
    <w:p>
      <w:pPr>
        <w:spacing w:after="0" w:line="150"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43"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Governmental authorities in several U.S. and foreign cities are also considering, or have already implemented, aircraft noise reduction programs, including the imposition of nighttime curfews and limitations on daytime take offs and landings as well as setting an annual flight cap from specific cities. We have been able to accommodate local noise restrictions imposed to date, but our operations could be adversely affected if locally-imposed regulations become more restrictive or widespread. At the international level, we are closely monitoring noise-related regulations and relevant standards set forth in aviation agreements between the U.S. government and other applicable authorities.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the airspace and airports we utilize. However, at this time we do not expect such impact to be material.</w:t>
      </w:r>
    </w:p>
    <w:p>
      <w:pPr>
        <w:spacing w:after="0" w:line="239" w:lineRule="exact"/>
        <w:rPr>
          <w:sz w:val="20"/>
          <w:szCs w:val="20"/>
          <w:color w:val="auto"/>
        </w:rPr>
      </w:pPr>
    </w:p>
    <w:p>
      <w:pPr>
        <w:jc w:val="both"/>
        <w:ind w:left="260"/>
        <w:spacing w:after="0" w:line="262" w:lineRule="auto"/>
        <w:rPr>
          <w:sz w:val="20"/>
          <w:szCs w:val="20"/>
          <w:color w:val="auto"/>
        </w:rPr>
      </w:pPr>
      <w:r>
        <w:rPr>
          <w:rFonts w:ascii="Arial" w:cs="Arial" w:eastAsia="Arial" w:hAnsi="Arial"/>
          <w:sz w:val="20"/>
          <w:szCs w:val="20"/>
          <w:b w:val="1"/>
          <w:bCs w:val="1"/>
          <w:i w:val="1"/>
          <w:iCs w:val="1"/>
          <w:color w:val="00162F"/>
        </w:rPr>
        <w:t>A high level of pilot retirements, stringent duty time regulations, increased flight hour requirements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34"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Commencing in 2013, the time and cost commitment required to become licensed to fly commercial aircraft has increased. Additionally, the number of military pilots being trained by the U.S. armed forces and available as commercial pilots upon their retirement from military service has decreased.</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These and other factors have contributed to a shortage of pilots that at times have been severe and increased compensation costs. We believe that pilot shortages will remain a problem for the foreseeable future. The pilot shortage has been most acute for regional airlines. It remains possible that our regional airline subsidiaries and other regional</w:t>
      </w:r>
    </w:p>
    <w:p>
      <w:pPr>
        <w:sectPr>
          <w:pgSz w:w="11880" w:h="15480" w:orient="portrait"/>
          <w:cols w:equalWidth="0" w:num="1">
            <w:col w:w="10680"/>
          </w:cols>
          <w:pgMar w:left="600" w:top="992" w:right="600" w:bottom="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43</w:t>
      </w:r>
    </w:p>
    <w:p>
      <w:pPr>
        <w:sectPr>
          <w:pgSz w:w="11880" w:h="15480" w:orient="portrait"/>
          <w:cols w:equalWidth="0" w:num="1">
            <w:col w:w="10680"/>
          </w:cols>
          <w:pgMar w:left="600" w:top="992" w:right="600" w:bottom="0" w:gutter="0" w:footer="0" w:header="0"/>
          <w:type w:val="continuous"/>
        </w:sectPr>
      </w:pPr>
    </w:p>
    <w:bookmarkStart w:id="44" w:name="page45"/>
    <w:bookmarkEnd w:id="44"/>
    <w:p>
      <w:pPr>
        <w:jc w:val="both"/>
        <w:spacing w:after="0" w:line="265" w:lineRule="auto"/>
        <w:rPr>
          <w:sz w:val="20"/>
          <w:szCs w:val="20"/>
          <w:color w:val="auto"/>
        </w:rPr>
      </w:pPr>
      <w:r>
        <w:rPr>
          <w:rFonts w:ascii="Arial" w:cs="Arial" w:eastAsia="Arial" w:hAnsi="Arial"/>
          <w:sz w:val="20"/>
          <w:szCs w:val="20"/>
          <w:color w:val="00162F"/>
        </w:rPr>
        <w:t>partners could have difficulties hiring adequate numbers of pilots to meet their needs, which could result in a reduction in the number of flights offered, operational disruptions, increased compensation expense and costs of operations, financial difficulties and other adverse effects.</w:t>
      </w:r>
    </w:p>
    <w:p>
      <w:pPr>
        <w:spacing w:after="0" w:line="219" w:lineRule="exact"/>
        <w:rPr>
          <w:sz w:val="20"/>
          <w:szCs w:val="20"/>
          <w:color w:val="auto"/>
        </w:rPr>
      </w:pPr>
    </w:p>
    <w:p>
      <w:pPr>
        <w:jc w:val="both"/>
        <w:ind w:left="260"/>
        <w:spacing w:after="0" w:line="258" w:lineRule="auto"/>
        <w:rPr>
          <w:sz w:val="20"/>
          <w:szCs w:val="20"/>
          <w:color w:val="auto"/>
        </w:rPr>
      </w:pPr>
      <w:r>
        <w:rPr>
          <w:rFonts w:ascii="Arial" w:cs="Arial" w:eastAsia="Arial" w:hAnsi="Arial"/>
          <w:sz w:val="20"/>
          <w:szCs w:val="20"/>
          <w:b w:val="1"/>
          <w:bCs w:val="1"/>
          <w:i w:val="1"/>
          <w:iCs w:val="1"/>
          <w:color w:val="00162F"/>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w:t>
      </w:r>
    </w:p>
    <w:p>
      <w:pPr>
        <w:spacing w:after="0" w:line="40" w:lineRule="exact"/>
        <w:rPr>
          <w:sz w:val="20"/>
          <w:szCs w:val="20"/>
          <w:color w:val="auto"/>
        </w:rPr>
      </w:pPr>
    </w:p>
    <w:p>
      <w:pPr>
        <w:jc w:val="both"/>
        <w:ind w:firstLine="267"/>
        <w:spacing w:after="0" w:line="248" w:lineRule="auto"/>
        <w:rPr>
          <w:sz w:val="20"/>
          <w:szCs w:val="20"/>
          <w:color w:val="auto"/>
        </w:rPr>
      </w:pPr>
      <w:r>
        <w:rPr>
          <w:rFonts w:ascii="Arial" w:cs="Arial" w:eastAsia="Arial" w:hAnsi="Arial"/>
          <w:sz w:val="20"/>
          <w:szCs w:val="20"/>
          <w:color w:val="00162F"/>
        </w:rPr>
        <w:t>We depend on a limited number of suppliers for aircraft, aircraft engines and many aircraft and engine parts. For example, all of our mainline aircraft were manufactured by either Airbus or Boeing and all of our regional aircraft were manufactured by either Bombardier or Embraer. Further, our supplier base continues to consolidate as evidenced by the cessation of production of Bombardier regional aircraft that we and our regional partners currently operate in large numbers. Due to the limited number of suppliers, constraints on production capacity, large order books and long production lead times, manufacturers have faced and are expected to continue to face challenges in timely fulfilling our aircraft on order, and we may face competition from other carriers in securing an adequate supply of aircraft in the future. If new aircraft orders are not filled on a timely basis, we could face higher financing and operating costs than planned. The limited number of these suppliers may also result in reduced competition and potentially higher prices than if the supplier base was less concentrated. In addition, we are vulnerable to any problems associated with the performance of these suppliers’ obligation to supply key aircraft, parts and engines, including design defects, mechanical problems, contractual performance by suppliers or adverse perception by the public that would result in customer avoidance of any of our aircraft. We may also experience delivery delays with respect to components or equipment that we have contracted to purchase from third-party suppliers (so-called “buyer-furnished equipment”) and required for the outfitting of our aircraft. Failure of our suppliers to timely deliver such components or equipment has in the past and could in the future delay certification of these aircraft or components and their entry into service, and could prevent us from financing such aircraft, requiring us to pay for new deliveries using cash on hand. If the aircraft we receive do not meet expected performance or quality standards, including with respect to fuel efficiency, safety and reliability, we could also face higher financing and operating costs than planned and our business, results of operations and financial condition could be adversely impacted. We are also subject to the risk that action by the FAA or any other regulatory authority could result in an inability to certify or operate our aircraft, even temporarily. For instance, in March 2019, the FAA ordered the grounding of all Boeing 737 MAX Family aircraft, which remained in place for over a year and was not lifted in the United States until November 2020. An additional grounding of Boeing aircraft occurred in January 2024 involving the Boeing 737-9 MAX, a model that we do not operate. Regulatory concerns raised by the FAA also previously forced Boeing to suspend deliveries of certain 787 aircraft, temporarily resulting in significant reductions to our planned long-haul flying. More generally, we have recently experienced delivery delays across manufacturers of aircraft engines and components due to regulatory matters such as those described above. There is also the prospect that new aircraft models will continue to face certification delays further impeding the delivery of new aircraft to the airline industry and increasing competition for the production capacity that is available. There have also been challenges leading to aircraft delivery delays specifically around the certification of new seats and seat designs. In addition, we source a portion of our aircraft, aircraft engines and parts from outside the U.S., and any tariffs imposed may lead to higher costs, negatively affect our supply chains and adversely affect our business and results of operations. For example, there are presently in place tariffs on certain goods, including aircraft, from Brazil, which is the sole source of our new regional jets. Finally, we also face supply chain risks from disruptions in global trade, including the imposition of tariffs and non-tariff barriers with respect to aircraft and related parts that we are not able to mitigate.</w:t>
      </w:r>
    </w:p>
    <w:p>
      <w:pPr>
        <w:spacing w:after="0" w:line="17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19"/>
          <w:szCs w:val="19"/>
          <w:color w:val="00162F"/>
        </w:rPr>
        <w:t>The success of our business depends on, among other things, effectively managing the number and types of aircraft we operate. If, for any reason, we are unable to accept or secure deliveries of new aircraft on contractually scheduled delivery timelines, our business, results of operations and financial condition could be negatively impacted. Our failure to integrate newly purchased aircraft into our fleet as planned might require us to seek extensions of the terms for some leased aircraft or otherwise delay the exit of certain aircraft from our fleet, and in certain cases, may require us to undertake costly refurbishments or maintenance of such aircraft. Such unanticipated extensions or delays, which as noted above have recently been relatively commonplace among manufacturers of commercial aircraft, may require us to operate existing aircraft beyond the point at which it is economically optimal to retire them, resulting in increased maintenance costs, or reductions to our schedule, thereby reducing revenues. Repeated or prolonged delays in the production, delivery or induction of our new aircraft could also require us to scale back our growth plans, reduce frequencies or forgo service entirely to certain markets, which could adversely affect our business, financial condition and results of operations.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44</w:t>
      </w:r>
    </w:p>
    <w:p>
      <w:pPr>
        <w:sectPr>
          <w:pgSz w:w="11880" w:h="15480" w:orient="portrait"/>
          <w:cols w:equalWidth="0" w:num="1">
            <w:col w:w="10680"/>
          </w:cols>
          <w:pgMar w:left="600" w:top="992" w:right="600" w:bottom="0" w:gutter="0" w:footer="0" w:header="0"/>
          <w:type w:val="continuous"/>
        </w:sectPr>
      </w:pPr>
    </w:p>
    <w:bookmarkStart w:id="45" w:name="page46"/>
    <w:bookmarkEnd w:id="45"/>
    <w:p>
      <w:pPr>
        <w:ind w:left="260"/>
        <w:spacing w:after="0" w:line="291" w:lineRule="auto"/>
        <w:rPr>
          <w:sz w:val="20"/>
          <w:szCs w:val="20"/>
          <w:color w:val="auto"/>
        </w:rPr>
      </w:pPr>
      <w:r>
        <w:rPr>
          <w:rFonts w:ascii="Arial" w:cs="Arial" w:eastAsia="Arial" w:hAnsi="Arial"/>
          <w:sz w:val="20"/>
          <w:szCs w:val="20"/>
          <w:b w:val="1"/>
          <w:bCs w:val="1"/>
          <w:i w:val="1"/>
          <w:iCs w:val="1"/>
          <w:color w:val="00162F"/>
        </w:rPr>
        <w:t>We rely on third-party distribution channels and must effectively manage the costs, rights and functionality of these channels.</w:t>
      </w:r>
    </w:p>
    <w:p>
      <w:pPr>
        <w:spacing w:after="0" w:line="5"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 xml:space="preserve">While our priority is to migrate an increasing portion of our customers to our modern, direct distribution channels in lieu of third party channels, we continue to rely on third-party distribution channels, including those provided by or through global distribution systems (GDSs) (e.g., Amadeus, Sabre and Travelport), conventional travel agents, travel management companies and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20"/>
          <w:szCs w:val="20"/>
          <w:i w:val="1"/>
          <w:iCs w:val="1"/>
          <w:color w:val="00162F"/>
        </w:rPr>
        <w:t>www.aa.com</w:t>
      </w:r>
      <w:r>
        <w:rPr>
          <w:rFonts w:ascii="Arial" w:cs="Arial" w:eastAsia="Arial" w:hAnsi="Arial"/>
          <w:sz w:val="20"/>
          <w:szCs w:val="20"/>
          <w:color w:val="00162F"/>
        </w:rPr>
        <w:t>. Certain of these distribution channels also effectively restrict the manner in which we distribute our products generally.</w:t>
      </w:r>
    </w:p>
    <w:p>
      <w:pPr>
        <w:spacing w:after="0" w:line="148"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To remain competitive, we will need to manage successfully our distribution costs and rights, increase our distribution flexibility, continue to migrate the distribution of tickets to our proprietary and other modern distribution channels, and improve the functionality of our distribution channels, while maintaining an industry-competitive cost structure and a high level of customer satisfaction. Further, as distribution technology changes, we will need to continue to update our technology by acquiring new technology from third parties, building the functionality ourselves, or a combination thereof,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For example, as previously reported, during the second quarter of 2024 we concluded that certain commercial initiatives designed to, among other things, migrate customers to our modern, direct distribution channels contributed to softness in customer bookings relative to our expectations, and we reversed many of these measures late in the quarter.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38" w:lineRule="exact"/>
        <w:rPr>
          <w:sz w:val="20"/>
          <w:szCs w:val="20"/>
          <w:color w:val="auto"/>
        </w:rPr>
      </w:pPr>
    </w:p>
    <w:p>
      <w:pPr>
        <w:jc w:val="both"/>
        <w:ind w:left="260"/>
        <w:spacing w:after="0" w:line="269" w:lineRule="auto"/>
        <w:rPr>
          <w:sz w:val="20"/>
          <w:szCs w:val="20"/>
          <w:color w:val="auto"/>
        </w:rPr>
      </w:pPr>
      <w:r>
        <w:rPr>
          <w:rFonts w:ascii="Arial" w:cs="Arial" w:eastAsia="Arial" w:hAnsi="Arial"/>
          <w:sz w:val="20"/>
          <w:szCs w:val="20"/>
          <w:b w:val="1"/>
          <w:bCs w:val="1"/>
          <w:i w:val="1"/>
          <w:iCs w:val="1"/>
          <w:color w:val="00162F"/>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7" w:lineRule="exact"/>
        <w:rPr>
          <w:sz w:val="20"/>
          <w:szCs w:val="20"/>
          <w:color w:val="auto"/>
        </w:rPr>
      </w:pPr>
    </w:p>
    <w:p>
      <w:pPr>
        <w:jc w:val="both"/>
        <w:ind w:firstLine="267"/>
        <w:spacing w:after="0" w:line="273" w:lineRule="auto"/>
        <w:rPr>
          <w:sz w:val="20"/>
          <w:szCs w:val="20"/>
          <w:color w:val="auto"/>
        </w:rPr>
      </w:pPr>
      <w:r>
        <w:rPr>
          <w:rFonts w:ascii="Arial" w:cs="Arial" w:eastAsia="Arial" w:hAnsi="Arial"/>
          <w:sz w:val="19"/>
          <w:szCs w:val="19"/>
          <w:color w:val="00162F"/>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3"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There is presently a significant amount of capital spending underway at major airports in the United States, including large projects underway at a number of airports where we have significant operations, such as O’Hare International Airport (ORD), DFW, Charlotte Douglas International Airport, Miami International Airport and Los Angeles International Airport (LAX). More generally, following long periods of underinvestment, there is a trend among airports in the United States to engage in significant, expensive expansion, remodeling and infrastructure improvement projects. This spending increases costs to airlines and the traveling public that has and will continue to use those facilities as the airports generally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 Escalating airport costs, especially at one of our major hubs, could also force us to revise our growth plans or redirect flying to more cost-effective airports.</w:t>
      </w:r>
    </w:p>
    <w:p>
      <w:pPr>
        <w:spacing w:after="0" w:line="143" w:lineRule="exact"/>
        <w:rPr>
          <w:sz w:val="20"/>
          <w:szCs w:val="20"/>
          <w:color w:val="auto"/>
        </w:rPr>
      </w:pPr>
    </w:p>
    <w:p>
      <w:pPr>
        <w:jc w:val="both"/>
        <w:ind w:firstLine="267"/>
        <w:spacing w:after="0" w:line="270" w:lineRule="auto"/>
        <w:rPr>
          <w:sz w:val="20"/>
          <w:szCs w:val="20"/>
          <w:color w:val="auto"/>
        </w:rPr>
      </w:pPr>
      <w:r>
        <w:rPr>
          <w:rFonts w:ascii="Arial" w:cs="Arial" w:eastAsia="Arial" w:hAnsi="Arial"/>
          <w:sz w:val="19"/>
          <w:szCs w:val="19"/>
          <w:color w:val="00162F"/>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w:t>
      </w:r>
    </w:p>
    <w:p>
      <w:pPr>
        <w:sectPr>
          <w:pgSz w:w="11880" w:h="15480" w:orient="portrait"/>
          <w:cols w:equalWidth="0" w:num="1">
            <w:col w:w="10680"/>
          </w:cols>
          <w:pgMar w:left="600" w:top="994" w:right="600" w:bottom="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45</w:t>
      </w:r>
    </w:p>
    <w:p>
      <w:pPr>
        <w:sectPr>
          <w:pgSz w:w="11880" w:h="15480" w:orient="portrait"/>
          <w:cols w:equalWidth="0" w:num="1">
            <w:col w:w="10680"/>
          </w:cols>
          <w:pgMar w:left="600" w:top="994" w:right="600" w:bottom="0" w:gutter="0" w:footer="0" w:header="0"/>
          <w:type w:val="continuous"/>
        </w:sectPr>
      </w:pPr>
    </w:p>
    <w:bookmarkStart w:id="46" w:name="page47"/>
    <w:bookmarkEnd w:id="46"/>
    <w:p>
      <w:pPr>
        <w:jc w:val="both"/>
        <w:spacing w:after="0" w:line="263" w:lineRule="auto"/>
        <w:rPr>
          <w:sz w:val="20"/>
          <w:szCs w:val="20"/>
          <w:color w:val="auto"/>
        </w:rPr>
      </w:pPr>
      <w:r>
        <w:rPr>
          <w:rFonts w:ascii="Arial" w:cs="Arial" w:eastAsia="Arial" w:hAnsi="Arial"/>
          <w:sz w:val="19"/>
          <w:szCs w:val="19"/>
          <w:color w:val="00162F"/>
        </w:rPr>
        <w:t>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Frankfurt, Paris, Tokyo and other airports outside the U.S. are regulated by local slot authorities pursuant to the International Airline Trade Association Worldwide Scheduling Guidelines and/or applicable local law. Termination of slot controls or other operational restrictions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During periods of reduced demand for air travel, we presently and may in the future rely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be made available, whether they will be granted on the same or similar terms as in past instances, or whether we ultimately could be at risk of losing valuable operating rights. If we are forced to surrender slots or other rights,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43" w:lineRule="exact"/>
        <w:rPr>
          <w:sz w:val="20"/>
          <w:szCs w:val="20"/>
          <w:color w:val="auto"/>
        </w:rPr>
      </w:pPr>
    </w:p>
    <w:p>
      <w:pPr>
        <w:jc w:val="both"/>
        <w:ind w:firstLine="223"/>
        <w:spacing w:after="0" w:line="282" w:lineRule="auto"/>
        <w:rPr>
          <w:sz w:val="20"/>
          <w:szCs w:val="20"/>
          <w:color w:val="auto"/>
        </w:rPr>
      </w:pPr>
      <w:r>
        <w:rPr>
          <w:rFonts w:ascii="Arial" w:cs="Arial" w:eastAsia="Arial" w:hAnsi="Arial"/>
          <w:sz w:val="20"/>
          <w:szCs w:val="20"/>
          <w:color w:val="00162F"/>
        </w:rPr>
        <w:t>Our ability to provide service can also be impaired at airports where the airport gates and other facilities are inadequate to accommodate all of the service that we would like to provide, or where we have no access to gates at all.</w:t>
      </w:r>
    </w:p>
    <w:p>
      <w:pPr>
        <w:spacing w:after="0" w:line="11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19"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Interruptions or disruptions in service at one of our key facilities could have a material adverse impact on our operations.</w:t>
      </w:r>
    </w:p>
    <w:p>
      <w:pPr>
        <w:spacing w:after="0" w:line="5"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We operate principally through our hubs in Charlotte, Chicago, Dallas/Fort Worth, Los Angeles, Miami, New York, Philadelphia, Phoenix and Washington, D.C. and partner gateways including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cybersecurity incidents, growth constraints, performance by third-party service providers (such as electric utility or telecommunications providers), failure of computer systems, disruptions at airport facilities and equipment or other key facilities used by us to manage our operations (including as a result of social or environmental activism), labor relations, power supplies, fuel supplies, terrorist activities, or other reasons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33" w:lineRule="exact"/>
        <w:rPr>
          <w:sz w:val="20"/>
          <w:szCs w:val="20"/>
          <w:color w:val="auto"/>
        </w:rPr>
      </w:pPr>
    </w:p>
    <w:p>
      <w:pPr>
        <w:ind w:left="260"/>
        <w:spacing w:after="0" w:line="291" w:lineRule="auto"/>
        <w:rPr>
          <w:sz w:val="20"/>
          <w:szCs w:val="20"/>
          <w:color w:val="auto"/>
        </w:rPr>
      </w:pPr>
      <w:r>
        <w:rPr>
          <w:rFonts w:ascii="Arial" w:cs="Arial" w:eastAsia="Arial" w:hAnsi="Arial"/>
          <w:sz w:val="20"/>
          <w:szCs w:val="20"/>
          <w:b w:val="1"/>
          <w:bCs w:val="1"/>
          <w:i w:val="1"/>
          <w:iCs w:val="1"/>
          <w:color w:val="00162F"/>
        </w:rPr>
        <w:t>Increases in insurance costs or reductions in insurance coverage may adversely impact our operations and financial results.</w:t>
      </w:r>
    </w:p>
    <w:p>
      <w:pPr>
        <w:spacing w:after="0" w:line="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19"/>
          <w:szCs w:val="19"/>
          <w:color w:val="00162F"/>
        </w:rPr>
        <w:t>We maintain insurance policies, including, but not limited to, terrorism, aviation hull and liability, workers' compensation and property and business interruption insurance, but we are not fully insured against all potential hazards and risk incident to our business. Emerging threats such as cyberattacks, artificial intelligence-related risks, or geopolitical instability could further challenge insurance availability and affordability. Additionally,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46</w:t>
      </w:r>
    </w:p>
    <w:p>
      <w:pPr>
        <w:sectPr>
          <w:pgSz w:w="11880" w:h="15480" w:orient="portrait"/>
          <w:cols w:equalWidth="0" w:num="1">
            <w:col w:w="10680"/>
          </w:cols>
          <w:pgMar w:left="600" w:top="992" w:right="600" w:bottom="0" w:gutter="0" w:footer="0" w:header="0"/>
          <w:type w:val="continuous"/>
        </w:sectPr>
      </w:pPr>
    </w:p>
    <w:bookmarkStart w:id="47" w:name="page48"/>
    <w:bookmarkEnd w:id="47"/>
    <w:p>
      <w:pPr>
        <w:ind w:left="260"/>
        <w:spacing w:after="0"/>
        <w:rPr>
          <w:sz w:val="20"/>
          <w:szCs w:val="20"/>
          <w:color w:val="auto"/>
        </w:rPr>
      </w:pPr>
      <w:r>
        <w:rPr>
          <w:rFonts w:ascii="Arial" w:cs="Arial" w:eastAsia="Arial" w:hAnsi="Arial"/>
          <w:sz w:val="20"/>
          <w:szCs w:val="20"/>
          <w:b w:val="1"/>
          <w:bCs w:val="1"/>
          <w:i w:val="1"/>
          <w:iCs w:val="1"/>
          <w:color w:val="00162F"/>
        </w:rPr>
        <w:t>The airline industry is heavily taxed.</w:t>
      </w:r>
    </w:p>
    <w:p>
      <w:pPr>
        <w:spacing w:after="0" w:line="95"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Moreover, we are obligated to collect a federal excise tax, commonly referred to as the “ticket tax,” on domestic and certain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50"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162F"/>
        </w:rPr>
        <w:t>Risks Related to Ownership of AAG Common Stock</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The price of AAG common stock has been and may in the future be volatile.</w:t>
      </w:r>
    </w:p>
    <w:p>
      <w:pPr>
        <w:spacing w:after="0" w:line="95"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market price of AAG common stock has fluctuated substantially in the past, and may fluctuate substantially in the future, due to a variety of factors, many of which are beyond our control, including:</w:t>
      </w:r>
    </w:p>
    <w:p>
      <w:pPr>
        <w:spacing w:after="0" w:line="113" w:lineRule="exact"/>
        <w:rPr>
          <w:sz w:val="20"/>
          <w:szCs w:val="20"/>
          <w:color w:val="auto"/>
        </w:rPr>
      </w:pPr>
    </w:p>
    <w:p>
      <w:pPr>
        <w:ind w:left="700" w:hanging="349"/>
        <w:spacing w:after="0" w:line="282" w:lineRule="auto"/>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the effects of external events, such as global health epidemics, on our business or the U.S. and global economies;</w:t>
      </w:r>
    </w:p>
    <w:p>
      <w:pPr>
        <w:spacing w:after="0" w:line="112"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macro-economic conditions, including the price of fuel;</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changes in market values of airline companies as well as general market conditions;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our operating and financial results failing to meet the expectations of securities analysts or investors;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changes in financial estimates or recommendations by securities analysts;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changes in our level of outstanding indebtedness and other obligations;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changes in our credit ratings;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material announcements by us or our competitors;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new regulatory pronouncements and changes in regulatory guidelines;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general and industry-specific economic conditions;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changes in our key personnel;</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inclusion of our common stock in broad market indexes favored by passive investors;</w:t>
      </w:r>
    </w:p>
    <w:p>
      <w:pPr>
        <w:spacing w:after="0" w:line="185"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investor preferences to invest in certain sectors, including large technology companies in lieu of industrial or transportation companies;</w:t>
      </w:r>
    </w:p>
    <w:p>
      <w:pPr>
        <w:spacing w:after="0" w:line="112" w:lineRule="exact"/>
        <w:rPr>
          <w:rFonts w:ascii="Arial" w:cs="Arial" w:eastAsia="Arial" w:hAnsi="Arial"/>
          <w:sz w:val="20"/>
          <w:szCs w:val="20"/>
          <w:color w:val="00162F"/>
        </w:rPr>
      </w:pPr>
    </w:p>
    <w:p>
      <w:pPr>
        <w:jc w:val="both"/>
        <w:ind w:left="700" w:hanging="349"/>
        <w:spacing w:after="0" w:line="254" w:lineRule="auto"/>
        <w:tabs>
          <w:tab w:leader="none" w:pos="700" w:val="left"/>
        </w:tabs>
        <w:numPr>
          <w:ilvl w:val="0"/>
          <w:numId w:val="19"/>
        </w:numPr>
        <w:rPr>
          <w:rFonts w:ascii="Arial" w:cs="Arial" w:eastAsia="Arial" w:hAnsi="Arial"/>
          <w:sz w:val="20"/>
          <w:szCs w:val="20"/>
          <w:color w:val="00162F"/>
        </w:rPr>
      </w:pPr>
      <w:r>
        <w:rPr>
          <w:rFonts w:ascii="Arial" w:cs="Arial" w:eastAsia="Arial" w:hAnsi="Arial"/>
          <w:sz w:val="20"/>
          <w:szCs w:val="20"/>
          <w:color w:val="00162F"/>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Coronavirus Aid, Relief, and Economic Security Act (CARES Act), Subtitle A of Title IV of Division N of the Consolidated Appropriations Act, 2021 (the PSP Extension Law) and the American Rescue Plan Act of 2021 (ARP);</w:t>
      </w:r>
    </w:p>
    <w:p>
      <w:pPr>
        <w:sectPr>
          <w:pgSz w:w="11880" w:h="15480" w:orient="portrait"/>
          <w:cols w:equalWidth="0" w:num="1">
            <w:col w:w="10680"/>
          </w:cols>
          <w:pgMar w:left="600" w:top="994" w:right="600" w:bottom="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47</w:t>
      </w:r>
    </w:p>
    <w:p>
      <w:pPr>
        <w:sectPr>
          <w:pgSz w:w="11880" w:h="15480" w:orient="portrait"/>
          <w:cols w:equalWidth="0" w:num="1">
            <w:col w:w="10680"/>
          </w:cols>
          <w:pgMar w:left="600" w:top="994" w:right="600" w:bottom="0" w:gutter="0" w:footer="0" w:header="0"/>
          <w:type w:val="continuous"/>
        </w:sectPr>
      </w:pPr>
    </w:p>
    <w:bookmarkStart w:id="48" w:name="page49"/>
    <w:bookmarkEnd w:id="48"/>
    <w:p>
      <w:pPr>
        <w:ind w:left="700" w:hanging="349"/>
        <w:spacing w:after="0"/>
        <w:tabs>
          <w:tab w:leader="none" w:pos="700" w:val="left"/>
        </w:tabs>
        <w:numPr>
          <w:ilvl w:val="0"/>
          <w:numId w:val="20"/>
        </w:numPr>
        <w:rPr>
          <w:rFonts w:ascii="Arial" w:cs="Arial" w:eastAsia="Arial" w:hAnsi="Arial"/>
          <w:sz w:val="20"/>
          <w:szCs w:val="20"/>
          <w:color w:val="00162F"/>
        </w:rPr>
      </w:pPr>
      <w:r>
        <w:rPr>
          <w:rFonts w:ascii="Arial" w:cs="Arial" w:eastAsia="Arial" w:hAnsi="Arial"/>
          <w:sz w:val="20"/>
          <w:szCs w:val="20"/>
          <w:color w:val="00162F"/>
        </w:rPr>
        <w:t>increases or decreases in reported holdings by insiders or other significant stockholders;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20"/>
        </w:numPr>
        <w:rPr>
          <w:rFonts w:ascii="Arial" w:cs="Arial" w:eastAsia="Arial" w:hAnsi="Arial"/>
          <w:sz w:val="20"/>
          <w:szCs w:val="20"/>
          <w:color w:val="00162F"/>
        </w:rPr>
      </w:pPr>
      <w:r>
        <w:rPr>
          <w:rFonts w:ascii="Arial" w:cs="Arial" w:eastAsia="Arial" w:hAnsi="Arial"/>
          <w:sz w:val="20"/>
          <w:szCs w:val="20"/>
          <w:color w:val="00162F"/>
        </w:rPr>
        <w:t>fluctuations in trading volume; and</w:t>
      </w:r>
    </w:p>
    <w:p>
      <w:pPr>
        <w:spacing w:after="0" w:line="185" w:lineRule="exact"/>
        <w:rPr>
          <w:rFonts w:ascii="Arial" w:cs="Arial" w:eastAsia="Arial" w:hAnsi="Arial"/>
          <w:sz w:val="20"/>
          <w:szCs w:val="20"/>
          <w:color w:val="00162F"/>
        </w:rPr>
      </w:pPr>
    </w:p>
    <w:p>
      <w:pPr>
        <w:jc w:val="both"/>
        <w:ind w:left="700" w:hanging="349"/>
        <w:spacing w:after="0" w:line="256" w:lineRule="auto"/>
        <w:tabs>
          <w:tab w:leader="none" w:pos="700" w:val="left"/>
        </w:tabs>
        <w:numPr>
          <w:ilvl w:val="0"/>
          <w:numId w:val="20"/>
        </w:numPr>
        <w:rPr>
          <w:rFonts w:ascii="Arial" w:cs="Arial" w:eastAsia="Arial" w:hAnsi="Arial"/>
          <w:sz w:val="20"/>
          <w:szCs w:val="20"/>
          <w:color w:val="00162F"/>
        </w:rPr>
      </w:pPr>
      <w:r>
        <w:rPr>
          <w:rFonts w:ascii="Arial" w:cs="Arial" w:eastAsia="Arial" w:hAnsi="Arial"/>
          <w:sz w:val="20"/>
          <w:szCs w:val="20"/>
          <w:color w:val="00162F"/>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13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19"/>
          <w:szCs w:val="19"/>
          <w:color w:val="00162F"/>
        </w:rPr>
        <w:t>The closing price of our common stock on the Nasdaq Global Select Market varied from $9.07 to $18.66 during 2025 and $13.30 to $16.00 during 2026 year -to-date through February 13, 2026. At times, fluctuations in our stock price have been rapid, imposing risks on investors due to the possibility of significant, short-term price volatility. While we believe that in recent years this wide range of trading prices has largely reflected the changing prospects for a large airline,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Our ability to utilize our net operating losses (NOLs) and other carryforwards may be limited.</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Under the Internal Revenue Code of 1986, as amended (the Code), a corporation is generally allowed a deduction for NOLs carried over from prior taxable years. At December 31, 2025, we had approximately $11.9 billion of gross federal NOLs and $6.0 billion of other carryforwards available to reduce future federal taxable income, of which $1.6 billion will expire beginning in 2033 if unused and $16.3 billion can be carried forward indefinitely. We also had approximately $5.0 billion of NOL carryforwards to reduce future state taxable income at December 31, 2025, which will expire in taxable years 2025 through 2045 if unused. Our NOL carryforwards are subject to adjustment on audit by the Internal Revenue Service and the respective state taxing authorities.</w:t>
      </w:r>
    </w:p>
    <w:p>
      <w:pPr>
        <w:spacing w:after="0" w:line="144"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Our ability to use our NOLs and other carryforwards depends on the amount of taxable income generated in future periods. There can be no assurance that an additional valuation allowance on our net deferred tax assets will not be required should our financial performance be negatively impacted in the future. Such valuation allowance could be material.</w:t>
      </w:r>
    </w:p>
    <w:p>
      <w:pPr>
        <w:spacing w:after="0" w:line="136"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An ownership change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 preservation plan (the Tax Benefit Preservation Plan) in order to preserve our ability to use our NOLs and certain other tax attributes to reduce potential future income tax obligations. The Tax Benefit Preservation Plan was subsequently ratified by our stockholders at the 2022 Annual Meeting of Stockholders of AAG. On October 31, 2024, AAG entered into Amendment No. 1 to the Tax Benefit Preservation Plan to extend the expiration date to October 29, 2027, which was subsequently approved by our stockholders at the 2025 Annual Meeting of Stockholders of AAG. The Tax Benefit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 Preservation Plan may adversely affect the marketability of AAG common stock by discouraging existing or potential investors from acquiring shares of AAG common stock, because any non-exempt third party that acquires 4.9% or more of the then-outstanding shares of AAG common stock would suffer substantial dilution of its ownership interest in AAG.</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48</w:t>
      </w:r>
    </w:p>
    <w:p>
      <w:pPr>
        <w:sectPr>
          <w:pgSz w:w="11880" w:h="15480" w:orient="portrait"/>
          <w:cols w:equalWidth="0" w:num="1">
            <w:col w:w="10680"/>
          </w:cols>
          <w:pgMar w:left="600" w:top="992" w:right="600" w:bottom="0" w:gutter="0" w:footer="0" w:header="0"/>
          <w:type w:val="continuous"/>
        </w:sectPr>
      </w:pPr>
    </w:p>
    <w:bookmarkStart w:id="49" w:name="page50"/>
    <w:bookmarkEnd w:id="49"/>
    <w:p>
      <w:pPr>
        <w:jc w:val="both"/>
        <w:ind w:firstLine="267"/>
        <w:spacing w:after="0" w:line="269" w:lineRule="auto"/>
        <w:rPr>
          <w:sz w:val="20"/>
          <w:szCs w:val="20"/>
          <w:color w:val="auto"/>
        </w:rPr>
      </w:pPr>
      <w:r>
        <w:rPr>
          <w:rFonts w:ascii="Arial" w:cs="Arial" w:eastAsia="Arial" w:hAnsi="Arial"/>
          <w:sz w:val="20"/>
          <w:szCs w:val="20"/>
          <w:b w:val="1"/>
          <w:bCs w:val="1"/>
          <w:i w:val="1"/>
          <w:iCs w:val="1"/>
          <w:color w:val="00162F"/>
        </w:rPr>
        <w:t>AAG’s Certificate of Incorporation, Bylaws and Tax Benefit Preservation Plan include provisions that limit voting and acquisition and disposition of our equity interests and specify an exclusive forum for certain stockholder disputes.</w:t>
      </w:r>
    </w:p>
    <w:p>
      <w:pPr>
        <w:spacing w:after="0" w:line="27"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20"/>
          <w:szCs w:val="20"/>
          <w:i w:val="1"/>
          <w:iCs w:val="1"/>
          <w:color w:val="00162F"/>
        </w:rPr>
        <w:t>Ownership Restrictions</w:t>
      </w:r>
      <w:r>
        <w:rPr>
          <w:rFonts w:ascii="Arial" w:cs="Arial" w:eastAsia="Arial" w:hAnsi="Arial"/>
          <w:sz w:val="20"/>
          <w:szCs w:val="20"/>
          <w:color w:val="00162F"/>
        </w:rPr>
        <w:t xml:space="preserve">” and AAG’s Description of the Registrants’ Securities Registered Pursuant to Section 12 of the Exchange Act, which is filed as Exhibit 4.1 hereto. Further restrictions are set forth in our Tax Benefit Preservation Plan, which was filed as Exhibit 4.1 to AAG’s Current Report on Form 8-K filed on December 22, 2021 and amendments to the Tax Benefit Preservation Plan, filed as Exhibit 4.1 to AAG’s Current Report on Form 8-K filed on November 1, 2024. These restrictions, including the ownership limitations described above in </w:t>
      </w:r>
      <w:r>
        <w:rPr>
          <w:rFonts w:ascii="Arial" w:cs="Arial" w:eastAsia="Arial" w:hAnsi="Arial"/>
          <w:sz w:val="20"/>
          <w:szCs w:val="20"/>
          <w:i w:val="1"/>
          <w:iCs w:val="1"/>
          <w:color w:val="00162F"/>
        </w:rPr>
        <w:t>“Our ability to utilize our net operating losses (NOLs) and other carryforwards may be</w:t>
      </w:r>
      <w:r>
        <w:rPr>
          <w:rFonts w:ascii="Arial" w:cs="Arial" w:eastAsia="Arial" w:hAnsi="Arial"/>
          <w:sz w:val="20"/>
          <w:szCs w:val="20"/>
          <w:color w:val="00162F"/>
        </w:rPr>
        <w:t xml:space="preserve"> </w:t>
      </w:r>
      <w:r>
        <w:rPr>
          <w:rFonts w:ascii="Arial" w:cs="Arial" w:eastAsia="Arial" w:hAnsi="Arial"/>
          <w:sz w:val="20"/>
          <w:szCs w:val="20"/>
          <w:i w:val="1"/>
          <w:iCs w:val="1"/>
          <w:color w:val="00162F"/>
        </w:rPr>
        <w:t>limited”</w:t>
      </w:r>
      <w:r>
        <w:rPr>
          <w:rFonts w:ascii="Arial" w:cs="Arial" w:eastAsia="Arial" w:hAnsi="Arial"/>
          <w:sz w:val="20"/>
          <w:szCs w:val="20"/>
          <w:color w:val="00162F"/>
        </w:rPr>
        <w:t>, may adversely affect the ability of certain holders of AAG common stock and our other equity interests to vote</w:t>
      </w:r>
      <w:r>
        <w:rPr>
          <w:rFonts w:ascii="Arial" w:cs="Arial" w:eastAsia="Arial" w:hAnsi="Arial"/>
          <w:sz w:val="20"/>
          <w:szCs w:val="20"/>
          <w:i w:val="1"/>
          <w:iCs w:val="1"/>
          <w:color w:val="00162F"/>
        </w:rPr>
        <w:t xml:space="preserve"> </w:t>
      </w:r>
      <w:r>
        <w:rPr>
          <w:rFonts w:ascii="Arial" w:cs="Arial" w:eastAsia="Arial" w:hAnsi="Arial"/>
          <w:sz w:val="20"/>
          <w:szCs w:val="20"/>
          <w:color w:val="00162F"/>
        </w:rPr>
        <w:t>such interests and adversely affect the ability of persons to acquire shares of AAG common stock and our other equity interests.</w:t>
      </w:r>
    </w:p>
    <w:p>
      <w:pPr>
        <w:spacing w:after="0" w:line="146"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Our Certificate of Incorporation and Bylaws also specify that the Court of Chancery of the State of Delaware shall be the exclusive forum for substantially all disputes between us and our stockholders. We do not intend for this exclusive forum provision to apply to suits brought to enforce any duty or liability created by the Exchange Act or any other claim for which the federal courts have exclusive jurisdiction. Our Bylaws further provide that the federal district courts of the United States shall be the exclusive forum for claims under the Securities Act. The forum selection provisions may restrict a stockholder’s ability to bring a claim against us or our directors or officers in a forum that it finds favorable, which may discourage stockholders from bringing such claims at all. Alternatively, if a court were to find the forum selection provisions contained in our Certificate of Incorporation and Bylaws to be inapplicable or unenforceable in an action, we may incur additional costs associated with resolving such action in another forum, which could materially adversely affect our business, financial condition and results of operations.</w:t>
      </w:r>
    </w:p>
    <w:p>
      <w:pPr>
        <w:spacing w:after="0" w:line="239" w:lineRule="exact"/>
        <w:rPr>
          <w:sz w:val="20"/>
          <w:szCs w:val="20"/>
          <w:color w:val="auto"/>
        </w:rPr>
      </w:pPr>
    </w:p>
    <w:p>
      <w:pPr>
        <w:jc w:val="both"/>
        <w:ind w:left="260"/>
        <w:spacing w:after="0" w:line="269" w:lineRule="auto"/>
        <w:rPr>
          <w:sz w:val="20"/>
          <w:szCs w:val="20"/>
          <w:color w:val="auto"/>
        </w:rPr>
      </w:pPr>
      <w:r>
        <w:rPr>
          <w:rFonts w:ascii="Arial" w:cs="Arial" w:eastAsia="Arial" w:hAnsi="Arial"/>
          <w:sz w:val="20"/>
          <w:szCs w:val="20"/>
          <w:b w:val="1"/>
          <w:bCs w:val="1"/>
          <w:i w:val="1"/>
          <w:iCs w:val="1"/>
          <w:color w:val="00162F"/>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2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29" w:lineRule="exact"/>
        <w:rPr>
          <w:sz w:val="20"/>
          <w:szCs w:val="20"/>
          <w:color w:val="auto"/>
        </w:rPr>
      </w:pPr>
    </w:p>
    <w:p>
      <w:pPr>
        <w:ind w:left="700" w:hanging="349"/>
        <w:spacing w:after="0"/>
        <w:tabs>
          <w:tab w:leader="none" w:pos="700" w:val="left"/>
        </w:tabs>
        <w:numPr>
          <w:ilvl w:val="0"/>
          <w:numId w:val="21"/>
        </w:numPr>
        <w:rPr>
          <w:rFonts w:ascii="Arial" w:cs="Arial" w:eastAsia="Arial" w:hAnsi="Arial"/>
          <w:sz w:val="20"/>
          <w:szCs w:val="20"/>
          <w:color w:val="00162F"/>
        </w:rPr>
      </w:pPr>
      <w:r>
        <w:rPr>
          <w:rFonts w:ascii="Arial" w:cs="Arial" w:eastAsia="Arial" w:hAnsi="Arial"/>
          <w:sz w:val="20"/>
          <w:szCs w:val="20"/>
          <w:color w:val="00162F"/>
        </w:rPr>
        <w:t>advance notice procedures for stockholder proposals to be considered at stockholders’ meetings;</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21"/>
        </w:numPr>
        <w:rPr>
          <w:rFonts w:ascii="Arial" w:cs="Arial" w:eastAsia="Arial" w:hAnsi="Arial"/>
          <w:sz w:val="20"/>
          <w:szCs w:val="20"/>
          <w:color w:val="00162F"/>
        </w:rPr>
      </w:pPr>
      <w:r>
        <w:rPr>
          <w:rFonts w:ascii="Arial" w:cs="Arial" w:eastAsia="Arial" w:hAnsi="Arial"/>
          <w:sz w:val="20"/>
          <w:szCs w:val="20"/>
          <w:color w:val="00162F"/>
        </w:rPr>
        <w:t>the ability of our Board of Directors to fill vacancies on the board;</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21"/>
        </w:numPr>
        <w:rPr>
          <w:rFonts w:ascii="Arial" w:cs="Arial" w:eastAsia="Arial" w:hAnsi="Arial"/>
          <w:sz w:val="20"/>
          <w:szCs w:val="20"/>
          <w:color w:val="00162F"/>
        </w:rPr>
      </w:pPr>
      <w:r>
        <w:rPr>
          <w:rFonts w:ascii="Arial" w:cs="Arial" w:eastAsia="Arial" w:hAnsi="Arial"/>
          <w:sz w:val="20"/>
          <w:szCs w:val="20"/>
          <w:color w:val="00162F"/>
        </w:rPr>
        <w:t>a prohibition against stockholders taking action by written consent;</w:t>
      </w:r>
    </w:p>
    <w:p>
      <w:pPr>
        <w:spacing w:after="0" w:line="185"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21"/>
        </w:numPr>
        <w:rPr>
          <w:rFonts w:ascii="Arial" w:cs="Arial" w:eastAsia="Arial" w:hAnsi="Arial"/>
          <w:sz w:val="20"/>
          <w:szCs w:val="20"/>
          <w:color w:val="00162F"/>
        </w:rPr>
      </w:pPr>
      <w:r>
        <w:rPr>
          <w:rFonts w:ascii="Arial" w:cs="Arial" w:eastAsia="Arial" w:hAnsi="Arial"/>
          <w:sz w:val="20"/>
          <w:szCs w:val="20"/>
          <w:color w:val="00162F"/>
        </w:rPr>
        <w:t>stockholders are restricted from calling a special meeting unless they hold at least 20% of our outstanding shares and follow the procedures provided for in the Bylaws;</w:t>
      </w:r>
    </w:p>
    <w:p>
      <w:pPr>
        <w:spacing w:after="0" w:line="112"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21"/>
        </w:numPr>
        <w:rPr>
          <w:rFonts w:ascii="Arial" w:cs="Arial" w:eastAsia="Arial" w:hAnsi="Arial"/>
          <w:sz w:val="20"/>
          <w:szCs w:val="20"/>
          <w:color w:val="00162F"/>
        </w:rPr>
      </w:pPr>
      <w:r>
        <w:rPr>
          <w:rFonts w:ascii="Arial" w:cs="Arial" w:eastAsia="Arial" w:hAnsi="Arial"/>
          <w:sz w:val="20"/>
          <w:szCs w:val="20"/>
          <w:color w:val="00162F"/>
        </w:rPr>
        <w:t>a requirement that holders of at least 80% of the voting power of the shares entitled to vote in the election of directors approve any amendment of our Bylaws submitted to stockholders for approval; and</w:t>
      </w:r>
    </w:p>
    <w:p>
      <w:pPr>
        <w:spacing w:after="0" w:line="112" w:lineRule="exact"/>
        <w:rPr>
          <w:rFonts w:ascii="Arial" w:cs="Arial" w:eastAsia="Arial" w:hAnsi="Arial"/>
          <w:sz w:val="20"/>
          <w:szCs w:val="20"/>
          <w:color w:val="00162F"/>
        </w:rPr>
      </w:pPr>
    </w:p>
    <w:p>
      <w:pPr>
        <w:ind w:left="700" w:hanging="349"/>
        <w:spacing w:after="0"/>
        <w:tabs>
          <w:tab w:leader="none" w:pos="700" w:val="left"/>
        </w:tabs>
        <w:numPr>
          <w:ilvl w:val="0"/>
          <w:numId w:val="21"/>
        </w:numPr>
        <w:rPr>
          <w:rFonts w:ascii="Arial" w:cs="Arial" w:eastAsia="Arial" w:hAnsi="Arial"/>
          <w:sz w:val="20"/>
          <w:szCs w:val="20"/>
          <w:color w:val="00162F"/>
        </w:rPr>
      </w:pPr>
      <w:r>
        <w:rPr>
          <w:rFonts w:ascii="Arial" w:cs="Arial" w:eastAsia="Arial" w:hAnsi="Arial"/>
          <w:sz w:val="20"/>
          <w:szCs w:val="20"/>
          <w:color w:val="00162F"/>
        </w:rPr>
        <w:t>super-majority voting requirements to modify or amend specified provisions of our Certificate of Incorporation.</w:t>
      </w:r>
    </w:p>
    <w:p>
      <w:pPr>
        <w:spacing w:after="0" w:line="18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restricts business combinations with interested stockholders. Interested stockholders do not include stockholders whose acquisition of our securities is approved by the Board of Directors prior to the investment under Section 203.</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49</w:t>
      </w:r>
    </w:p>
    <w:p>
      <w:pPr>
        <w:sectPr>
          <w:pgSz w:w="11880" w:h="15480" w:orient="portrait"/>
          <w:cols w:equalWidth="0" w:num="1">
            <w:col w:w="10680"/>
          </w:cols>
          <w:pgMar w:left="600" w:top="994" w:right="600" w:bottom="0" w:gutter="0" w:footer="0" w:header="0"/>
          <w:type w:val="continuous"/>
        </w:sectPr>
      </w:pPr>
    </w:p>
    <w:bookmarkStart w:id="50" w:name="page51"/>
    <w:bookmarkEnd w:id="50"/>
    <w:p>
      <w:pPr>
        <w:ind w:left="260"/>
        <w:spacing w:after="0" w:line="291" w:lineRule="auto"/>
        <w:rPr>
          <w:sz w:val="20"/>
          <w:szCs w:val="20"/>
          <w:color w:val="auto"/>
        </w:rPr>
      </w:pPr>
      <w:r>
        <w:rPr>
          <w:rFonts w:ascii="Arial" w:cs="Arial" w:eastAsia="Arial" w:hAnsi="Arial"/>
          <w:sz w:val="20"/>
          <w:szCs w:val="20"/>
          <w:b w:val="1"/>
          <w:bCs w:val="1"/>
          <w:i w:val="1"/>
          <w:iCs w:val="1"/>
          <w:color w:val="00162F"/>
        </w:rPr>
        <w:t>The issuance or sale of shares of our common stock or rights to acquire shares of our common stock could depress the trading price of our common stock.</w:t>
      </w:r>
    </w:p>
    <w:p>
      <w:pPr>
        <w:spacing w:after="0" w:line="5"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Further, additional shares of our common stock may be issued in connection with the exercise of warrants originally issued by AAG to the U.S. Department of Treasury. If these additional shares or securities are issued or sold, or if it is perceived that they will be sold, the trading price of our common stock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could decline substantially.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ITEM 1B. UNRESOLVED STAFF COMMENTS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None.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ITEM 1C. CYBERSECURITY</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Cybersecurity Risk Management and Strategy</w:t>
      </w:r>
    </w:p>
    <w:p>
      <w:pPr>
        <w:spacing w:after="0" w:line="97"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9"/>
          <w:szCs w:val="19"/>
          <w:color w:val="00162F"/>
        </w:rPr>
        <w:t>The safety and security of our customers and team members is our top priority. This includes working to put in place appropriate administrative, physical and technical cybersecurity safeguards to help protect our assets that keep our operation running and securely store the information in our care. We have developed and implemented a cybersecurity risk management program intended to protect the confidentiality, integrity, and availability of our systems and information.</w:t>
      </w:r>
    </w:p>
    <w:p>
      <w:pPr>
        <w:spacing w:after="0" w:line="120"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20"/>
          <w:szCs w:val="20"/>
          <w:color w:val="00162F"/>
        </w:rPr>
        <w:t>We have created, and assess our program against, an integrated cybersecurity framework using various National Institute of Standards and Technology (NIST) security standards, guidelines and best practices. This does not imply that we meet any particular technical standards, specifications, or requirements, only that we use various NIST security standards, guidelines and best practices to identify, assess, and manage cybersecurity risks relevant to our business.</w:t>
      </w:r>
    </w:p>
    <w:p>
      <w:pPr>
        <w:spacing w:after="0" w:line="136" w:lineRule="exact"/>
        <w:rPr>
          <w:sz w:val="20"/>
          <w:szCs w:val="20"/>
          <w:color w:val="auto"/>
        </w:rPr>
      </w:pPr>
    </w:p>
    <w:p>
      <w:pPr>
        <w:jc w:val="both"/>
        <w:ind w:firstLine="271"/>
        <w:spacing w:after="0" w:line="269" w:lineRule="auto"/>
        <w:rPr>
          <w:sz w:val="20"/>
          <w:szCs w:val="20"/>
          <w:color w:val="auto"/>
        </w:rPr>
      </w:pPr>
      <w:r>
        <w:rPr>
          <w:rFonts w:ascii="Arial" w:cs="Arial" w:eastAsia="Arial" w:hAnsi="Arial"/>
          <w:sz w:val="19"/>
          <w:szCs w:val="19"/>
          <w:color w:val="00162F"/>
        </w:rPr>
        <w:t>Our cybersecurity risk management program is overseen by our Executive Cybersecurity Risk Group (ECRG) which is comprised of our Chief Digital and Information Officer (CDIO), Chief Financial Officer and Chief Legal Officer. The ECRG, working with our Chief Information Security Officer (CISO), assists the Board of Directors and our senior leadership team in fulfilling their responsibilities for cybersecurity governance, approval and oversight through the periodic reporting and review of security strategy and risk management practices. Our cybersecurity risk management program is integrated into our overall risk management processes and shares common reporting channels and governance processes that apply across the enterprise to other legal, compliance, strategic, operational, and financial risk governance programs.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Our cybersecurity risk management program includes:</w:t>
      </w:r>
    </w:p>
    <w:p>
      <w:pPr>
        <w:spacing w:after="0" w:line="186" w:lineRule="exact"/>
        <w:rPr>
          <w:sz w:val="20"/>
          <w:szCs w:val="20"/>
          <w:color w:val="auto"/>
        </w:rPr>
      </w:pPr>
    </w:p>
    <w:p>
      <w:pPr>
        <w:ind w:left="700" w:hanging="349"/>
        <w:spacing w:after="0" w:line="282" w:lineRule="auto"/>
        <w:tabs>
          <w:tab w:leader="none" w:pos="700" w:val="left"/>
        </w:tabs>
        <w:numPr>
          <w:ilvl w:val="0"/>
          <w:numId w:val="22"/>
        </w:numPr>
        <w:rPr>
          <w:rFonts w:ascii="Arial" w:cs="Arial" w:eastAsia="Arial" w:hAnsi="Arial"/>
          <w:sz w:val="20"/>
          <w:szCs w:val="20"/>
          <w:color w:val="00162F"/>
        </w:rPr>
      </w:pPr>
      <w:r>
        <w:rPr>
          <w:rFonts w:ascii="Arial" w:cs="Arial" w:eastAsia="Arial" w:hAnsi="Arial"/>
          <w:sz w:val="20"/>
          <w:szCs w:val="20"/>
          <w:color w:val="00162F"/>
        </w:rPr>
        <w:t>risk assessments designed to help identify material risks from cybersecurity threats to our critical systems, information, and our broader enterprise information technology environment;</w:t>
      </w:r>
    </w:p>
    <w:p>
      <w:pPr>
        <w:spacing w:after="0" w:line="112" w:lineRule="exact"/>
        <w:rPr>
          <w:rFonts w:ascii="Arial" w:cs="Arial" w:eastAsia="Arial" w:hAnsi="Arial"/>
          <w:sz w:val="20"/>
          <w:szCs w:val="20"/>
          <w:color w:val="00162F"/>
        </w:rPr>
      </w:pPr>
    </w:p>
    <w:p>
      <w:pPr>
        <w:jc w:val="both"/>
        <w:ind w:left="700" w:hanging="349"/>
        <w:spacing w:after="0" w:line="265" w:lineRule="auto"/>
        <w:tabs>
          <w:tab w:leader="none" w:pos="700" w:val="left"/>
        </w:tabs>
        <w:numPr>
          <w:ilvl w:val="0"/>
          <w:numId w:val="22"/>
        </w:numPr>
        <w:rPr>
          <w:rFonts w:ascii="Arial" w:cs="Arial" w:eastAsia="Arial" w:hAnsi="Arial"/>
          <w:sz w:val="20"/>
          <w:szCs w:val="20"/>
          <w:color w:val="00162F"/>
        </w:rPr>
      </w:pPr>
      <w:r>
        <w:rPr>
          <w:rFonts w:ascii="Arial" w:cs="Arial" w:eastAsia="Arial" w:hAnsi="Arial"/>
          <w:sz w:val="20"/>
          <w:szCs w:val="20"/>
          <w:color w:val="00162F"/>
        </w:rPr>
        <w:t>a cybersecurity team principally responsible for managing our (1) cybersecurity risk assessment processes, (2) security controls, (3) vulnerability management program and (4) detection and response to cybersecurity incidents;</w:t>
      </w:r>
    </w:p>
    <w:p>
      <w:pPr>
        <w:spacing w:after="0" w:line="129"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22"/>
        </w:numPr>
        <w:rPr>
          <w:rFonts w:ascii="Arial" w:cs="Arial" w:eastAsia="Arial" w:hAnsi="Arial"/>
          <w:sz w:val="20"/>
          <w:szCs w:val="20"/>
          <w:color w:val="00162F"/>
        </w:rPr>
      </w:pPr>
      <w:r>
        <w:rPr>
          <w:rFonts w:ascii="Arial" w:cs="Arial" w:eastAsia="Arial" w:hAnsi="Arial"/>
          <w:sz w:val="20"/>
          <w:szCs w:val="20"/>
          <w:color w:val="00162F"/>
        </w:rPr>
        <w:t>the use of external service providers, where appropriate, to assess, test or otherwise assist with aspects of our security controls;</w:t>
      </w:r>
    </w:p>
    <w:p>
      <w:pPr>
        <w:spacing w:after="0" w:line="112"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22"/>
        </w:numPr>
        <w:rPr>
          <w:rFonts w:ascii="Arial" w:cs="Arial" w:eastAsia="Arial" w:hAnsi="Arial"/>
          <w:sz w:val="20"/>
          <w:szCs w:val="20"/>
          <w:color w:val="00162F"/>
        </w:rPr>
      </w:pPr>
      <w:r>
        <w:rPr>
          <w:rFonts w:ascii="Arial" w:cs="Arial" w:eastAsia="Arial" w:hAnsi="Arial"/>
          <w:sz w:val="20"/>
          <w:szCs w:val="20"/>
          <w:color w:val="00162F"/>
        </w:rPr>
        <w:t>policies, procedures and standards that are utilized to outline expectations, guidelines and best practices for managing cybersecurity risks;</w:t>
      </w:r>
    </w:p>
    <w:p>
      <w:pPr>
        <w:spacing w:after="0" w:line="112" w:lineRule="exact"/>
        <w:rPr>
          <w:rFonts w:ascii="Arial" w:cs="Arial" w:eastAsia="Arial" w:hAnsi="Arial"/>
          <w:sz w:val="20"/>
          <w:szCs w:val="20"/>
          <w:color w:val="00162F"/>
        </w:rPr>
      </w:pPr>
    </w:p>
    <w:p>
      <w:pPr>
        <w:ind w:left="700" w:hanging="349"/>
        <w:spacing w:after="0"/>
        <w:tabs>
          <w:tab w:leader="none" w:pos="700" w:val="left"/>
        </w:tabs>
        <w:numPr>
          <w:ilvl w:val="0"/>
          <w:numId w:val="22"/>
        </w:numPr>
        <w:rPr>
          <w:rFonts w:ascii="Arial" w:cs="Arial" w:eastAsia="Arial" w:hAnsi="Arial"/>
          <w:sz w:val="20"/>
          <w:szCs w:val="20"/>
          <w:color w:val="00162F"/>
        </w:rPr>
      </w:pPr>
      <w:r>
        <w:rPr>
          <w:rFonts w:ascii="Arial" w:cs="Arial" w:eastAsia="Arial" w:hAnsi="Arial"/>
          <w:sz w:val="20"/>
          <w:szCs w:val="20"/>
          <w:color w:val="00162F"/>
        </w:rPr>
        <w:t>cybersecurity awareness training for our employees, incident response personnel and senior management;</w:t>
      </w:r>
    </w:p>
    <w:p>
      <w:pPr>
        <w:spacing w:after="0" w:line="185" w:lineRule="exact"/>
        <w:rPr>
          <w:rFonts w:ascii="Arial" w:cs="Arial" w:eastAsia="Arial" w:hAnsi="Arial"/>
          <w:sz w:val="20"/>
          <w:szCs w:val="20"/>
          <w:color w:val="00162F"/>
        </w:rPr>
      </w:pPr>
    </w:p>
    <w:p>
      <w:pPr>
        <w:ind w:left="700" w:hanging="349"/>
        <w:spacing w:after="0"/>
        <w:tabs>
          <w:tab w:leader="none" w:pos="700" w:val="left"/>
        </w:tabs>
        <w:numPr>
          <w:ilvl w:val="0"/>
          <w:numId w:val="22"/>
        </w:numPr>
        <w:rPr>
          <w:rFonts w:ascii="Arial" w:cs="Arial" w:eastAsia="Arial" w:hAnsi="Arial"/>
          <w:sz w:val="20"/>
          <w:szCs w:val="20"/>
          <w:color w:val="00162F"/>
        </w:rPr>
      </w:pPr>
      <w:r>
        <w:rPr>
          <w:rFonts w:ascii="Arial" w:cs="Arial" w:eastAsia="Arial" w:hAnsi="Arial"/>
          <w:sz w:val="20"/>
          <w:szCs w:val="20"/>
          <w:color w:val="00162F"/>
        </w:rPr>
        <w:t>a cybersecurity incident response plan that (1) includes procedures for responding to cybersecurity incidents and</w:t>
      </w:r>
    </w:p>
    <w:p>
      <w:pPr>
        <w:spacing w:after="0" w:line="7" w:lineRule="exact"/>
        <w:rPr>
          <w:rFonts w:ascii="Arial" w:cs="Arial" w:eastAsia="Arial" w:hAnsi="Arial"/>
          <w:sz w:val="20"/>
          <w:szCs w:val="20"/>
          <w:color w:val="00162F"/>
        </w:rPr>
      </w:pPr>
    </w:p>
    <w:p>
      <w:pPr>
        <w:ind w:left="1000" w:hanging="292"/>
        <w:spacing w:after="0"/>
        <w:tabs>
          <w:tab w:leader="none" w:pos="1000" w:val="left"/>
        </w:tabs>
        <w:numPr>
          <w:ilvl w:val="1"/>
          <w:numId w:val="22"/>
        </w:numPr>
        <w:rPr>
          <w:rFonts w:ascii="Arial" w:cs="Arial" w:eastAsia="Arial" w:hAnsi="Arial"/>
          <w:sz w:val="20"/>
          <w:szCs w:val="20"/>
          <w:color w:val="00162F"/>
        </w:rPr>
      </w:pPr>
      <w:r>
        <w:rPr>
          <w:rFonts w:ascii="Arial" w:cs="Arial" w:eastAsia="Arial" w:hAnsi="Arial"/>
          <w:sz w:val="20"/>
          <w:szCs w:val="20"/>
          <w:color w:val="00162F"/>
        </w:rPr>
        <w:t>is periodically tested through exercises; and</w:t>
      </w:r>
    </w:p>
    <w:p>
      <w:pPr>
        <w:spacing w:after="0" w:line="185" w:lineRule="exact"/>
        <w:rPr>
          <w:rFonts w:ascii="Arial" w:cs="Arial" w:eastAsia="Arial" w:hAnsi="Arial"/>
          <w:sz w:val="20"/>
          <w:szCs w:val="20"/>
          <w:color w:val="00162F"/>
        </w:rPr>
      </w:pPr>
    </w:p>
    <w:p>
      <w:pPr>
        <w:ind w:left="700" w:hanging="349"/>
        <w:spacing w:after="0" w:line="282" w:lineRule="auto"/>
        <w:tabs>
          <w:tab w:leader="none" w:pos="700" w:val="left"/>
        </w:tabs>
        <w:numPr>
          <w:ilvl w:val="0"/>
          <w:numId w:val="22"/>
        </w:numPr>
        <w:rPr>
          <w:rFonts w:ascii="Arial" w:cs="Arial" w:eastAsia="Arial" w:hAnsi="Arial"/>
          <w:sz w:val="20"/>
          <w:szCs w:val="20"/>
          <w:color w:val="00162F"/>
        </w:rPr>
      </w:pPr>
      <w:r>
        <w:rPr>
          <w:rFonts w:ascii="Arial" w:cs="Arial" w:eastAsia="Arial" w:hAnsi="Arial"/>
          <w:sz w:val="20"/>
          <w:szCs w:val="20"/>
          <w:color w:val="00162F"/>
        </w:rPr>
        <w:t>a third-party risk management process for critical information technology service providers, suppliers, and vendors.</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50</w:t>
      </w:r>
    </w:p>
    <w:p>
      <w:pPr>
        <w:sectPr>
          <w:pgSz w:w="11880" w:h="15480" w:orient="portrait"/>
          <w:cols w:equalWidth="0" w:num="1">
            <w:col w:w="10680"/>
          </w:cols>
          <w:pgMar w:left="600" w:top="994" w:right="600" w:bottom="0" w:gutter="0" w:footer="0" w:header="0"/>
          <w:type w:val="continuous"/>
        </w:sectPr>
      </w:pPr>
    </w:p>
    <w:bookmarkStart w:id="51" w:name="page52"/>
    <w:bookmarkEnd w:id="51"/>
    <w:p>
      <w:pPr>
        <w:jc w:val="both"/>
        <w:ind w:firstLine="271"/>
        <w:spacing w:after="0" w:line="252" w:lineRule="auto"/>
        <w:rPr>
          <w:sz w:val="20"/>
          <w:szCs w:val="20"/>
          <w:color w:val="auto"/>
        </w:rPr>
      </w:pPr>
      <w:r>
        <w:rPr>
          <w:rFonts w:ascii="Arial" w:cs="Arial" w:eastAsia="Arial" w:hAnsi="Arial"/>
          <w:sz w:val="20"/>
          <w:szCs w:val="20"/>
          <w:color w:val="00162F"/>
        </w:rPr>
        <w:t xml:space="preserve">We are constantly assessing our environment for cybersecurity threats, and we face risks from cybersecurity threats that, if realized, are reasonably likely to materially affect us, including our operations, business strategy, results of operations or financial condition. At the time of this filing, we have not identified risks from known cybersecurity threats, including as a result of any prior cybersecurity incidents, that have materially affected us, including our operations, business strategy, results of operations or financial condition. See Part I, Item 1A. Risk Factors – “ </w:t>
      </w:r>
      <w:r>
        <w:rPr>
          <w:rFonts w:ascii="Arial" w:cs="Arial" w:eastAsia="Arial" w:hAnsi="Arial"/>
          <w:sz w:val="20"/>
          <w:szCs w:val="20"/>
          <w:i w:val="1"/>
          <w:iCs w:val="1"/>
          <w:color w:val="00162F"/>
        </w:rPr>
        <w:t>Evolving data privacy</w:t>
      </w:r>
      <w:r>
        <w:rPr>
          <w:rFonts w:ascii="Arial" w:cs="Arial" w:eastAsia="Arial" w:hAnsi="Arial"/>
          <w:sz w:val="20"/>
          <w:szCs w:val="20"/>
          <w:color w:val="00162F"/>
        </w:rPr>
        <w:t xml:space="preserve"> </w:t>
      </w:r>
      <w:r>
        <w:rPr>
          <w:rFonts w:ascii="Arial" w:cs="Arial" w:eastAsia="Arial" w:hAnsi="Arial"/>
          <w:sz w:val="20"/>
          <w:szCs w:val="20"/>
          <w:i w:val="1"/>
          <w:iCs w:val="1"/>
          <w:color w:val="00162F"/>
        </w:rPr>
        <w:t>requirements (in particular, compliance with applicable federal, state and foreign laws relating to handling of personal information about individuals) could increase our costs, and any significant data privacy incident could disrupt our operations, harm our reputation, expose us to legal risks and otherwise materially adversely affect our business, results of operations and financial condition.</w:t>
      </w:r>
      <w:r>
        <w:rPr>
          <w:rFonts w:ascii="Arial" w:cs="Arial" w:eastAsia="Arial" w:hAnsi="Arial"/>
          <w:sz w:val="20"/>
          <w:szCs w:val="20"/>
          <w:color w:val="00162F"/>
        </w:rPr>
        <w:t>”</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0162F"/>
        </w:rPr>
        <w:t>Cybersecurity Governance</w:t>
      </w:r>
    </w:p>
    <w:p>
      <w:pPr>
        <w:spacing w:after="0" w:line="97" w:lineRule="exact"/>
        <w:rPr>
          <w:sz w:val="20"/>
          <w:szCs w:val="20"/>
          <w:color w:val="auto"/>
        </w:rPr>
      </w:pPr>
    </w:p>
    <w:p>
      <w:pPr>
        <w:jc w:val="both"/>
        <w:ind w:firstLine="271"/>
        <w:spacing w:after="0" w:line="265" w:lineRule="auto"/>
        <w:rPr>
          <w:sz w:val="20"/>
          <w:szCs w:val="20"/>
          <w:color w:val="auto"/>
        </w:rPr>
      </w:pPr>
      <w:r>
        <w:rPr>
          <w:rFonts w:ascii="Arial" w:cs="Arial" w:eastAsia="Arial" w:hAnsi="Arial"/>
          <w:sz w:val="20"/>
          <w:szCs w:val="20"/>
          <w:color w:val="00162F"/>
        </w:rPr>
        <w:t>Our Board of Directors considers cybersecurity risk as part of its risk oversight function and has delegated to the Audit Committee oversight of cybersecurity and other information technology risks. In turn, the Audit Committee oversees management’s implementation of our cybersecurity risk management program.</w:t>
      </w:r>
    </w:p>
    <w:p>
      <w:pPr>
        <w:spacing w:after="0" w:line="129" w:lineRule="exact"/>
        <w:rPr>
          <w:sz w:val="20"/>
          <w:szCs w:val="20"/>
          <w:color w:val="auto"/>
        </w:rPr>
      </w:pPr>
    </w:p>
    <w:p>
      <w:pPr>
        <w:jc w:val="both"/>
        <w:ind w:firstLine="271"/>
        <w:spacing w:after="0" w:line="265" w:lineRule="auto"/>
        <w:rPr>
          <w:sz w:val="20"/>
          <w:szCs w:val="20"/>
          <w:color w:val="auto"/>
        </w:rPr>
      </w:pPr>
      <w:r>
        <w:rPr>
          <w:rFonts w:ascii="Arial" w:cs="Arial" w:eastAsia="Arial" w:hAnsi="Arial"/>
          <w:sz w:val="20"/>
          <w:szCs w:val="20"/>
          <w:color w:val="00162F"/>
        </w:rPr>
        <w:t>The Audit Committee receives quarterly reports from management on our cybersecurity risks. In addition, management updates the Audit Committee, as necessary, regarding any material cybersecurity incidents, as well as certain incidents with lesser impact potential.</w:t>
      </w:r>
    </w:p>
    <w:p>
      <w:pPr>
        <w:spacing w:after="0" w:line="129" w:lineRule="exact"/>
        <w:rPr>
          <w:sz w:val="20"/>
          <w:szCs w:val="20"/>
          <w:color w:val="auto"/>
        </w:rPr>
      </w:pPr>
    </w:p>
    <w:p>
      <w:pPr>
        <w:jc w:val="both"/>
        <w:ind w:firstLine="271"/>
        <w:spacing w:after="0" w:line="254" w:lineRule="auto"/>
        <w:rPr>
          <w:sz w:val="20"/>
          <w:szCs w:val="20"/>
          <w:color w:val="auto"/>
        </w:rPr>
      </w:pPr>
      <w:r>
        <w:rPr>
          <w:rFonts w:ascii="Arial" w:cs="Arial" w:eastAsia="Arial" w:hAnsi="Arial"/>
          <w:sz w:val="20"/>
          <w:szCs w:val="20"/>
          <w:color w:val="00162F"/>
        </w:rPr>
        <w:t>The Audit Committee reports to the full Board of Directors regarding its activities, including those related to cybersecurity. The full Board of Directors also receives periodic briefings from management on our cybersecurity risk management program. Board of Director members receive presentations on cybersecurity topics from a combination of our CDIO, CISO, Deputy General Counsel – Chief Privacy and Data Protection Officer, internal security staff, external counsel or external experts, as part of the Board of Director’s continuing education on topics that impact public companies.</w:t>
      </w:r>
    </w:p>
    <w:p>
      <w:pPr>
        <w:spacing w:after="0" w:line="143" w:lineRule="exact"/>
        <w:rPr>
          <w:sz w:val="20"/>
          <w:szCs w:val="20"/>
          <w:color w:val="auto"/>
        </w:rPr>
      </w:pPr>
    </w:p>
    <w:p>
      <w:pPr>
        <w:jc w:val="both"/>
        <w:ind w:firstLine="357"/>
        <w:spacing w:after="0" w:line="252" w:lineRule="auto"/>
        <w:rPr>
          <w:sz w:val="20"/>
          <w:szCs w:val="20"/>
          <w:color w:val="auto"/>
        </w:rPr>
      </w:pPr>
      <w:r>
        <w:rPr>
          <w:rFonts w:ascii="Arial" w:cs="Arial" w:eastAsia="Arial" w:hAnsi="Arial"/>
          <w:sz w:val="20"/>
          <w:szCs w:val="20"/>
          <w:color w:val="00162F"/>
        </w:rPr>
        <w:t>Our management team, including our CDIO, CISO, Deputy General Counsel – Chief Privacy and Data Protection Officer and additional members of the ECRG are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Collectively, our management team has extensive information technology experience, as well as cybersecurity incident response, compliance, oversight, and program management experience. Additionally, certain leaders and personnel within the cybersecurity organization hold industry certifications, such as Certified Information Systems Security Professional or Certified Information Security Manager.</w:t>
      </w:r>
    </w:p>
    <w:p>
      <w:pPr>
        <w:spacing w:after="0" w:line="147" w:lineRule="exact"/>
        <w:rPr>
          <w:sz w:val="20"/>
          <w:szCs w:val="20"/>
          <w:color w:val="auto"/>
        </w:rPr>
      </w:pPr>
    </w:p>
    <w:p>
      <w:pPr>
        <w:jc w:val="both"/>
        <w:ind w:firstLine="271"/>
        <w:spacing w:after="0" w:line="265" w:lineRule="auto"/>
        <w:rPr>
          <w:sz w:val="20"/>
          <w:szCs w:val="20"/>
          <w:color w:val="auto"/>
        </w:rPr>
      </w:pPr>
      <w:r>
        <w:rPr>
          <w:rFonts w:ascii="Arial" w:cs="Arial" w:eastAsia="Arial" w:hAnsi="Arial"/>
          <w:sz w:val="20"/>
          <w:szCs w:val="20"/>
          <w:color w:val="00162F"/>
        </w:rPr>
        <w:t>Our management team supervises efforts to prevent, detect, mitigate, and remediate cybersecurity risks and incidents through various means, which may include briefings from internal security personnel; threat intelligence and other various sources including external consultants engaged by us.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51</w:t>
      </w:r>
    </w:p>
    <w:p>
      <w:pPr>
        <w:sectPr>
          <w:pgSz w:w="11880" w:h="15480" w:orient="portrait"/>
          <w:cols w:equalWidth="0" w:num="1">
            <w:col w:w="10680"/>
          </w:cols>
          <w:pgMar w:left="600" w:top="992" w:right="600" w:bottom="0" w:gutter="0" w:footer="0" w:header="0"/>
          <w:type w:val="continuous"/>
        </w:sectPr>
      </w:pPr>
    </w:p>
    <w:bookmarkStart w:id="52" w:name="page53"/>
    <w:bookmarkEnd w:id="52"/>
    <w:p>
      <w:pPr>
        <w:ind w:left="5"/>
        <w:spacing w:after="0"/>
        <w:rPr>
          <w:sz w:val="20"/>
          <w:szCs w:val="20"/>
          <w:color w:val="auto"/>
        </w:rPr>
      </w:pPr>
      <w:r>
        <w:rPr>
          <w:rFonts w:ascii="Arial" w:cs="Arial" w:eastAsia="Arial" w:hAnsi="Arial"/>
          <w:sz w:val="20"/>
          <w:szCs w:val="20"/>
          <w:b w:val="1"/>
          <w:bCs w:val="1"/>
          <w:color w:val="00162F"/>
        </w:rPr>
        <w:t>ITEM 2. PROPERTIES</w:t>
      </w:r>
    </w:p>
    <w:p>
      <w:pPr>
        <w:spacing w:after="0" w:line="97"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Flight Equipment</w:t>
      </w:r>
    </w:p>
    <w:p>
      <w:pPr>
        <w:spacing w:after="0" w:line="97" w:lineRule="exact"/>
        <w:rPr>
          <w:sz w:val="20"/>
          <w:szCs w:val="20"/>
          <w:color w:val="auto"/>
        </w:rPr>
      </w:pPr>
    </w:p>
    <w:p>
      <w:pPr>
        <w:jc w:val="both"/>
        <w:ind w:left="5" w:firstLine="267"/>
        <w:spacing w:after="0" w:line="253" w:lineRule="auto"/>
        <w:rPr>
          <w:sz w:val="20"/>
          <w:szCs w:val="20"/>
          <w:color w:val="auto"/>
        </w:rPr>
      </w:pPr>
      <w:r>
        <w:rPr>
          <w:rFonts w:ascii="Arial" w:cs="Arial" w:eastAsia="Arial" w:hAnsi="Arial"/>
          <w:sz w:val="20"/>
          <w:szCs w:val="20"/>
          <w:color w:val="00162F"/>
        </w:rPr>
        <w:t>As of December 31, 2025, American operated a mainline fleet of 1,013 aircraft. During 2025, American accepted delivery of 40 mainline aircraft including 23 Boeing 737-8 MAX, 11 Boeing 787-9, five Airbus A321XLR and one Airbus A321neo and returned one leased mainline aircraft. We are supported by our wholly-owned and third-party regional carriers that fly under capacity purchase agreements operating as American Eagle. As of December 31, 2025, American Eagle operated 567 regional aircraft. During 2025, we decreased our regional fleet by 18 aircraft, including the return of 50 regional aircraft to third-party regional carriers and a lessor, offset by the addition of 30 regional aircraft and net of two regional aircraft returned to service from temporary storage.</w:t>
      </w:r>
    </w:p>
    <w:p>
      <w:pPr>
        <w:spacing w:after="0" w:line="234"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Mainline</w:t>
      </w:r>
    </w:p>
    <w:p>
      <w:pPr>
        <w:spacing w:after="0" w:line="95"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As of December 31, 2025, American’s mainline fleet consisted of the following aircraft:</w:t>
      </w:r>
    </w:p>
    <w:p>
      <w:pPr>
        <w:spacing w:after="0" w:line="256"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6"/>
                <w:szCs w:val="16"/>
                <w:b w:val="1"/>
                <w:bCs w:val="1"/>
                <w:color w:val="00162F"/>
              </w:rPr>
              <w:t>Average</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00162F"/>
                <w:w w:val="98"/>
              </w:rPr>
              <w:t>Average</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880" w:type="dxa"/>
            <w:vAlign w:val="bottom"/>
          </w:tcPr>
          <w:p>
            <w:pPr>
              <w:ind w:left="160"/>
              <w:spacing w:after="0" w:line="158" w:lineRule="exact"/>
              <w:rPr>
                <w:sz w:val="20"/>
                <w:szCs w:val="20"/>
                <w:color w:val="auto"/>
              </w:rPr>
            </w:pPr>
            <w:r>
              <w:rPr>
                <w:rFonts w:ascii="Arial" w:cs="Arial" w:eastAsia="Arial" w:hAnsi="Arial"/>
                <w:sz w:val="16"/>
                <w:szCs w:val="16"/>
                <w:b w:val="1"/>
                <w:bCs w:val="1"/>
                <w:color w:val="00162F"/>
              </w:rPr>
              <w:t>Seating</w:t>
            </w:r>
          </w:p>
        </w:tc>
        <w:tc>
          <w:tcPr>
            <w:tcW w:w="8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6"/>
                <w:szCs w:val="16"/>
                <w:b w:val="1"/>
                <w:bCs w:val="1"/>
                <w:color w:val="00162F"/>
                <w:w w:val="99"/>
              </w:rPr>
              <w:t>Age</w:t>
            </w:r>
          </w:p>
        </w:tc>
        <w:tc>
          <w:tcPr>
            <w:tcW w:w="60" w:type="dxa"/>
            <w:vAlign w:val="bottom"/>
          </w:tcPr>
          <w:p>
            <w:pPr>
              <w:spacing w:after="0"/>
              <w:rPr>
                <w:sz w:val="13"/>
                <w:szCs w:val="13"/>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00162F"/>
              </w:rPr>
              <w:t>Owned</w:t>
            </w:r>
          </w:p>
        </w:tc>
        <w:tc>
          <w:tcPr>
            <w:tcW w:w="80" w:type="dxa"/>
            <w:vAlign w:val="bottom"/>
          </w:tcPr>
          <w:p>
            <w:pPr>
              <w:spacing w:after="0"/>
              <w:rPr>
                <w:sz w:val="13"/>
                <w:szCs w:val="13"/>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6"/>
                <w:szCs w:val="16"/>
                <w:b w:val="1"/>
                <w:bCs w:val="1"/>
                <w:color w:val="00162F"/>
              </w:rPr>
              <w:t>Leased</w:t>
            </w:r>
          </w:p>
        </w:tc>
        <w:tc>
          <w:tcPr>
            <w:tcW w:w="60" w:type="dxa"/>
            <w:vAlign w:val="bottom"/>
          </w:tcPr>
          <w:p>
            <w:pPr>
              <w:spacing w:after="0"/>
              <w:rPr>
                <w:sz w:val="13"/>
                <w:szCs w:val="13"/>
                <w:color w:val="auto"/>
              </w:rPr>
            </w:pPr>
          </w:p>
        </w:tc>
        <w:tc>
          <w:tcPr>
            <w:tcW w:w="88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00162F"/>
              </w:rPr>
              <w:t>Total</w:t>
            </w:r>
          </w:p>
        </w:tc>
        <w:tc>
          <w:tcPr>
            <w:tcW w:w="0" w:type="dxa"/>
            <w:vAlign w:val="bottom"/>
          </w:tcPr>
          <w:p>
            <w:pPr>
              <w:spacing w:after="0"/>
              <w:rPr>
                <w:sz w:val="1"/>
                <w:szCs w:val="1"/>
                <w:color w:val="auto"/>
              </w:rPr>
            </w:pPr>
          </w:p>
        </w:tc>
      </w:tr>
      <w:tr>
        <w:trPr>
          <w:trHeight w:val="211"/>
        </w:trPr>
        <w:tc>
          <w:tcPr>
            <w:tcW w:w="1960" w:type="dxa"/>
            <w:vAlign w:val="bottom"/>
            <w:tcBorders>
              <w:bottom w:val="single" w:sz="8" w:color="EDEDED"/>
            </w:tcBorders>
          </w:tcPr>
          <w:p>
            <w:pPr>
              <w:spacing w:after="0"/>
              <w:rPr>
                <w:sz w:val="18"/>
                <w:szCs w:val="18"/>
                <w:color w:val="auto"/>
              </w:rPr>
            </w:pPr>
          </w:p>
        </w:tc>
        <w:tc>
          <w:tcPr>
            <w:tcW w:w="4040" w:type="dxa"/>
            <w:vAlign w:val="bottom"/>
            <w:tcBorders>
              <w:bottom w:val="single" w:sz="8" w:color="EDEDED"/>
            </w:tcBorders>
          </w:tcPr>
          <w:p>
            <w:pPr>
              <w:spacing w:after="0"/>
              <w:rPr>
                <w:sz w:val="18"/>
                <w:szCs w:val="18"/>
                <w:color w:val="auto"/>
              </w:rPr>
            </w:pPr>
          </w:p>
        </w:tc>
        <w:tc>
          <w:tcPr>
            <w:tcW w:w="880" w:type="dxa"/>
            <w:vAlign w:val="bottom"/>
            <w:tcBorders>
              <w:bottom w:val="single" w:sz="8" w:color="00162F"/>
            </w:tcBorders>
          </w:tcPr>
          <w:p>
            <w:pPr>
              <w:ind w:left="120"/>
              <w:spacing w:after="0"/>
              <w:rPr>
                <w:sz w:val="20"/>
                <w:szCs w:val="20"/>
                <w:color w:val="auto"/>
              </w:rPr>
            </w:pPr>
            <w:r>
              <w:rPr>
                <w:rFonts w:ascii="Arial" w:cs="Arial" w:eastAsia="Arial" w:hAnsi="Arial"/>
                <w:sz w:val="16"/>
                <w:szCs w:val="16"/>
                <w:b w:val="1"/>
                <w:bCs w:val="1"/>
                <w:color w:val="00162F"/>
              </w:rPr>
              <w:t>Capacity</w:t>
            </w:r>
          </w:p>
        </w:tc>
        <w:tc>
          <w:tcPr>
            <w:tcW w:w="80" w:type="dxa"/>
            <w:vAlign w:val="bottom"/>
            <w:tcBorders>
              <w:bottom w:val="single" w:sz="8" w:color="EDEDED"/>
            </w:tcBorders>
          </w:tcPr>
          <w:p>
            <w:pPr>
              <w:spacing w:after="0"/>
              <w:rPr>
                <w:sz w:val="18"/>
                <w:szCs w:val="18"/>
                <w:color w:val="auto"/>
              </w:rPr>
            </w:pPr>
          </w:p>
        </w:tc>
        <w:tc>
          <w:tcPr>
            <w:tcW w:w="88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9"/>
              </w:rPr>
              <w:t>(Years)</w:t>
            </w:r>
          </w:p>
        </w:tc>
        <w:tc>
          <w:tcPr>
            <w:tcW w:w="60" w:type="dxa"/>
            <w:vAlign w:val="bottom"/>
            <w:tcBorders>
              <w:bottom w:val="single" w:sz="8" w:color="EDEDED"/>
            </w:tcBorders>
          </w:tcPr>
          <w:p>
            <w:pPr>
              <w:spacing w:after="0"/>
              <w:rPr>
                <w:sz w:val="18"/>
                <w:szCs w:val="18"/>
                <w:color w:val="auto"/>
              </w:rPr>
            </w:pPr>
          </w:p>
        </w:tc>
        <w:tc>
          <w:tcPr>
            <w:tcW w:w="88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tcPr>
          <w:p>
            <w:pPr>
              <w:spacing w:after="0"/>
              <w:rPr>
                <w:sz w:val="18"/>
                <w:szCs w:val="18"/>
                <w:color w:val="auto"/>
              </w:rPr>
            </w:pPr>
          </w:p>
        </w:tc>
        <w:tc>
          <w:tcPr>
            <w:tcW w:w="88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880" w:type="dxa"/>
            <w:vAlign w:val="bottom"/>
            <w:tcBorders>
              <w:bottom w:val="single" w:sz="8" w:color="00162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6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Airbus A319</w:t>
            </w:r>
          </w:p>
        </w:tc>
        <w:tc>
          <w:tcPr>
            <w:tcW w:w="8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128</w:t>
            </w:r>
          </w:p>
        </w:tc>
        <w:tc>
          <w:tcPr>
            <w:tcW w:w="96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21.7</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21</w:t>
            </w:r>
          </w:p>
        </w:tc>
        <w:tc>
          <w:tcPr>
            <w:tcW w:w="96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111</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132</w:t>
            </w:r>
          </w:p>
        </w:tc>
        <w:tc>
          <w:tcPr>
            <w:tcW w:w="0" w:type="dxa"/>
            <w:vAlign w:val="bottom"/>
          </w:tcPr>
          <w:p>
            <w:pPr>
              <w:spacing w:after="0"/>
              <w:rPr>
                <w:sz w:val="1"/>
                <w:szCs w:val="1"/>
                <w:color w:val="auto"/>
              </w:rPr>
            </w:pPr>
          </w:p>
        </w:tc>
      </w:tr>
      <w:tr>
        <w:trPr>
          <w:trHeight w:val="278"/>
        </w:trPr>
        <w:tc>
          <w:tcPr>
            <w:tcW w:w="6000" w:type="dxa"/>
            <w:vAlign w:val="bottom"/>
            <w:gridSpan w:val="2"/>
          </w:tcPr>
          <w:p>
            <w:pPr>
              <w:ind w:left="40"/>
              <w:spacing w:after="0"/>
              <w:rPr>
                <w:sz w:val="20"/>
                <w:szCs w:val="20"/>
                <w:color w:val="auto"/>
              </w:rPr>
            </w:pPr>
            <w:r>
              <w:rPr>
                <w:rFonts w:ascii="Arial" w:cs="Arial" w:eastAsia="Arial" w:hAnsi="Arial"/>
                <w:sz w:val="20"/>
                <w:szCs w:val="20"/>
                <w:color w:val="00162F"/>
              </w:rPr>
              <w:t>Airbus A320</w:t>
            </w:r>
          </w:p>
        </w:tc>
        <w:tc>
          <w:tcPr>
            <w:tcW w:w="880" w:type="dxa"/>
            <w:vAlign w:val="bottom"/>
          </w:tcPr>
          <w:p>
            <w:pPr>
              <w:jc w:val="right"/>
              <w:spacing w:after="0"/>
              <w:rPr>
                <w:sz w:val="20"/>
                <w:szCs w:val="20"/>
                <w:color w:val="auto"/>
              </w:rPr>
            </w:pPr>
            <w:r>
              <w:rPr>
                <w:rFonts w:ascii="Arial" w:cs="Arial" w:eastAsia="Arial" w:hAnsi="Arial"/>
                <w:sz w:val="20"/>
                <w:szCs w:val="20"/>
                <w:color w:val="00162F"/>
              </w:rPr>
              <w:t>150</w:t>
            </w:r>
          </w:p>
        </w:tc>
        <w:tc>
          <w:tcPr>
            <w:tcW w:w="960" w:type="dxa"/>
            <w:vAlign w:val="bottom"/>
            <w:gridSpan w:val="2"/>
          </w:tcPr>
          <w:p>
            <w:pPr>
              <w:jc w:val="right"/>
              <w:spacing w:after="0"/>
              <w:rPr>
                <w:sz w:val="20"/>
                <w:szCs w:val="20"/>
                <w:color w:val="auto"/>
              </w:rPr>
            </w:pPr>
            <w:r>
              <w:rPr>
                <w:rFonts w:ascii="Arial" w:cs="Arial" w:eastAsia="Arial" w:hAnsi="Arial"/>
                <w:sz w:val="20"/>
                <w:szCs w:val="20"/>
                <w:color w:val="00162F"/>
              </w:rPr>
              <w:t>24.7</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12</w:t>
            </w:r>
          </w:p>
        </w:tc>
        <w:tc>
          <w:tcPr>
            <w:tcW w:w="960" w:type="dxa"/>
            <w:vAlign w:val="bottom"/>
            <w:gridSpan w:val="2"/>
          </w:tcPr>
          <w:p>
            <w:pPr>
              <w:jc w:val="right"/>
              <w:spacing w:after="0"/>
              <w:rPr>
                <w:sz w:val="20"/>
                <w:szCs w:val="20"/>
                <w:color w:val="auto"/>
              </w:rPr>
            </w:pPr>
            <w:r>
              <w:rPr>
                <w:rFonts w:ascii="Arial" w:cs="Arial" w:eastAsia="Arial" w:hAnsi="Arial"/>
                <w:sz w:val="20"/>
                <w:szCs w:val="20"/>
                <w:color w:val="00162F"/>
              </w:rPr>
              <w:t>36</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48</w:t>
            </w:r>
          </w:p>
        </w:tc>
        <w:tc>
          <w:tcPr>
            <w:tcW w:w="0" w:type="dxa"/>
            <w:vAlign w:val="bottom"/>
          </w:tcPr>
          <w:p>
            <w:pPr>
              <w:spacing w:after="0"/>
              <w:rPr>
                <w:sz w:val="1"/>
                <w:szCs w:val="1"/>
                <w:color w:val="auto"/>
              </w:rPr>
            </w:pPr>
          </w:p>
        </w:tc>
      </w:tr>
      <w:tr>
        <w:trPr>
          <w:trHeight w:val="286"/>
        </w:trPr>
        <w:tc>
          <w:tcPr>
            <w:tcW w:w="6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Airbus A321</w:t>
            </w:r>
          </w:p>
        </w:tc>
        <w:tc>
          <w:tcPr>
            <w:tcW w:w="8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184</w:t>
            </w:r>
          </w:p>
        </w:tc>
        <w:tc>
          <w:tcPr>
            <w:tcW w:w="96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13.4</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164</w:t>
            </w:r>
          </w:p>
        </w:tc>
        <w:tc>
          <w:tcPr>
            <w:tcW w:w="96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54</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218</w:t>
            </w:r>
          </w:p>
        </w:tc>
        <w:tc>
          <w:tcPr>
            <w:tcW w:w="0" w:type="dxa"/>
            <w:vAlign w:val="bottom"/>
          </w:tcPr>
          <w:p>
            <w:pPr>
              <w:spacing w:after="0"/>
              <w:rPr>
                <w:sz w:val="1"/>
                <w:szCs w:val="1"/>
                <w:color w:val="auto"/>
              </w:rPr>
            </w:pPr>
          </w:p>
        </w:tc>
      </w:tr>
      <w:tr>
        <w:trPr>
          <w:trHeight w:val="278"/>
        </w:trPr>
        <w:tc>
          <w:tcPr>
            <w:tcW w:w="6000" w:type="dxa"/>
            <w:vAlign w:val="bottom"/>
            <w:gridSpan w:val="2"/>
          </w:tcPr>
          <w:p>
            <w:pPr>
              <w:ind w:left="40"/>
              <w:spacing w:after="0"/>
              <w:rPr>
                <w:sz w:val="20"/>
                <w:szCs w:val="20"/>
                <w:color w:val="auto"/>
              </w:rPr>
            </w:pPr>
            <w:r>
              <w:rPr>
                <w:rFonts w:ascii="Arial" w:cs="Arial" w:eastAsia="Arial" w:hAnsi="Arial"/>
                <w:sz w:val="20"/>
                <w:szCs w:val="20"/>
                <w:color w:val="00162F"/>
              </w:rPr>
              <w:t>Airbus A321neo</w:t>
            </w:r>
          </w:p>
        </w:tc>
        <w:tc>
          <w:tcPr>
            <w:tcW w:w="880" w:type="dxa"/>
            <w:vAlign w:val="bottom"/>
          </w:tcPr>
          <w:p>
            <w:pPr>
              <w:jc w:val="right"/>
              <w:spacing w:after="0"/>
              <w:rPr>
                <w:sz w:val="20"/>
                <w:szCs w:val="20"/>
                <w:color w:val="auto"/>
              </w:rPr>
            </w:pPr>
            <w:r>
              <w:rPr>
                <w:rFonts w:ascii="Arial" w:cs="Arial" w:eastAsia="Arial" w:hAnsi="Arial"/>
                <w:sz w:val="20"/>
                <w:szCs w:val="20"/>
                <w:color w:val="00162F"/>
              </w:rPr>
              <w:t>195</w:t>
            </w:r>
          </w:p>
        </w:tc>
        <w:tc>
          <w:tcPr>
            <w:tcW w:w="960" w:type="dxa"/>
            <w:vAlign w:val="bottom"/>
            <w:gridSpan w:val="2"/>
          </w:tcPr>
          <w:p>
            <w:pPr>
              <w:jc w:val="right"/>
              <w:spacing w:after="0"/>
              <w:rPr>
                <w:sz w:val="20"/>
                <w:szCs w:val="20"/>
                <w:color w:val="auto"/>
              </w:rPr>
            </w:pPr>
            <w:r>
              <w:rPr>
                <w:rFonts w:ascii="Arial" w:cs="Arial" w:eastAsia="Arial" w:hAnsi="Arial"/>
                <w:sz w:val="20"/>
                <w:szCs w:val="20"/>
                <w:color w:val="00162F"/>
              </w:rPr>
              <w:t>4.8</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49</w:t>
            </w:r>
          </w:p>
        </w:tc>
        <w:tc>
          <w:tcPr>
            <w:tcW w:w="960" w:type="dxa"/>
            <w:vAlign w:val="bottom"/>
            <w:gridSpan w:val="2"/>
          </w:tcPr>
          <w:p>
            <w:pPr>
              <w:jc w:val="right"/>
              <w:spacing w:after="0"/>
              <w:rPr>
                <w:sz w:val="20"/>
                <w:szCs w:val="20"/>
                <w:color w:val="auto"/>
              </w:rPr>
            </w:pPr>
            <w:r>
              <w:rPr>
                <w:rFonts w:ascii="Arial" w:cs="Arial" w:eastAsia="Arial" w:hAnsi="Arial"/>
                <w:sz w:val="20"/>
                <w:szCs w:val="20"/>
                <w:color w:val="00162F"/>
              </w:rPr>
              <w:t>35</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84</w:t>
            </w:r>
          </w:p>
        </w:tc>
        <w:tc>
          <w:tcPr>
            <w:tcW w:w="0" w:type="dxa"/>
            <w:vAlign w:val="bottom"/>
          </w:tcPr>
          <w:p>
            <w:pPr>
              <w:spacing w:after="0"/>
              <w:rPr>
                <w:sz w:val="1"/>
                <w:szCs w:val="1"/>
                <w:color w:val="auto"/>
              </w:rPr>
            </w:pPr>
          </w:p>
        </w:tc>
      </w:tr>
      <w:tr>
        <w:trPr>
          <w:trHeight w:val="286"/>
        </w:trPr>
        <w:tc>
          <w:tcPr>
            <w:tcW w:w="6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Airbus A321XLR </w:t>
            </w:r>
            <w:r>
              <w:rPr>
                <w:rFonts w:ascii="Arial" w:cs="Arial" w:eastAsia="Arial" w:hAnsi="Arial"/>
                <w:sz w:val="12"/>
                <w:szCs w:val="12"/>
                <w:color w:val="00162F"/>
              </w:rPr>
              <w:t>(1)</w:t>
            </w:r>
          </w:p>
        </w:tc>
        <w:tc>
          <w:tcPr>
            <w:tcW w:w="8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155</w:t>
            </w:r>
          </w:p>
        </w:tc>
        <w:tc>
          <w:tcPr>
            <w:tcW w:w="96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0.1</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80" w:type="dxa"/>
            <w:vAlign w:val="bottom"/>
            <w:shd w:val="clear" w:color="auto" w:fill="EDEDED"/>
          </w:tcPr>
          <w:p>
            <w:pPr>
              <w:spacing w:after="0"/>
              <w:rPr>
                <w:sz w:val="24"/>
                <w:szCs w:val="24"/>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0" w:type="dxa"/>
            <w:vAlign w:val="bottom"/>
          </w:tcPr>
          <w:p>
            <w:pPr>
              <w:spacing w:after="0"/>
              <w:rPr>
                <w:sz w:val="1"/>
                <w:szCs w:val="1"/>
                <w:color w:val="auto"/>
              </w:rPr>
            </w:pPr>
          </w:p>
        </w:tc>
      </w:tr>
      <w:tr>
        <w:trPr>
          <w:trHeight w:val="278"/>
        </w:trPr>
        <w:tc>
          <w:tcPr>
            <w:tcW w:w="6000" w:type="dxa"/>
            <w:vAlign w:val="bottom"/>
            <w:gridSpan w:val="2"/>
          </w:tcPr>
          <w:p>
            <w:pPr>
              <w:ind w:left="40"/>
              <w:spacing w:after="0"/>
              <w:rPr>
                <w:sz w:val="20"/>
                <w:szCs w:val="20"/>
                <w:color w:val="auto"/>
              </w:rPr>
            </w:pPr>
            <w:r>
              <w:rPr>
                <w:rFonts w:ascii="Arial" w:cs="Arial" w:eastAsia="Arial" w:hAnsi="Arial"/>
                <w:sz w:val="20"/>
                <w:szCs w:val="20"/>
                <w:color w:val="00162F"/>
              </w:rPr>
              <w:t>Boeing 737-800</w:t>
            </w:r>
          </w:p>
        </w:tc>
        <w:tc>
          <w:tcPr>
            <w:tcW w:w="880" w:type="dxa"/>
            <w:vAlign w:val="bottom"/>
          </w:tcPr>
          <w:p>
            <w:pPr>
              <w:jc w:val="right"/>
              <w:spacing w:after="0"/>
              <w:rPr>
                <w:sz w:val="20"/>
                <w:szCs w:val="20"/>
                <w:color w:val="auto"/>
              </w:rPr>
            </w:pPr>
            <w:r>
              <w:rPr>
                <w:rFonts w:ascii="Arial" w:cs="Arial" w:eastAsia="Arial" w:hAnsi="Arial"/>
                <w:sz w:val="20"/>
                <w:szCs w:val="20"/>
                <w:color w:val="00162F"/>
              </w:rPr>
              <w:t>172</w:t>
            </w:r>
          </w:p>
        </w:tc>
        <w:tc>
          <w:tcPr>
            <w:tcW w:w="960" w:type="dxa"/>
            <w:vAlign w:val="bottom"/>
            <w:gridSpan w:val="2"/>
          </w:tcPr>
          <w:p>
            <w:pPr>
              <w:jc w:val="right"/>
              <w:spacing w:after="0"/>
              <w:rPr>
                <w:sz w:val="20"/>
                <w:szCs w:val="20"/>
                <w:color w:val="auto"/>
              </w:rPr>
            </w:pPr>
            <w:r>
              <w:rPr>
                <w:rFonts w:ascii="Arial" w:cs="Arial" w:eastAsia="Arial" w:hAnsi="Arial"/>
                <w:sz w:val="20"/>
                <w:szCs w:val="20"/>
                <w:color w:val="00162F"/>
              </w:rPr>
              <w:t>16.1</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138</w:t>
            </w:r>
          </w:p>
        </w:tc>
        <w:tc>
          <w:tcPr>
            <w:tcW w:w="960" w:type="dxa"/>
            <w:vAlign w:val="bottom"/>
            <w:gridSpan w:val="2"/>
          </w:tcPr>
          <w:p>
            <w:pPr>
              <w:jc w:val="right"/>
              <w:spacing w:after="0"/>
              <w:rPr>
                <w:sz w:val="20"/>
                <w:szCs w:val="20"/>
                <w:color w:val="auto"/>
              </w:rPr>
            </w:pPr>
            <w:r>
              <w:rPr>
                <w:rFonts w:ascii="Arial" w:cs="Arial" w:eastAsia="Arial" w:hAnsi="Arial"/>
                <w:sz w:val="20"/>
                <w:szCs w:val="20"/>
                <w:color w:val="00162F"/>
              </w:rPr>
              <w:t>165</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303</w:t>
            </w:r>
          </w:p>
        </w:tc>
        <w:tc>
          <w:tcPr>
            <w:tcW w:w="0" w:type="dxa"/>
            <w:vAlign w:val="bottom"/>
          </w:tcPr>
          <w:p>
            <w:pPr>
              <w:spacing w:after="0"/>
              <w:rPr>
                <w:sz w:val="1"/>
                <w:szCs w:val="1"/>
                <w:color w:val="auto"/>
              </w:rPr>
            </w:pPr>
          </w:p>
        </w:tc>
      </w:tr>
      <w:tr>
        <w:trPr>
          <w:trHeight w:val="286"/>
        </w:trPr>
        <w:tc>
          <w:tcPr>
            <w:tcW w:w="6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Boeing 737-8 MAX</w:t>
            </w:r>
          </w:p>
        </w:tc>
        <w:tc>
          <w:tcPr>
            <w:tcW w:w="8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172</w:t>
            </w:r>
          </w:p>
        </w:tc>
        <w:tc>
          <w:tcPr>
            <w:tcW w:w="96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3.7</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56</w:t>
            </w:r>
          </w:p>
        </w:tc>
        <w:tc>
          <w:tcPr>
            <w:tcW w:w="96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33</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89</w:t>
            </w:r>
          </w:p>
        </w:tc>
        <w:tc>
          <w:tcPr>
            <w:tcW w:w="0" w:type="dxa"/>
            <w:vAlign w:val="bottom"/>
          </w:tcPr>
          <w:p>
            <w:pPr>
              <w:spacing w:after="0"/>
              <w:rPr>
                <w:sz w:val="1"/>
                <w:szCs w:val="1"/>
                <w:color w:val="auto"/>
              </w:rPr>
            </w:pPr>
          </w:p>
        </w:tc>
      </w:tr>
      <w:tr>
        <w:trPr>
          <w:trHeight w:val="278"/>
        </w:trPr>
        <w:tc>
          <w:tcPr>
            <w:tcW w:w="6000" w:type="dxa"/>
            <w:vAlign w:val="bottom"/>
            <w:gridSpan w:val="2"/>
          </w:tcPr>
          <w:p>
            <w:pPr>
              <w:ind w:left="40"/>
              <w:spacing w:after="0"/>
              <w:rPr>
                <w:sz w:val="20"/>
                <w:szCs w:val="20"/>
                <w:color w:val="auto"/>
              </w:rPr>
            </w:pPr>
            <w:r>
              <w:rPr>
                <w:rFonts w:ascii="Arial" w:cs="Arial" w:eastAsia="Arial" w:hAnsi="Arial"/>
                <w:sz w:val="20"/>
                <w:szCs w:val="20"/>
                <w:color w:val="00162F"/>
              </w:rPr>
              <w:t>Boeing 777-200ER</w:t>
            </w:r>
          </w:p>
        </w:tc>
        <w:tc>
          <w:tcPr>
            <w:tcW w:w="880" w:type="dxa"/>
            <w:vAlign w:val="bottom"/>
          </w:tcPr>
          <w:p>
            <w:pPr>
              <w:jc w:val="right"/>
              <w:spacing w:after="0"/>
              <w:rPr>
                <w:sz w:val="20"/>
                <w:szCs w:val="20"/>
                <w:color w:val="auto"/>
              </w:rPr>
            </w:pPr>
            <w:r>
              <w:rPr>
                <w:rFonts w:ascii="Arial" w:cs="Arial" w:eastAsia="Arial" w:hAnsi="Arial"/>
                <w:sz w:val="20"/>
                <w:szCs w:val="20"/>
                <w:color w:val="00162F"/>
              </w:rPr>
              <w:t>273</w:t>
            </w:r>
          </w:p>
        </w:tc>
        <w:tc>
          <w:tcPr>
            <w:tcW w:w="960" w:type="dxa"/>
            <w:vAlign w:val="bottom"/>
            <w:gridSpan w:val="2"/>
          </w:tcPr>
          <w:p>
            <w:pPr>
              <w:jc w:val="right"/>
              <w:spacing w:after="0"/>
              <w:rPr>
                <w:sz w:val="20"/>
                <w:szCs w:val="20"/>
                <w:color w:val="auto"/>
              </w:rPr>
            </w:pPr>
            <w:r>
              <w:rPr>
                <w:rFonts w:ascii="Arial" w:cs="Arial" w:eastAsia="Arial" w:hAnsi="Arial"/>
                <w:sz w:val="20"/>
                <w:szCs w:val="20"/>
                <w:color w:val="00162F"/>
              </w:rPr>
              <w:t>25.0</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44</w:t>
            </w:r>
          </w:p>
        </w:tc>
        <w:tc>
          <w:tcPr>
            <w:tcW w:w="960" w:type="dxa"/>
            <w:vAlign w:val="bottom"/>
            <w:gridSpan w:val="2"/>
          </w:tcPr>
          <w:p>
            <w:pPr>
              <w:jc w:val="right"/>
              <w:spacing w:after="0"/>
              <w:rPr>
                <w:sz w:val="20"/>
                <w:szCs w:val="20"/>
                <w:color w:val="auto"/>
              </w:rPr>
            </w:pPr>
            <w:r>
              <w:rPr>
                <w:rFonts w:ascii="Arial" w:cs="Arial" w:eastAsia="Arial" w:hAnsi="Arial"/>
                <w:sz w:val="20"/>
                <w:szCs w:val="20"/>
                <w:color w:val="00162F"/>
              </w:rPr>
              <w:t>3</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47</w:t>
            </w:r>
          </w:p>
        </w:tc>
        <w:tc>
          <w:tcPr>
            <w:tcW w:w="0" w:type="dxa"/>
            <w:vAlign w:val="bottom"/>
          </w:tcPr>
          <w:p>
            <w:pPr>
              <w:spacing w:after="0"/>
              <w:rPr>
                <w:sz w:val="1"/>
                <w:szCs w:val="1"/>
                <w:color w:val="auto"/>
              </w:rPr>
            </w:pPr>
          </w:p>
        </w:tc>
      </w:tr>
      <w:tr>
        <w:trPr>
          <w:trHeight w:val="286"/>
        </w:trPr>
        <w:tc>
          <w:tcPr>
            <w:tcW w:w="6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Boeing 777-300ER</w:t>
            </w:r>
          </w:p>
        </w:tc>
        <w:tc>
          <w:tcPr>
            <w:tcW w:w="8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304</w:t>
            </w:r>
          </w:p>
        </w:tc>
        <w:tc>
          <w:tcPr>
            <w:tcW w:w="96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11.8</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18</w:t>
            </w:r>
          </w:p>
        </w:tc>
        <w:tc>
          <w:tcPr>
            <w:tcW w:w="96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20</w:t>
            </w:r>
          </w:p>
        </w:tc>
        <w:tc>
          <w:tcPr>
            <w:tcW w:w="0" w:type="dxa"/>
            <w:vAlign w:val="bottom"/>
          </w:tcPr>
          <w:p>
            <w:pPr>
              <w:spacing w:after="0"/>
              <w:rPr>
                <w:sz w:val="1"/>
                <w:szCs w:val="1"/>
                <w:color w:val="auto"/>
              </w:rPr>
            </w:pPr>
          </w:p>
        </w:tc>
      </w:tr>
      <w:tr>
        <w:trPr>
          <w:trHeight w:val="278"/>
        </w:trPr>
        <w:tc>
          <w:tcPr>
            <w:tcW w:w="6000" w:type="dxa"/>
            <w:vAlign w:val="bottom"/>
            <w:gridSpan w:val="2"/>
          </w:tcPr>
          <w:p>
            <w:pPr>
              <w:ind w:left="40"/>
              <w:spacing w:after="0"/>
              <w:rPr>
                <w:sz w:val="20"/>
                <w:szCs w:val="20"/>
                <w:color w:val="auto"/>
              </w:rPr>
            </w:pPr>
            <w:r>
              <w:rPr>
                <w:rFonts w:ascii="Arial" w:cs="Arial" w:eastAsia="Arial" w:hAnsi="Arial"/>
                <w:sz w:val="20"/>
                <w:szCs w:val="20"/>
                <w:color w:val="00162F"/>
              </w:rPr>
              <w:t>Boeing 787-8</w:t>
            </w:r>
          </w:p>
        </w:tc>
        <w:tc>
          <w:tcPr>
            <w:tcW w:w="880" w:type="dxa"/>
            <w:vAlign w:val="bottom"/>
          </w:tcPr>
          <w:p>
            <w:pPr>
              <w:jc w:val="right"/>
              <w:spacing w:after="0"/>
              <w:rPr>
                <w:sz w:val="20"/>
                <w:szCs w:val="20"/>
                <w:color w:val="auto"/>
              </w:rPr>
            </w:pPr>
            <w:r>
              <w:rPr>
                <w:rFonts w:ascii="Arial" w:cs="Arial" w:eastAsia="Arial" w:hAnsi="Arial"/>
                <w:sz w:val="20"/>
                <w:szCs w:val="20"/>
                <w:color w:val="00162F"/>
              </w:rPr>
              <w:t>234</w:t>
            </w:r>
          </w:p>
        </w:tc>
        <w:tc>
          <w:tcPr>
            <w:tcW w:w="960" w:type="dxa"/>
            <w:vAlign w:val="bottom"/>
            <w:gridSpan w:val="2"/>
          </w:tcPr>
          <w:p>
            <w:pPr>
              <w:jc w:val="right"/>
              <w:spacing w:after="0"/>
              <w:rPr>
                <w:sz w:val="20"/>
                <w:szCs w:val="20"/>
                <w:color w:val="auto"/>
              </w:rPr>
            </w:pPr>
            <w:r>
              <w:rPr>
                <w:rFonts w:ascii="Arial" w:cs="Arial" w:eastAsia="Arial" w:hAnsi="Arial"/>
                <w:sz w:val="20"/>
                <w:szCs w:val="20"/>
                <w:color w:val="00162F"/>
              </w:rPr>
              <w:t>7.1</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20</w:t>
            </w:r>
          </w:p>
        </w:tc>
        <w:tc>
          <w:tcPr>
            <w:tcW w:w="960" w:type="dxa"/>
            <w:vAlign w:val="bottom"/>
            <w:gridSpan w:val="2"/>
          </w:tcPr>
          <w:p>
            <w:pPr>
              <w:jc w:val="right"/>
              <w:spacing w:after="0"/>
              <w:rPr>
                <w:sz w:val="20"/>
                <w:szCs w:val="20"/>
                <w:color w:val="auto"/>
              </w:rPr>
            </w:pPr>
            <w:r>
              <w:rPr>
                <w:rFonts w:ascii="Arial" w:cs="Arial" w:eastAsia="Arial" w:hAnsi="Arial"/>
                <w:sz w:val="20"/>
                <w:szCs w:val="20"/>
                <w:color w:val="00162F"/>
              </w:rPr>
              <w:t>17</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37</w:t>
            </w:r>
          </w:p>
        </w:tc>
        <w:tc>
          <w:tcPr>
            <w:tcW w:w="0" w:type="dxa"/>
            <w:vAlign w:val="bottom"/>
          </w:tcPr>
          <w:p>
            <w:pPr>
              <w:spacing w:after="0"/>
              <w:rPr>
                <w:sz w:val="1"/>
                <w:szCs w:val="1"/>
                <w:color w:val="auto"/>
              </w:rPr>
            </w:pPr>
          </w:p>
        </w:tc>
      </w:tr>
      <w:tr>
        <w:trPr>
          <w:trHeight w:val="296"/>
        </w:trPr>
        <w:tc>
          <w:tcPr>
            <w:tcW w:w="600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Boeing 787-9</w:t>
            </w:r>
          </w:p>
        </w:tc>
        <w:tc>
          <w:tcPr>
            <w:tcW w:w="8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271</w:t>
            </w:r>
          </w:p>
        </w:tc>
        <w:tc>
          <w:tcPr>
            <w:tcW w:w="80" w:type="dxa"/>
            <w:vAlign w:val="bottom"/>
            <w:tcBorders>
              <w:bottom w:val="single" w:sz="8" w:color="EDEDED"/>
            </w:tcBorders>
            <w:shd w:val="clear" w:color="auto" w:fill="EDEDED"/>
          </w:tcPr>
          <w:p>
            <w:pPr>
              <w:spacing w:after="0"/>
              <w:rPr>
                <w:sz w:val="24"/>
                <w:szCs w:val="24"/>
                <w:color w:val="auto"/>
              </w:rPr>
            </w:pPr>
          </w:p>
        </w:tc>
        <w:tc>
          <w:tcPr>
            <w:tcW w:w="8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5.6</w:t>
            </w:r>
          </w:p>
        </w:tc>
        <w:tc>
          <w:tcPr>
            <w:tcW w:w="60" w:type="dxa"/>
            <w:vAlign w:val="bottom"/>
            <w:tcBorders>
              <w:bottom w:val="single" w:sz="8" w:color="EDEDED"/>
            </w:tcBorders>
            <w:shd w:val="clear" w:color="auto" w:fill="EDEDED"/>
          </w:tcPr>
          <w:p>
            <w:pPr>
              <w:spacing w:after="0"/>
              <w:rPr>
                <w:sz w:val="24"/>
                <w:szCs w:val="24"/>
                <w:color w:val="auto"/>
              </w:rPr>
            </w:pPr>
          </w:p>
        </w:tc>
        <w:tc>
          <w:tcPr>
            <w:tcW w:w="8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23</w:t>
            </w:r>
          </w:p>
        </w:tc>
        <w:tc>
          <w:tcPr>
            <w:tcW w:w="80" w:type="dxa"/>
            <w:vAlign w:val="bottom"/>
            <w:tcBorders>
              <w:bottom w:val="single" w:sz="8" w:color="EDEDED"/>
            </w:tcBorders>
            <w:shd w:val="clear" w:color="auto" w:fill="EDEDED"/>
          </w:tcPr>
          <w:p>
            <w:pPr>
              <w:spacing w:after="0"/>
              <w:rPr>
                <w:sz w:val="24"/>
                <w:szCs w:val="24"/>
                <w:color w:val="auto"/>
              </w:rPr>
            </w:pPr>
          </w:p>
        </w:tc>
        <w:tc>
          <w:tcPr>
            <w:tcW w:w="8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10</w:t>
            </w:r>
          </w:p>
        </w:tc>
        <w:tc>
          <w:tcPr>
            <w:tcW w:w="60" w:type="dxa"/>
            <w:vAlign w:val="bottom"/>
            <w:tcBorders>
              <w:bottom w:val="single" w:sz="8" w:color="EDEDED"/>
            </w:tcBorders>
            <w:shd w:val="clear" w:color="auto" w:fill="EDEDED"/>
          </w:tcPr>
          <w:p>
            <w:pPr>
              <w:spacing w:after="0"/>
              <w:rPr>
                <w:sz w:val="24"/>
                <w:szCs w:val="24"/>
                <w:color w:val="auto"/>
              </w:rPr>
            </w:pPr>
          </w:p>
        </w:tc>
        <w:tc>
          <w:tcPr>
            <w:tcW w:w="8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w:t>
            </w:r>
          </w:p>
        </w:tc>
        <w:tc>
          <w:tcPr>
            <w:tcW w:w="0" w:type="dxa"/>
            <w:vAlign w:val="bottom"/>
          </w:tcPr>
          <w:p>
            <w:pPr>
              <w:spacing w:after="0"/>
              <w:rPr>
                <w:sz w:val="1"/>
                <w:szCs w:val="1"/>
                <w:color w:val="auto"/>
              </w:rPr>
            </w:pPr>
          </w:p>
        </w:tc>
      </w:tr>
      <w:tr>
        <w:trPr>
          <w:trHeight w:val="222"/>
        </w:trPr>
        <w:tc>
          <w:tcPr>
            <w:tcW w:w="6000" w:type="dxa"/>
            <w:vAlign w:val="bottom"/>
            <w:gridSpan w:val="2"/>
          </w:tcPr>
          <w:p>
            <w:pPr>
              <w:ind w:left="40"/>
              <w:spacing w:after="0" w:line="222" w:lineRule="exact"/>
              <w:rPr>
                <w:sz w:val="20"/>
                <w:szCs w:val="20"/>
                <w:color w:val="auto"/>
              </w:rPr>
            </w:pPr>
            <w:r>
              <w:rPr>
                <w:rFonts w:ascii="Arial" w:cs="Arial" w:eastAsia="Arial" w:hAnsi="Arial"/>
                <w:sz w:val="20"/>
                <w:szCs w:val="20"/>
                <w:color w:val="00162F"/>
              </w:rPr>
              <w:t>Total</w:t>
            </w:r>
          </w:p>
        </w:tc>
        <w:tc>
          <w:tcPr>
            <w:tcW w:w="880" w:type="dxa"/>
            <w:vAlign w:val="bottom"/>
          </w:tcPr>
          <w:p>
            <w:pPr>
              <w:spacing w:after="0"/>
              <w:rPr>
                <w:sz w:val="19"/>
                <w:szCs w:val="19"/>
                <w:color w:val="auto"/>
              </w:rPr>
            </w:pPr>
          </w:p>
        </w:tc>
        <w:tc>
          <w:tcPr>
            <w:tcW w:w="960" w:type="dxa"/>
            <w:vAlign w:val="bottom"/>
            <w:gridSpan w:val="2"/>
          </w:tcPr>
          <w:p>
            <w:pPr>
              <w:jc w:val="right"/>
              <w:spacing w:after="0" w:line="222" w:lineRule="exact"/>
              <w:rPr>
                <w:sz w:val="20"/>
                <w:szCs w:val="20"/>
                <w:color w:val="auto"/>
              </w:rPr>
            </w:pPr>
            <w:r>
              <w:rPr>
                <w:rFonts w:ascii="Arial" w:cs="Arial" w:eastAsia="Arial" w:hAnsi="Arial"/>
                <w:sz w:val="20"/>
                <w:szCs w:val="20"/>
                <w:color w:val="00162F"/>
              </w:rPr>
              <w:t>14.3</w:t>
            </w:r>
          </w:p>
        </w:tc>
        <w:tc>
          <w:tcPr>
            <w:tcW w:w="940" w:type="dxa"/>
            <w:vAlign w:val="bottom"/>
            <w:gridSpan w:val="2"/>
          </w:tcPr>
          <w:p>
            <w:pPr>
              <w:jc w:val="right"/>
              <w:spacing w:after="0" w:line="222" w:lineRule="exact"/>
              <w:rPr>
                <w:sz w:val="20"/>
                <w:szCs w:val="20"/>
                <w:color w:val="auto"/>
              </w:rPr>
            </w:pPr>
            <w:r>
              <w:rPr>
                <w:rFonts w:ascii="Arial" w:cs="Arial" w:eastAsia="Arial" w:hAnsi="Arial"/>
                <w:sz w:val="20"/>
                <w:szCs w:val="20"/>
                <w:color w:val="00162F"/>
              </w:rPr>
              <w:t>547</w:t>
            </w:r>
          </w:p>
        </w:tc>
        <w:tc>
          <w:tcPr>
            <w:tcW w:w="960" w:type="dxa"/>
            <w:vAlign w:val="bottom"/>
            <w:gridSpan w:val="2"/>
          </w:tcPr>
          <w:p>
            <w:pPr>
              <w:jc w:val="right"/>
              <w:spacing w:after="0" w:line="222" w:lineRule="exact"/>
              <w:rPr>
                <w:sz w:val="20"/>
                <w:szCs w:val="20"/>
                <w:color w:val="auto"/>
              </w:rPr>
            </w:pPr>
            <w:r>
              <w:rPr>
                <w:rFonts w:ascii="Arial" w:cs="Arial" w:eastAsia="Arial" w:hAnsi="Arial"/>
                <w:sz w:val="20"/>
                <w:szCs w:val="20"/>
                <w:color w:val="00162F"/>
              </w:rPr>
              <w:t>466</w:t>
            </w:r>
          </w:p>
        </w:tc>
        <w:tc>
          <w:tcPr>
            <w:tcW w:w="940" w:type="dxa"/>
            <w:vAlign w:val="bottom"/>
            <w:gridSpan w:val="2"/>
          </w:tcPr>
          <w:p>
            <w:pPr>
              <w:jc w:val="right"/>
              <w:spacing w:after="0" w:line="222" w:lineRule="exact"/>
              <w:rPr>
                <w:sz w:val="20"/>
                <w:szCs w:val="20"/>
                <w:color w:val="auto"/>
              </w:rPr>
            </w:pPr>
            <w:r>
              <w:rPr>
                <w:rFonts w:ascii="Arial" w:cs="Arial" w:eastAsia="Arial" w:hAnsi="Arial"/>
                <w:sz w:val="20"/>
                <w:szCs w:val="20"/>
                <w:color w:val="00162F"/>
              </w:rPr>
              <w:t>1,013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00162F"/>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4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-2277745</wp:posOffset>
            </wp:positionV>
            <wp:extent cx="299529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2995295" cy="2540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-307340</wp:posOffset>
            </wp:positionV>
            <wp:extent cx="182308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1823085" cy="25400"/>
                    </a:xfrm>
                    <a:prstGeom prst="rect">
                      <a:avLst/>
                    </a:prstGeom>
                    <a:noFill/>
                  </pic:spPr>
                </pic:pic>
              </a:graphicData>
            </a:graphic>
          </wp:anchor>
        </w:drawing>
      </w:r>
    </w:p>
    <w:p>
      <w:pPr>
        <w:spacing w:after="0" w:line="14" w:lineRule="exact"/>
        <w:rPr>
          <w:sz w:val="20"/>
          <w:szCs w:val="20"/>
          <w:color w:val="auto"/>
        </w:rPr>
      </w:pPr>
    </w:p>
    <w:p>
      <w:pPr>
        <w:ind w:left="365" w:hanging="365"/>
        <w:spacing w:after="0" w:line="282" w:lineRule="auto"/>
        <w:tabs>
          <w:tab w:leader="none" w:pos="365" w:val="left"/>
        </w:tabs>
        <w:numPr>
          <w:ilvl w:val="0"/>
          <w:numId w:val="23"/>
        </w:numPr>
        <w:rPr>
          <w:rFonts w:ascii="Arial" w:cs="Arial" w:eastAsia="Arial" w:hAnsi="Arial"/>
          <w:sz w:val="13"/>
          <w:szCs w:val="13"/>
          <w:color w:val="00162F"/>
        </w:rPr>
      </w:pPr>
      <w:r>
        <w:rPr>
          <w:rFonts w:ascii="Arial" w:cs="Arial" w:eastAsia="Arial" w:hAnsi="Arial"/>
          <w:sz w:val="20"/>
          <w:szCs w:val="20"/>
          <w:color w:val="00162F"/>
        </w:rPr>
        <w:t>Excluded from the total operating aircraft count above are three owned Airbus A321XLR held in temporary storage as of December 31, 2025.</w:t>
      </w:r>
    </w:p>
    <w:p>
      <w:pPr>
        <w:sectPr>
          <w:pgSz w:w="11880" w:h="15480" w:orient="portrait"/>
          <w:cols w:equalWidth="0" w:num="1">
            <w:col w:w="10685"/>
          </w:cols>
          <w:pgMar w:left="595"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52</w:t>
      </w:r>
    </w:p>
    <w:p>
      <w:pPr>
        <w:sectPr>
          <w:pgSz w:w="11880" w:h="15480" w:orient="portrait"/>
          <w:cols w:equalWidth="0" w:num="1">
            <w:col w:w="10685"/>
          </w:cols>
          <w:pgMar w:left="595" w:top="992" w:right="600" w:bottom="0" w:gutter="0" w:footer="0" w:header="0"/>
          <w:type w:val="continuous"/>
        </w:sectPr>
      </w:pPr>
    </w:p>
    <w:bookmarkStart w:id="53" w:name="page54"/>
    <w:bookmarkEnd w:id="53"/>
    <w:p>
      <w:pPr>
        <w:ind w:left="265"/>
        <w:spacing w:after="0"/>
        <w:rPr>
          <w:sz w:val="20"/>
          <w:szCs w:val="20"/>
          <w:color w:val="auto"/>
        </w:rPr>
      </w:pPr>
      <w:r>
        <w:rPr>
          <w:rFonts w:ascii="Arial" w:cs="Arial" w:eastAsia="Arial" w:hAnsi="Arial"/>
          <w:sz w:val="20"/>
          <w:szCs w:val="20"/>
          <w:b w:val="1"/>
          <w:bCs w:val="1"/>
          <w:i w:val="1"/>
          <w:iCs w:val="1"/>
          <w:color w:val="00162F"/>
        </w:rPr>
        <w:t>Regional</w:t>
      </w:r>
    </w:p>
    <w:p>
      <w:pPr>
        <w:spacing w:after="0" w:line="95" w:lineRule="exact"/>
        <w:rPr>
          <w:sz w:val="20"/>
          <w:szCs w:val="20"/>
          <w:color w:val="auto"/>
        </w:rPr>
      </w:pPr>
    </w:p>
    <w:p>
      <w:pPr>
        <w:ind w:left="5" w:right="160" w:firstLine="267"/>
        <w:spacing w:after="0" w:line="282" w:lineRule="auto"/>
        <w:rPr>
          <w:sz w:val="20"/>
          <w:szCs w:val="20"/>
          <w:color w:val="auto"/>
        </w:rPr>
      </w:pPr>
      <w:r>
        <w:rPr>
          <w:rFonts w:ascii="Arial" w:cs="Arial" w:eastAsia="Arial" w:hAnsi="Arial"/>
          <w:sz w:val="20"/>
          <w:szCs w:val="20"/>
          <w:color w:val="00162F"/>
        </w:rPr>
        <w:t>As of December 31, 2025, the fleet of our wholly-owned and third-party regional carriers operating as American Eagle consisted of the following aircraft:</w:t>
      </w:r>
    </w:p>
    <w:p>
      <w:pPr>
        <w:spacing w:after="0" w:line="332"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Arial" w:cs="Arial" w:eastAsia="Arial" w:hAnsi="Arial"/>
                <w:sz w:val="16"/>
                <w:szCs w:val="16"/>
                <w:b w:val="1"/>
                <w:bCs w:val="1"/>
                <w:color w:val="00162F"/>
              </w:rPr>
              <w:t>Average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0162F"/>
                <w:w w:val="98"/>
              </w:rPr>
              <w:t>Owned or Leased</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00162F"/>
                <w:w w:val="98"/>
              </w:rPr>
              <w:t>Operating Regional</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00162F"/>
                <w:w w:val="99"/>
              </w:rPr>
              <w:t>Number of</w:t>
            </w: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300"/>
              <w:spacing w:after="0" w:line="158" w:lineRule="exact"/>
              <w:rPr>
                <w:sz w:val="20"/>
                <w:szCs w:val="20"/>
                <w:color w:val="auto"/>
              </w:rPr>
            </w:pPr>
            <w:r>
              <w:rPr>
                <w:rFonts w:ascii="Arial" w:cs="Arial" w:eastAsia="Arial" w:hAnsi="Arial"/>
                <w:sz w:val="16"/>
                <w:szCs w:val="16"/>
                <w:b w:val="1"/>
                <w:bCs w:val="1"/>
                <w:color w:val="00162F"/>
              </w:rPr>
              <w:t>Seating</w:t>
            </w:r>
          </w:p>
        </w:tc>
        <w:tc>
          <w:tcPr>
            <w:tcW w:w="78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00162F"/>
              </w:rPr>
              <w:t>Owned</w:t>
            </w:r>
          </w:p>
        </w:tc>
        <w:tc>
          <w:tcPr>
            <w:tcW w:w="8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00162F"/>
              </w:rPr>
              <w:t>Leased</w:t>
            </w:r>
          </w:p>
        </w:tc>
        <w:tc>
          <w:tcPr>
            <w:tcW w:w="1460" w:type="dxa"/>
            <w:vAlign w:val="bottom"/>
          </w:tcPr>
          <w:p>
            <w:pPr>
              <w:jc w:val="center"/>
              <w:spacing w:after="0" w:line="158" w:lineRule="exact"/>
              <w:rPr>
                <w:sz w:val="20"/>
                <w:szCs w:val="20"/>
                <w:color w:val="auto"/>
              </w:rPr>
            </w:pPr>
            <w:r>
              <w:rPr>
                <w:rFonts w:ascii="Arial" w:cs="Arial" w:eastAsia="Arial" w:hAnsi="Arial"/>
                <w:sz w:val="16"/>
                <w:szCs w:val="16"/>
                <w:b w:val="1"/>
                <w:bCs w:val="1"/>
                <w:color w:val="00162F"/>
                <w:w w:val="98"/>
              </w:rPr>
              <w:t>by Third Party</w:t>
            </w:r>
          </w:p>
        </w:tc>
        <w:tc>
          <w:tcPr>
            <w:tcW w:w="8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6"/>
                <w:szCs w:val="16"/>
                <w:b w:val="1"/>
                <w:bCs w:val="1"/>
                <w:color w:val="00162F"/>
              </w:rPr>
              <w:t>Total</w:t>
            </w:r>
          </w:p>
        </w:tc>
        <w:tc>
          <w:tcPr>
            <w:tcW w:w="8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00162F"/>
                <w:w w:val="98"/>
              </w:rPr>
              <w:t>Aircraft</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00162F"/>
              </w:rPr>
              <w:t>Capacity</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0162F"/>
                <w:w w:val="97"/>
              </w:rPr>
              <w:t>Regional Carrier</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00162F"/>
                <w:w w:val="99"/>
              </w:rPr>
              <w:t>Carrier</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00162F"/>
                <w:w w:val="96"/>
              </w:rPr>
              <w:t>Operated</w:t>
            </w:r>
          </w:p>
        </w:tc>
        <w:tc>
          <w:tcPr>
            <w:tcW w:w="0" w:type="dxa"/>
            <w:vAlign w:val="bottom"/>
          </w:tcPr>
          <w:p>
            <w:pPr>
              <w:spacing w:after="0"/>
              <w:rPr>
                <w:sz w:val="1"/>
                <w:szCs w:val="1"/>
                <w:color w:val="auto"/>
              </w:rPr>
            </w:pPr>
          </w:p>
        </w:tc>
      </w:tr>
      <w:tr>
        <w:trPr>
          <w:trHeight w:val="265"/>
        </w:trPr>
        <w:tc>
          <w:tcPr>
            <w:tcW w:w="2240" w:type="dxa"/>
            <w:vAlign w:val="bottom"/>
            <w:tcBorders>
              <w:top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Bombardier CRJ700</w:t>
            </w:r>
          </w:p>
        </w:tc>
        <w:tc>
          <w:tcPr>
            <w:tcW w:w="1180" w:type="dxa"/>
            <w:vAlign w:val="bottom"/>
            <w:tcBorders>
              <w:top w:val="single" w:sz="8" w:color="00132B"/>
            </w:tcBorders>
            <w:shd w:val="clear" w:color="auto" w:fill="EDEDED"/>
          </w:tcPr>
          <w:p>
            <w:pPr>
              <w:jc w:val="right"/>
              <w:spacing w:after="0"/>
              <w:rPr>
                <w:sz w:val="20"/>
                <w:szCs w:val="20"/>
                <w:color w:val="auto"/>
              </w:rPr>
            </w:pPr>
            <w:r>
              <w:rPr>
                <w:rFonts w:ascii="Arial" w:cs="Arial" w:eastAsia="Arial" w:hAnsi="Arial"/>
                <w:sz w:val="20"/>
                <w:szCs w:val="20"/>
                <w:color w:val="00162F"/>
              </w:rPr>
              <w:t>65</w:t>
            </w:r>
          </w:p>
        </w:tc>
        <w:tc>
          <w:tcPr>
            <w:tcW w:w="80" w:type="dxa"/>
            <w:vAlign w:val="bottom"/>
            <w:tcBorders>
              <w:top w:val="single" w:sz="8" w:color="EDEDED"/>
            </w:tcBorders>
            <w:shd w:val="clear" w:color="auto" w:fill="EDEDED"/>
          </w:tcPr>
          <w:p>
            <w:pPr>
              <w:spacing w:after="0"/>
              <w:rPr>
                <w:sz w:val="23"/>
                <w:szCs w:val="23"/>
                <w:color w:val="auto"/>
              </w:rPr>
            </w:pPr>
          </w:p>
        </w:tc>
        <w:tc>
          <w:tcPr>
            <w:tcW w:w="780" w:type="dxa"/>
            <w:vAlign w:val="bottom"/>
            <w:tcBorders>
              <w:top w:val="single" w:sz="8" w:color="00132B"/>
            </w:tcBorders>
            <w:shd w:val="clear" w:color="auto" w:fill="EDEDED"/>
          </w:tcPr>
          <w:p>
            <w:pPr>
              <w:jc w:val="right"/>
              <w:spacing w:after="0"/>
              <w:rPr>
                <w:sz w:val="20"/>
                <w:szCs w:val="20"/>
                <w:color w:val="auto"/>
              </w:rPr>
            </w:pPr>
            <w:r>
              <w:rPr>
                <w:rFonts w:ascii="Arial" w:cs="Arial" w:eastAsia="Arial" w:hAnsi="Arial"/>
                <w:sz w:val="20"/>
                <w:szCs w:val="20"/>
                <w:color w:val="00162F"/>
              </w:rPr>
              <w:t>57</w:t>
            </w:r>
          </w:p>
        </w:tc>
        <w:tc>
          <w:tcPr>
            <w:tcW w:w="80" w:type="dxa"/>
            <w:vAlign w:val="bottom"/>
            <w:tcBorders>
              <w:top w:val="single" w:sz="8" w:color="EDEDED"/>
            </w:tcBorders>
            <w:shd w:val="clear" w:color="auto" w:fill="EDEDED"/>
          </w:tcPr>
          <w:p>
            <w:pPr>
              <w:spacing w:after="0"/>
              <w:rPr>
                <w:sz w:val="23"/>
                <w:szCs w:val="23"/>
                <w:color w:val="auto"/>
              </w:rPr>
            </w:pPr>
          </w:p>
        </w:tc>
        <w:tc>
          <w:tcPr>
            <w:tcW w:w="820" w:type="dxa"/>
            <w:vAlign w:val="bottom"/>
            <w:tcBorders>
              <w:top w:val="single" w:sz="8" w:color="00132B"/>
            </w:tcBorders>
            <w:shd w:val="clear" w:color="auto" w:fill="EDEDED"/>
          </w:tcPr>
          <w:p>
            <w:pPr>
              <w:jc w:val="right"/>
              <w:spacing w:after="0"/>
              <w:rPr>
                <w:sz w:val="20"/>
                <w:szCs w:val="20"/>
                <w:color w:val="auto"/>
              </w:rPr>
            </w:pPr>
            <w:r>
              <w:rPr>
                <w:rFonts w:ascii="Arial" w:cs="Arial" w:eastAsia="Arial" w:hAnsi="Arial"/>
                <w:sz w:val="20"/>
                <w:szCs w:val="20"/>
                <w:color w:val="00162F"/>
              </w:rPr>
              <w:t>3</w:t>
            </w:r>
          </w:p>
        </w:tc>
        <w:tc>
          <w:tcPr>
            <w:tcW w:w="80" w:type="dxa"/>
            <w:vAlign w:val="bottom"/>
            <w:tcBorders>
              <w:top w:val="single" w:sz="8" w:color="EDEDED"/>
            </w:tcBorders>
            <w:shd w:val="clear" w:color="auto" w:fill="EDEDED"/>
          </w:tcPr>
          <w:p>
            <w:pPr>
              <w:spacing w:after="0"/>
              <w:rPr>
                <w:sz w:val="23"/>
                <w:szCs w:val="23"/>
                <w:color w:val="auto"/>
              </w:rPr>
            </w:pPr>
          </w:p>
        </w:tc>
        <w:tc>
          <w:tcPr>
            <w:tcW w:w="1460" w:type="dxa"/>
            <w:vAlign w:val="bottom"/>
            <w:tcBorders>
              <w:top w:val="single" w:sz="8" w:color="00132B"/>
            </w:tcBorders>
            <w:shd w:val="clear" w:color="auto" w:fill="EDEDED"/>
          </w:tcPr>
          <w:p>
            <w:pPr>
              <w:jc w:val="right"/>
              <w:spacing w:after="0"/>
              <w:rPr>
                <w:sz w:val="20"/>
                <w:szCs w:val="20"/>
                <w:color w:val="auto"/>
              </w:rPr>
            </w:pPr>
            <w:r>
              <w:rPr>
                <w:rFonts w:ascii="Arial" w:cs="Arial" w:eastAsia="Arial" w:hAnsi="Arial"/>
                <w:sz w:val="20"/>
                <w:szCs w:val="20"/>
                <w:color w:val="00162F"/>
              </w:rPr>
              <w:t>62</w:t>
            </w:r>
          </w:p>
        </w:tc>
        <w:tc>
          <w:tcPr>
            <w:tcW w:w="80" w:type="dxa"/>
            <w:vAlign w:val="bottom"/>
            <w:tcBorders>
              <w:top w:val="single" w:sz="8" w:color="EDEDED"/>
            </w:tcBorders>
            <w:shd w:val="clear" w:color="auto" w:fill="EDEDED"/>
          </w:tcPr>
          <w:p>
            <w:pPr>
              <w:spacing w:after="0"/>
              <w:rPr>
                <w:sz w:val="23"/>
                <w:szCs w:val="23"/>
                <w:color w:val="auto"/>
              </w:rPr>
            </w:pPr>
          </w:p>
        </w:tc>
        <w:tc>
          <w:tcPr>
            <w:tcW w:w="600" w:type="dxa"/>
            <w:vAlign w:val="bottom"/>
            <w:tcBorders>
              <w:top w:val="single" w:sz="8" w:color="00132B"/>
            </w:tcBorders>
            <w:shd w:val="clear" w:color="auto" w:fill="EDEDED"/>
          </w:tcPr>
          <w:p>
            <w:pPr>
              <w:jc w:val="right"/>
              <w:spacing w:after="0"/>
              <w:rPr>
                <w:sz w:val="20"/>
                <w:szCs w:val="20"/>
                <w:color w:val="auto"/>
              </w:rPr>
            </w:pPr>
            <w:r>
              <w:rPr>
                <w:rFonts w:ascii="Arial" w:cs="Arial" w:eastAsia="Arial" w:hAnsi="Arial"/>
                <w:sz w:val="20"/>
                <w:szCs w:val="20"/>
                <w:color w:val="00162F"/>
              </w:rPr>
              <w:t>122</w:t>
            </w:r>
          </w:p>
        </w:tc>
        <w:tc>
          <w:tcPr>
            <w:tcW w:w="80" w:type="dxa"/>
            <w:vAlign w:val="bottom"/>
            <w:tcBorders>
              <w:top w:val="single" w:sz="8" w:color="EDEDED"/>
            </w:tcBorders>
            <w:shd w:val="clear" w:color="auto" w:fill="EDEDED"/>
          </w:tcPr>
          <w:p>
            <w:pPr>
              <w:spacing w:after="0"/>
              <w:rPr>
                <w:sz w:val="23"/>
                <w:szCs w:val="23"/>
                <w:color w:val="auto"/>
              </w:rPr>
            </w:pPr>
          </w:p>
        </w:tc>
        <w:tc>
          <w:tcPr>
            <w:tcW w:w="1800" w:type="dxa"/>
            <w:vAlign w:val="bottom"/>
            <w:tcBorders>
              <w:top w:val="single" w:sz="8" w:color="00132B"/>
            </w:tcBorders>
            <w:shd w:val="clear" w:color="auto" w:fill="EDEDED"/>
          </w:tcPr>
          <w:p>
            <w:pPr>
              <w:jc w:val="right"/>
              <w:spacing w:after="0"/>
              <w:rPr>
                <w:sz w:val="20"/>
                <w:szCs w:val="20"/>
                <w:color w:val="auto"/>
              </w:rPr>
            </w:pPr>
            <w:r>
              <w:rPr>
                <w:rFonts w:ascii="Arial" w:cs="Arial" w:eastAsia="Arial" w:hAnsi="Arial"/>
                <w:sz w:val="20"/>
                <w:szCs w:val="20"/>
                <w:color w:val="00162F"/>
              </w:rPr>
              <w:t>SkyWest</w:t>
            </w:r>
          </w:p>
        </w:tc>
        <w:tc>
          <w:tcPr>
            <w:tcW w:w="60" w:type="dxa"/>
            <w:vAlign w:val="bottom"/>
            <w:tcBorders>
              <w:top w:val="single" w:sz="8" w:color="EDEDED"/>
            </w:tcBorders>
            <w:shd w:val="clear" w:color="auto" w:fill="EDEDED"/>
          </w:tcPr>
          <w:p>
            <w:pPr>
              <w:spacing w:after="0"/>
              <w:rPr>
                <w:sz w:val="23"/>
                <w:szCs w:val="23"/>
                <w:color w:val="auto"/>
              </w:rPr>
            </w:pPr>
          </w:p>
        </w:tc>
        <w:tc>
          <w:tcPr>
            <w:tcW w:w="1320" w:type="dxa"/>
            <w:vAlign w:val="bottom"/>
            <w:tcBorders>
              <w:top w:val="single" w:sz="8" w:color="00132B"/>
            </w:tcBorders>
            <w:shd w:val="clear" w:color="auto" w:fill="EDEDED"/>
          </w:tcPr>
          <w:p>
            <w:pPr>
              <w:jc w:val="right"/>
              <w:spacing w:after="0"/>
              <w:rPr>
                <w:sz w:val="20"/>
                <w:szCs w:val="20"/>
                <w:color w:val="auto"/>
              </w:rPr>
            </w:pPr>
            <w:r>
              <w:rPr>
                <w:rFonts w:ascii="Arial" w:cs="Arial" w:eastAsia="Arial" w:hAnsi="Arial"/>
                <w:sz w:val="20"/>
                <w:szCs w:val="20"/>
                <w:color w:val="00162F"/>
              </w:rPr>
              <w:t>62</w:t>
            </w:r>
          </w:p>
        </w:tc>
        <w:tc>
          <w:tcPr>
            <w:tcW w:w="0" w:type="dxa"/>
            <w:vAlign w:val="bottom"/>
          </w:tcPr>
          <w:p>
            <w:pPr>
              <w:spacing w:after="0"/>
              <w:rPr>
                <w:sz w:val="1"/>
                <w:szCs w:val="1"/>
                <w:color w:val="auto"/>
              </w:rPr>
            </w:pPr>
          </w:p>
        </w:tc>
      </w:tr>
      <w:tr>
        <w:trPr>
          <w:trHeight w:val="309"/>
        </w:trPr>
        <w:tc>
          <w:tcPr>
            <w:tcW w:w="19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EDEDED"/>
            </w:tcBorders>
            <w:shd w:val="clear" w:color="auto" w:fill="EDEDED"/>
          </w:tcPr>
          <w:p>
            <w:pPr>
              <w:spacing w:after="0"/>
              <w:rPr>
                <w:sz w:val="24"/>
                <w:szCs w:val="24"/>
                <w:color w:val="auto"/>
              </w:rPr>
            </w:pPr>
          </w:p>
        </w:tc>
        <w:tc>
          <w:tcPr>
            <w:tcW w:w="118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78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146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60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18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PSA</w:t>
            </w:r>
          </w:p>
        </w:tc>
        <w:tc>
          <w:tcPr>
            <w:tcW w:w="60" w:type="dxa"/>
            <w:vAlign w:val="bottom"/>
            <w:tcBorders>
              <w:bottom w:val="single" w:sz="8" w:color="EDEDED"/>
            </w:tcBorders>
            <w:shd w:val="clear" w:color="auto" w:fill="EDEDED"/>
          </w:tcPr>
          <w:p>
            <w:pPr>
              <w:spacing w:after="0"/>
              <w:rPr>
                <w:sz w:val="24"/>
                <w:szCs w:val="24"/>
                <w:color w:val="auto"/>
              </w:rPr>
            </w:pPr>
          </w:p>
        </w:tc>
        <w:tc>
          <w:tcPr>
            <w:tcW w:w="13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60</w:t>
            </w:r>
          </w:p>
        </w:tc>
        <w:tc>
          <w:tcPr>
            <w:tcW w:w="0" w:type="dxa"/>
            <w:vAlign w:val="bottom"/>
          </w:tcPr>
          <w:p>
            <w:pPr>
              <w:spacing w:after="0"/>
              <w:rPr>
                <w:sz w:val="1"/>
                <w:szCs w:val="1"/>
                <w:color w:val="auto"/>
              </w:rPr>
            </w:pPr>
          </w:p>
        </w:tc>
      </w:tr>
      <w:tr>
        <w:trPr>
          <w:trHeight w:val="267"/>
        </w:trPr>
        <w:tc>
          <w:tcPr>
            <w:tcW w:w="1960" w:type="dxa"/>
            <w:vAlign w:val="bottom"/>
            <w:tcBorders>
              <w:bottom w:val="single" w:sz="8" w:color="EDEDED"/>
            </w:tcBorders>
            <w:shd w:val="clear" w:color="auto" w:fill="EDEDED"/>
          </w:tcPr>
          <w:p>
            <w:pPr>
              <w:spacing w:after="0"/>
              <w:rPr>
                <w:sz w:val="23"/>
                <w:szCs w:val="23"/>
                <w:color w:val="auto"/>
              </w:rPr>
            </w:pPr>
          </w:p>
        </w:tc>
        <w:tc>
          <w:tcPr>
            <w:tcW w:w="280" w:type="dxa"/>
            <w:vAlign w:val="bottom"/>
            <w:tcBorders>
              <w:bottom w:val="single" w:sz="8" w:color="EDEDED"/>
            </w:tcBorders>
            <w:shd w:val="clear" w:color="auto" w:fill="EDEDED"/>
          </w:tcPr>
          <w:p>
            <w:pPr>
              <w:spacing w:after="0"/>
              <w:rPr>
                <w:sz w:val="23"/>
                <w:szCs w:val="23"/>
                <w:color w:val="auto"/>
              </w:rPr>
            </w:pPr>
          </w:p>
        </w:tc>
        <w:tc>
          <w:tcPr>
            <w:tcW w:w="118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78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82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146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60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18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Total</w:t>
            </w:r>
          </w:p>
        </w:tc>
        <w:tc>
          <w:tcPr>
            <w:tcW w:w="60" w:type="dxa"/>
            <w:vAlign w:val="bottom"/>
            <w:tcBorders>
              <w:bottom w:val="single" w:sz="8" w:color="EDEDED"/>
            </w:tcBorders>
            <w:shd w:val="clear" w:color="auto" w:fill="EDEDED"/>
          </w:tcPr>
          <w:p>
            <w:pPr>
              <w:spacing w:after="0"/>
              <w:rPr>
                <w:sz w:val="23"/>
                <w:szCs w:val="23"/>
                <w:color w:val="auto"/>
              </w:rPr>
            </w:pPr>
          </w:p>
        </w:tc>
        <w:tc>
          <w:tcPr>
            <w:tcW w:w="13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122</w:t>
            </w:r>
          </w:p>
        </w:tc>
        <w:tc>
          <w:tcPr>
            <w:tcW w:w="0" w:type="dxa"/>
            <w:vAlign w:val="bottom"/>
          </w:tcPr>
          <w:p>
            <w:pPr>
              <w:spacing w:after="0"/>
              <w:rPr>
                <w:sz w:val="1"/>
                <w:szCs w:val="1"/>
                <w:color w:val="auto"/>
              </w:rPr>
            </w:pPr>
          </w:p>
        </w:tc>
      </w:tr>
      <w:tr>
        <w:trPr>
          <w:trHeight w:val="275"/>
        </w:trPr>
        <w:tc>
          <w:tcPr>
            <w:tcW w:w="2240" w:type="dxa"/>
            <w:vAlign w:val="bottom"/>
            <w:gridSpan w:val="2"/>
          </w:tcPr>
          <w:p>
            <w:pPr>
              <w:ind w:left="40"/>
              <w:spacing w:after="0"/>
              <w:rPr>
                <w:sz w:val="20"/>
                <w:szCs w:val="20"/>
                <w:color w:val="auto"/>
              </w:rPr>
            </w:pPr>
            <w:r>
              <w:rPr>
                <w:rFonts w:ascii="Arial" w:cs="Arial" w:eastAsia="Arial" w:hAnsi="Arial"/>
                <w:sz w:val="20"/>
                <w:szCs w:val="20"/>
                <w:color w:val="00162F"/>
              </w:rPr>
              <w:t xml:space="preserve">Bombardier CRJ900 </w:t>
            </w:r>
            <w:r>
              <w:rPr>
                <w:rFonts w:ascii="Arial" w:cs="Arial" w:eastAsia="Arial" w:hAnsi="Arial"/>
                <w:sz w:val="12"/>
                <w:szCs w:val="12"/>
                <w:color w:val="00162F"/>
              </w:rPr>
              <w:t>(1)</w:t>
            </w:r>
          </w:p>
        </w:tc>
        <w:tc>
          <w:tcPr>
            <w:tcW w:w="1180" w:type="dxa"/>
            <w:vAlign w:val="bottom"/>
          </w:tcPr>
          <w:p>
            <w:pPr>
              <w:jc w:val="right"/>
              <w:spacing w:after="0"/>
              <w:rPr>
                <w:sz w:val="20"/>
                <w:szCs w:val="20"/>
                <w:color w:val="auto"/>
              </w:rPr>
            </w:pPr>
            <w:r>
              <w:rPr>
                <w:rFonts w:ascii="Arial" w:cs="Arial" w:eastAsia="Arial" w:hAnsi="Arial"/>
                <w:sz w:val="20"/>
                <w:szCs w:val="20"/>
                <w:color w:val="00162F"/>
              </w:rPr>
              <w:t>76</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00162F"/>
              </w:rPr>
              <w:t>86</w:t>
            </w:r>
          </w:p>
        </w:tc>
        <w:tc>
          <w:tcPr>
            <w:tcW w:w="8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00162F"/>
              </w:rPr>
              <w:t>—</w:t>
            </w:r>
          </w:p>
        </w:tc>
        <w:tc>
          <w:tcPr>
            <w:tcW w:w="1460" w:type="dxa"/>
            <w:vAlign w:val="bottom"/>
          </w:tcPr>
          <w:p>
            <w:pPr>
              <w:jc w:val="right"/>
              <w:spacing w:after="0"/>
              <w:rPr>
                <w:sz w:val="20"/>
                <w:szCs w:val="20"/>
                <w:color w:val="auto"/>
              </w:rPr>
            </w:pPr>
            <w:r>
              <w:rPr>
                <w:rFonts w:ascii="Arial" w:cs="Arial" w:eastAsia="Arial" w:hAnsi="Arial"/>
                <w:sz w:val="20"/>
                <w:szCs w:val="20"/>
                <w:color w:val="00162F"/>
              </w:rPr>
              <w:t>—</w:t>
            </w:r>
          </w:p>
        </w:tc>
        <w:tc>
          <w:tcPr>
            <w:tcW w:w="680" w:type="dxa"/>
            <w:vAlign w:val="bottom"/>
            <w:gridSpan w:val="2"/>
          </w:tcPr>
          <w:p>
            <w:pPr>
              <w:jc w:val="right"/>
              <w:spacing w:after="0"/>
              <w:rPr>
                <w:sz w:val="20"/>
                <w:szCs w:val="20"/>
                <w:color w:val="auto"/>
              </w:rPr>
            </w:pPr>
            <w:r>
              <w:rPr>
                <w:rFonts w:ascii="Arial" w:cs="Arial" w:eastAsia="Arial" w:hAnsi="Arial"/>
                <w:sz w:val="20"/>
                <w:szCs w:val="20"/>
                <w:color w:val="00162F"/>
              </w:rPr>
              <w:t>86</w:t>
            </w:r>
          </w:p>
        </w:tc>
        <w:tc>
          <w:tcPr>
            <w:tcW w:w="80" w:type="dxa"/>
            <w:vAlign w:val="bottom"/>
          </w:tcPr>
          <w:p>
            <w:pPr>
              <w:spacing w:after="0"/>
              <w:rPr>
                <w:sz w:val="23"/>
                <w:szCs w:val="23"/>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00162F"/>
              </w:rPr>
              <w:t>PSA</w:t>
            </w:r>
          </w:p>
        </w:tc>
        <w:tc>
          <w:tcPr>
            <w:tcW w:w="1320" w:type="dxa"/>
            <w:vAlign w:val="bottom"/>
          </w:tcPr>
          <w:p>
            <w:pPr>
              <w:jc w:val="right"/>
              <w:spacing w:after="0"/>
              <w:rPr>
                <w:sz w:val="20"/>
                <w:szCs w:val="20"/>
                <w:color w:val="auto"/>
              </w:rPr>
            </w:pPr>
            <w:r>
              <w:rPr>
                <w:rFonts w:ascii="Arial" w:cs="Arial" w:eastAsia="Arial" w:hAnsi="Arial"/>
                <w:sz w:val="20"/>
                <w:szCs w:val="20"/>
                <w:color w:val="00162F"/>
              </w:rPr>
              <w:t>86</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24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Embraer E170</w:t>
            </w: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65</w:t>
            </w:r>
          </w:p>
        </w:tc>
        <w:tc>
          <w:tcPr>
            <w:tcW w:w="80" w:type="dxa"/>
            <w:vAlign w:val="bottom"/>
            <w:shd w:val="clear" w:color="auto" w:fill="EDEDED"/>
          </w:tcPr>
          <w:p>
            <w:pPr>
              <w:spacing w:after="0"/>
              <w:rPr>
                <w:sz w:val="23"/>
                <w:szCs w:val="23"/>
                <w:color w:val="auto"/>
              </w:rPr>
            </w:pPr>
          </w:p>
        </w:tc>
        <w:tc>
          <w:tcPr>
            <w:tcW w:w="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37</w:t>
            </w:r>
          </w:p>
        </w:tc>
        <w:tc>
          <w:tcPr>
            <w:tcW w:w="80" w:type="dxa"/>
            <w:vAlign w:val="bottom"/>
            <w:shd w:val="clear" w:color="auto" w:fill="EDEDED"/>
          </w:tcPr>
          <w:p>
            <w:pPr>
              <w:spacing w:after="0"/>
              <w:rPr>
                <w:sz w:val="23"/>
                <w:szCs w:val="23"/>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w:t>
            </w:r>
          </w:p>
        </w:tc>
        <w:tc>
          <w:tcPr>
            <w:tcW w:w="68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56</w:t>
            </w:r>
          </w:p>
        </w:tc>
        <w:tc>
          <w:tcPr>
            <w:tcW w:w="80" w:type="dxa"/>
            <w:vAlign w:val="bottom"/>
            <w:shd w:val="clear" w:color="auto" w:fill="EDEDED"/>
          </w:tcPr>
          <w:p>
            <w:pPr>
              <w:spacing w:after="0"/>
              <w:rPr>
                <w:sz w:val="23"/>
                <w:szCs w:val="23"/>
                <w:color w:val="auto"/>
              </w:rPr>
            </w:pPr>
          </w:p>
        </w:tc>
        <w:tc>
          <w:tcPr>
            <w:tcW w:w="1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Envoy</w:t>
            </w:r>
          </w:p>
        </w:tc>
        <w:tc>
          <w:tcPr>
            <w:tcW w:w="60" w:type="dxa"/>
            <w:vAlign w:val="bottom"/>
            <w:shd w:val="clear" w:color="auto" w:fill="EDEDED"/>
          </w:tcPr>
          <w:p>
            <w:pPr>
              <w:spacing w:after="0"/>
              <w:rPr>
                <w:sz w:val="23"/>
                <w:szCs w:val="23"/>
                <w:color w:val="auto"/>
              </w:rPr>
            </w:pPr>
          </w:p>
        </w:tc>
        <w:tc>
          <w:tcPr>
            <w:tcW w:w="13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43</w:t>
            </w:r>
          </w:p>
        </w:tc>
        <w:tc>
          <w:tcPr>
            <w:tcW w:w="0" w:type="dxa"/>
            <w:vAlign w:val="bottom"/>
          </w:tcPr>
          <w:p>
            <w:pPr>
              <w:spacing w:after="0"/>
              <w:rPr>
                <w:sz w:val="1"/>
                <w:szCs w:val="1"/>
                <w:color w:val="auto"/>
              </w:rPr>
            </w:pPr>
          </w:p>
        </w:tc>
      </w:tr>
      <w:tr>
        <w:trPr>
          <w:trHeight w:val="309"/>
        </w:trPr>
        <w:tc>
          <w:tcPr>
            <w:tcW w:w="19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EDEDED"/>
            </w:tcBorders>
            <w:shd w:val="clear" w:color="auto" w:fill="EDEDED"/>
          </w:tcPr>
          <w:p>
            <w:pPr>
              <w:spacing w:after="0"/>
              <w:rPr>
                <w:sz w:val="24"/>
                <w:szCs w:val="24"/>
                <w:color w:val="auto"/>
              </w:rPr>
            </w:pPr>
          </w:p>
        </w:tc>
        <w:tc>
          <w:tcPr>
            <w:tcW w:w="118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78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146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60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18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Republic</w:t>
            </w:r>
          </w:p>
        </w:tc>
        <w:tc>
          <w:tcPr>
            <w:tcW w:w="60" w:type="dxa"/>
            <w:vAlign w:val="bottom"/>
            <w:tcBorders>
              <w:bottom w:val="single" w:sz="8" w:color="EDEDED"/>
            </w:tcBorders>
            <w:shd w:val="clear" w:color="auto" w:fill="EDEDED"/>
          </w:tcPr>
          <w:p>
            <w:pPr>
              <w:spacing w:after="0"/>
              <w:rPr>
                <w:sz w:val="24"/>
                <w:szCs w:val="24"/>
                <w:color w:val="auto"/>
              </w:rPr>
            </w:pPr>
          </w:p>
        </w:tc>
        <w:tc>
          <w:tcPr>
            <w:tcW w:w="13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13</w:t>
            </w:r>
          </w:p>
        </w:tc>
        <w:tc>
          <w:tcPr>
            <w:tcW w:w="0" w:type="dxa"/>
            <w:vAlign w:val="bottom"/>
          </w:tcPr>
          <w:p>
            <w:pPr>
              <w:spacing w:after="0"/>
              <w:rPr>
                <w:sz w:val="1"/>
                <w:szCs w:val="1"/>
                <w:color w:val="auto"/>
              </w:rPr>
            </w:pPr>
          </w:p>
        </w:tc>
      </w:tr>
      <w:tr>
        <w:trPr>
          <w:trHeight w:val="267"/>
        </w:trPr>
        <w:tc>
          <w:tcPr>
            <w:tcW w:w="1960" w:type="dxa"/>
            <w:vAlign w:val="bottom"/>
            <w:tcBorders>
              <w:bottom w:val="single" w:sz="8" w:color="EDEDED"/>
            </w:tcBorders>
            <w:shd w:val="clear" w:color="auto" w:fill="EDEDED"/>
          </w:tcPr>
          <w:p>
            <w:pPr>
              <w:spacing w:after="0"/>
              <w:rPr>
                <w:sz w:val="23"/>
                <w:szCs w:val="23"/>
                <w:color w:val="auto"/>
              </w:rPr>
            </w:pPr>
          </w:p>
        </w:tc>
        <w:tc>
          <w:tcPr>
            <w:tcW w:w="280" w:type="dxa"/>
            <w:vAlign w:val="bottom"/>
            <w:tcBorders>
              <w:bottom w:val="single" w:sz="8" w:color="EDEDED"/>
            </w:tcBorders>
            <w:shd w:val="clear" w:color="auto" w:fill="EDEDED"/>
          </w:tcPr>
          <w:p>
            <w:pPr>
              <w:spacing w:after="0"/>
              <w:rPr>
                <w:sz w:val="23"/>
                <w:szCs w:val="23"/>
                <w:color w:val="auto"/>
              </w:rPr>
            </w:pPr>
          </w:p>
        </w:tc>
        <w:tc>
          <w:tcPr>
            <w:tcW w:w="118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78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82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146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60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18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Total</w:t>
            </w:r>
          </w:p>
        </w:tc>
        <w:tc>
          <w:tcPr>
            <w:tcW w:w="60" w:type="dxa"/>
            <w:vAlign w:val="bottom"/>
            <w:tcBorders>
              <w:bottom w:val="single" w:sz="8" w:color="EDEDED"/>
            </w:tcBorders>
            <w:shd w:val="clear" w:color="auto" w:fill="EDEDED"/>
          </w:tcPr>
          <w:p>
            <w:pPr>
              <w:spacing w:after="0"/>
              <w:rPr>
                <w:sz w:val="23"/>
                <w:szCs w:val="23"/>
                <w:color w:val="auto"/>
              </w:rPr>
            </w:pPr>
          </w:p>
        </w:tc>
        <w:tc>
          <w:tcPr>
            <w:tcW w:w="13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56</w:t>
            </w:r>
          </w:p>
        </w:tc>
        <w:tc>
          <w:tcPr>
            <w:tcW w:w="0" w:type="dxa"/>
            <w:vAlign w:val="bottom"/>
          </w:tcPr>
          <w:p>
            <w:pPr>
              <w:spacing w:after="0"/>
              <w:rPr>
                <w:sz w:val="1"/>
                <w:szCs w:val="1"/>
                <w:color w:val="auto"/>
              </w:rPr>
            </w:pPr>
          </w:p>
        </w:tc>
      </w:tr>
      <w:tr>
        <w:trPr>
          <w:trHeight w:val="275"/>
        </w:trPr>
        <w:tc>
          <w:tcPr>
            <w:tcW w:w="2240" w:type="dxa"/>
            <w:vAlign w:val="bottom"/>
            <w:gridSpan w:val="2"/>
          </w:tcPr>
          <w:p>
            <w:pPr>
              <w:ind w:left="40"/>
              <w:spacing w:after="0"/>
              <w:rPr>
                <w:sz w:val="20"/>
                <w:szCs w:val="20"/>
                <w:color w:val="auto"/>
              </w:rPr>
            </w:pPr>
            <w:r>
              <w:rPr>
                <w:rFonts w:ascii="Arial" w:cs="Arial" w:eastAsia="Arial" w:hAnsi="Arial"/>
                <w:sz w:val="20"/>
                <w:szCs w:val="20"/>
                <w:color w:val="00162F"/>
              </w:rPr>
              <w:t>Embraer E175</w:t>
            </w:r>
          </w:p>
        </w:tc>
        <w:tc>
          <w:tcPr>
            <w:tcW w:w="1180" w:type="dxa"/>
            <w:vAlign w:val="bottom"/>
          </w:tcPr>
          <w:p>
            <w:pPr>
              <w:jc w:val="right"/>
              <w:spacing w:after="0"/>
              <w:rPr>
                <w:sz w:val="20"/>
                <w:szCs w:val="20"/>
                <w:color w:val="auto"/>
              </w:rPr>
            </w:pPr>
            <w:r>
              <w:rPr>
                <w:rFonts w:ascii="Arial" w:cs="Arial" w:eastAsia="Arial" w:hAnsi="Arial"/>
                <w:sz w:val="20"/>
                <w:szCs w:val="20"/>
                <w:color w:val="00162F"/>
              </w:rPr>
              <w:t>76</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00162F"/>
              </w:rPr>
              <w:t>136</w:t>
            </w:r>
          </w:p>
        </w:tc>
        <w:tc>
          <w:tcPr>
            <w:tcW w:w="8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00162F"/>
              </w:rPr>
              <w:t>—</w:t>
            </w:r>
          </w:p>
        </w:tc>
        <w:tc>
          <w:tcPr>
            <w:tcW w:w="1460" w:type="dxa"/>
            <w:vAlign w:val="bottom"/>
          </w:tcPr>
          <w:p>
            <w:pPr>
              <w:jc w:val="right"/>
              <w:spacing w:after="0"/>
              <w:rPr>
                <w:sz w:val="20"/>
                <w:szCs w:val="20"/>
                <w:color w:val="auto"/>
              </w:rPr>
            </w:pPr>
            <w:r>
              <w:rPr>
                <w:rFonts w:ascii="Arial" w:cs="Arial" w:eastAsia="Arial" w:hAnsi="Arial"/>
                <w:sz w:val="20"/>
                <w:szCs w:val="20"/>
                <w:color w:val="00162F"/>
              </w:rPr>
              <w:t>96</w:t>
            </w:r>
          </w:p>
        </w:tc>
        <w:tc>
          <w:tcPr>
            <w:tcW w:w="680" w:type="dxa"/>
            <w:vAlign w:val="bottom"/>
            <w:gridSpan w:val="2"/>
          </w:tcPr>
          <w:p>
            <w:pPr>
              <w:jc w:val="right"/>
              <w:spacing w:after="0"/>
              <w:rPr>
                <w:sz w:val="20"/>
                <w:szCs w:val="20"/>
                <w:color w:val="auto"/>
              </w:rPr>
            </w:pPr>
            <w:r>
              <w:rPr>
                <w:rFonts w:ascii="Arial" w:cs="Arial" w:eastAsia="Arial" w:hAnsi="Arial"/>
                <w:sz w:val="20"/>
                <w:szCs w:val="20"/>
                <w:color w:val="00162F"/>
              </w:rPr>
              <w:t>232</w:t>
            </w:r>
          </w:p>
        </w:tc>
        <w:tc>
          <w:tcPr>
            <w:tcW w:w="80" w:type="dxa"/>
            <w:vAlign w:val="bottom"/>
          </w:tcPr>
          <w:p>
            <w:pPr>
              <w:spacing w:after="0"/>
              <w:rPr>
                <w:sz w:val="23"/>
                <w:szCs w:val="23"/>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00162F"/>
              </w:rPr>
              <w:t>Envoy</w:t>
            </w:r>
          </w:p>
        </w:tc>
        <w:tc>
          <w:tcPr>
            <w:tcW w:w="1320" w:type="dxa"/>
            <w:vAlign w:val="bottom"/>
          </w:tcPr>
          <w:p>
            <w:pPr>
              <w:jc w:val="right"/>
              <w:spacing w:after="0"/>
              <w:rPr>
                <w:sz w:val="20"/>
                <w:szCs w:val="20"/>
                <w:color w:val="auto"/>
              </w:rPr>
            </w:pPr>
            <w:r>
              <w:rPr>
                <w:rFonts w:ascii="Arial" w:cs="Arial" w:eastAsia="Arial" w:hAnsi="Arial"/>
                <w:sz w:val="20"/>
                <w:szCs w:val="20"/>
                <w:color w:val="00162F"/>
              </w:rPr>
              <w:t>136</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00162F"/>
              </w:rPr>
              <w:t>Republic</w:t>
            </w:r>
          </w:p>
        </w:tc>
        <w:tc>
          <w:tcPr>
            <w:tcW w:w="1320" w:type="dxa"/>
            <w:vAlign w:val="bottom"/>
          </w:tcPr>
          <w:p>
            <w:pPr>
              <w:jc w:val="right"/>
              <w:spacing w:after="0"/>
              <w:rPr>
                <w:sz w:val="20"/>
                <w:szCs w:val="20"/>
                <w:color w:val="auto"/>
              </w:rPr>
            </w:pPr>
            <w:r>
              <w:rPr>
                <w:rFonts w:ascii="Arial" w:cs="Arial" w:eastAsia="Arial" w:hAnsi="Arial"/>
                <w:sz w:val="20"/>
                <w:szCs w:val="20"/>
                <w:color w:val="00162F"/>
              </w:rPr>
              <w:t>76</w:t>
            </w:r>
          </w:p>
        </w:tc>
        <w:tc>
          <w:tcPr>
            <w:tcW w:w="0" w:type="dxa"/>
            <w:vAlign w:val="bottom"/>
          </w:tcPr>
          <w:p>
            <w:pPr>
              <w:spacing w:after="0"/>
              <w:rPr>
                <w:sz w:val="1"/>
                <w:szCs w:val="1"/>
                <w:color w:val="auto"/>
              </w:rPr>
            </w:pPr>
          </w:p>
        </w:tc>
      </w:tr>
      <w:tr>
        <w:trPr>
          <w:trHeight w:val="309"/>
        </w:trPr>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00162F"/>
              </w:rPr>
              <w:t>SkyWest</w:t>
            </w:r>
          </w:p>
        </w:tc>
        <w:tc>
          <w:tcPr>
            <w:tcW w:w="13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20</w:t>
            </w:r>
          </w:p>
        </w:tc>
        <w:tc>
          <w:tcPr>
            <w:tcW w:w="0" w:type="dxa"/>
            <w:vAlign w:val="bottom"/>
          </w:tcPr>
          <w:p>
            <w:pPr>
              <w:spacing w:after="0"/>
              <w:rPr>
                <w:sz w:val="1"/>
                <w:szCs w:val="1"/>
                <w:color w:val="auto"/>
              </w:rPr>
            </w:pPr>
          </w:p>
        </w:tc>
      </w:tr>
      <w:tr>
        <w:trPr>
          <w:trHeight w:val="265"/>
        </w:trPr>
        <w:tc>
          <w:tcPr>
            <w:tcW w:w="1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00162F"/>
              </w:rPr>
              <w:t>Total</w:t>
            </w:r>
          </w:p>
        </w:tc>
        <w:tc>
          <w:tcPr>
            <w:tcW w:w="1320" w:type="dxa"/>
            <w:vAlign w:val="bottom"/>
          </w:tcPr>
          <w:p>
            <w:pPr>
              <w:jc w:val="right"/>
              <w:spacing w:after="0"/>
              <w:rPr>
                <w:sz w:val="20"/>
                <w:szCs w:val="20"/>
                <w:color w:val="auto"/>
              </w:rPr>
            </w:pPr>
            <w:r>
              <w:rPr>
                <w:rFonts w:ascii="Arial" w:cs="Arial" w:eastAsia="Arial" w:hAnsi="Arial"/>
                <w:sz w:val="20"/>
                <w:szCs w:val="20"/>
                <w:color w:val="00162F"/>
              </w:rPr>
              <w:t>232</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24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Embraer ERJ145</w:t>
            </w:r>
          </w:p>
        </w:tc>
        <w:tc>
          <w:tcPr>
            <w:tcW w:w="11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50</w:t>
            </w:r>
          </w:p>
        </w:tc>
        <w:tc>
          <w:tcPr>
            <w:tcW w:w="80" w:type="dxa"/>
            <w:vAlign w:val="bottom"/>
            <w:tcBorders>
              <w:bottom w:val="single" w:sz="8" w:color="EDEDED"/>
            </w:tcBorders>
            <w:shd w:val="clear" w:color="auto" w:fill="EDEDED"/>
          </w:tcPr>
          <w:p>
            <w:pPr>
              <w:spacing w:after="0"/>
              <w:rPr>
                <w:sz w:val="24"/>
                <w:szCs w:val="24"/>
                <w:color w:val="auto"/>
              </w:rPr>
            </w:pPr>
          </w:p>
        </w:tc>
        <w:tc>
          <w:tcPr>
            <w:tcW w:w="7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71</w:t>
            </w:r>
          </w:p>
        </w:tc>
        <w:tc>
          <w:tcPr>
            <w:tcW w:w="8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14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6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71</w:t>
            </w:r>
          </w:p>
        </w:tc>
        <w:tc>
          <w:tcPr>
            <w:tcW w:w="80" w:type="dxa"/>
            <w:vAlign w:val="bottom"/>
            <w:tcBorders>
              <w:bottom w:val="single" w:sz="8" w:color="EDEDED"/>
            </w:tcBorders>
            <w:shd w:val="clear" w:color="auto" w:fill="EDEDED"/>
          </w:tcPr>
          <w:p>
            <w:pPr>
              <w:spacing w:after="0"/>
              <w:rPr>
                <w:sz w:val="24"/>
                <w:szCs w:val="24"/>
                <w:color w:val="auto"/>
              </w:rPr>
            </w:pPr>
          </w:p>
        </w:tc>
        <w:tc>
          <w:tcPr>
            <w:tcW w:w="1860" w:type="dxa"/>
            <w:vAlign w:val="bottom"/>
            <w:tcBorders>
              <w:bottom w:val="single" w:sz="8" w:color="EDEDED"/>
            </w:tcBorders>
            <w:gridSpan w:val="2"/>
            <w:shd w:val="clear" w:color="auto" w:fill="EDEDED"/>
          </w:tcPr>
          <w:p>
            <w:pPr>
              <w:jc w:val="right"/>
              <w:ind w:right="120"/>
              <w:spacing w:after="0"/>
              <w:rPr>
                <w:sz w:val="20"/>
                <w:szCs w:val="20"/>
                <w:color w:val="auto"/>
              </w:rPr>
            </w:pPr>
            <w:r>
              <w:rPr>
                <w:rFonts w:ascii="Arial" w:cs="Arial" w:eastAsia="Arial" w:hAnsi="Arial"/>
                <w:sz w:val="20"/>
                <w:szCs w:val="20"/>
                <w:color w:val="00162F"/>
              </w:rPr>
              <w:t>Piedmont</w:t>
            </w:r>
          </w:p>
        </w:tc>
        <w:tc>
          <w:tcPr>
            <w:tcW w:w="13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71</w:t>
            </w:r>
          </w:p>
        </w:tc>
        <w:tc>
          <w:tcPr>
            <w:tcW w:w="0" w:type="dxa"/>
            <w:vAlign w:val="bottom"/>
          </w:tcPr>
          <w:p>
            <w:pPr>
              <w:spacing w:after="0"/>
              <w:rPr>
                <w:sz w:val="1"/>
                <w:szCs w:val="1"/>
                <w:color w:val="auto"/>
              </w:rPr>
            </w:pPr>
          </w:p>
        </w:tc>
      </w:tr>
      <w:tr>
        <w:trPr>
          <w:trHeight w:val="243"/>
        </w:trPr>
        <w:tc>
          <w:tcPr>
            <w:tcW w:w="2240" w:type="dxa"/>
            <w:vAlign w:val="bottom"/>
            <w:gridSpan w:val="2"/>
          </w:tcPr>
          <w:p>
            <w:pPr>
              <w:ind w:left="40"/>
              <w:spacing w:after="0"/>
              <w:rPr>
                <w:sz w:val="20"/>
                <w:szCs w:val="20"/>
                <w:color w:val="auto"/>
              </w:rPr>
            </w:pPr>
            <w:r>
              <w:rPr>
                <w:rFonts w:ascii="Arial" w:cs="Arial" w:eastAsia="Arial" w:hAnsi="Arial"/>
                <w:sz w:val="20"/>
                <w:szCs w:val="20"/>
                <w:color w:val="00162F"/>
              </w:rPr>
              <w:t>Total</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00162F"/>
              </w:rPr>
              <w:t>356</w:t>
            </w:r>
          </w:p>
        </w:tc>
        <w:tc>
          <w:tcPr>
            <w:tcW w:w="900" w:type="dxa"/>
            <w:vAlign w:val="bottom"/>
            <w:gridSpan w:val="2"/>
          </w:tcPr>
          <w:p>
            <w:pPr>
              <w:jc w:val="right"/>
              <w:spacing w:after="0"/>
              <w:rPr>
                <w:sz w:val="20"/>
                <w:szCs w:val="20"/>
                <w:color w:val="auto"/>
              </w:rPr>
            </w:pPr>
            <w:r>
              <w:rPr>
                <w:rFonts w:ascii="Arial" w:cs="Arial" w:eastAsia="Arial" w:hAnsi="Arial"/>
                <w:sz w:val="20"/>
                <w:szCs w:val="20"/>
                <w:color w:val="00162F"/>
              </w:rPr>
              <w:t>40</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00162F"/>
              </w:rPr>
              <w:t>171</w:t>
            </w:r>
          </w:p>
        </w:tc>
        <w:tc>
          <w:tcPr>
            <w:tcW w:w="680" w:type="dxa"/>
            <w:vAlign w:val="bottom"/>
            <w:gridSpan w:val="2"/>
          </w:tcPr>
          <w:p>
            <w:pPr>
              <w:jc w:val="right"/>
              <w:spacing w:after="0"/>
              <w:rPr>
                <w:sz w:val="20"/>
                <w:szCs w:val="20"/>
                <w:color w:val="auto"/>
              </w:rPr>
            </w:pPr>
            <w:r>
              <w:rPr>
                <w:rFonts w:ascii="Arial" w:cs="Arial" w:eastAsia="Arial" w:hAnsi="Arial"/>
                <w:sz w:val="20"/>
                <w:szCs w:val="20"/>
                <w:color w:val="00162F"/>
              </w:rPr>
              <w:t>567</w:t>
            </w:r>
          </w:p>
        </w:tc>
        <w:tc>
          <w:tcPr>
            <w:tcW w:w="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00162F"/>
              </w:rPr>
              <w:t>567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00162F"/>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-2580005</wp:posOffset>
            </wp:positionV>
            <wp:extent cx="537083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5370830" cy="25400"/>
                    </a:xfrm>
                    <a:prstGeom prst="rect">
                      <a:avLst/>
                    </a:prstGeom>
                    <a:noFill/>
                  </pic:spPr>
                </pic:pic>
              </a:graphicData>
            </a:graphic>
          </wp:anchor>
        </w:drawing>
      </w:r>
    </w:p>
    <w:p>
      <w:pPr>
        <w:spacing w:after="0" w:line="14" w:lineRule="exact"/>
        <w:rPr>
          <w:sz w:val="20"/>
          <w:szCs w:val="20"/>
          <w:color w:val="auto"/>
        </w:rPr>
      </w:pPr>
    </w:p>
    <w:p>
      <w:pPr>
        <w:ind w:left="365" w:hanging="365"/>
        <w:spacing w:after="0" w:line="282" w:lineRule="auto"/>
        <w:tabs>
          <w:tab w:leader="none" w:pos="365" w:val="left"/>
        </w:tabs>
        <w:numPr>
          <w:ilvl w:val="0"/>
          <w:numId w:val="24"/>
        </w:numPr>
        <w:rPr>
          <w:rFonts w:ascii="Arial" w:cs="Arial" w:eastAsia="Arial" w:hAnsi="Arial"/>
          <w:sz w:val="13"/>
          <w:szCs w:val="13"/>
          <w:color w:val="00162F"/>
        </w:rPr>
      </w:pPr>
      <w:r>
        <w:rPr>
          <w:rFonts w:ascii="Arial" w:cs="Arial" w:eastAsia="Arial" w:hAnsi="Arial"/>
          <w:sz w:val="20"/>
          <w:szCs w:val="20"/>
          <w:color w:val="00162F"/>
        </w:rPr>
        <w:t>Excluded from the total operating aircraft count above are four owned Bombardier CRJ900 held in temporary storage as of December 31, 2025.</w:t>
      </w:r>
    </w:p>
    <w:p>
      <w:pPr>
        <w:spacing w:after="0" w:line="113"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See Note 11 to AAG’s Consolidated Financial Statements in Part II, Item 8A and Note 10 to American’s Consolidated Financial Statements in Part II, Item 8B for additional information on our capacity purchase agreements with third-party regional carriers.</w:t>
      </w:r>
    </w:p>
    <w:p>
      <w:pPr>
        <w:spacing w:after="0" w:line="219"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Aircraft and Engine Purchase Commitments</w:t>
      </w:r>
    </w:p>
    <w:p>
      <w:pPr>
        <w:spacing w:after="0" w:line="95"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 xml:space="preserve">As of December 31, 2025, we had definitive purchase agreements for the acquisition of the following new aircraft </w:t>
      </w:r>
      <w:r>
        <w:rPr>
          <w:rFonts w:ascii="Arial" w:cs="Arial" w:eastAsia="Arial" w:hAnsi="Arial"/>
          <w:sz w:val="12"/>
          <w:szCs w:val="12"/>
          <w:color w:val="00162F"/>
        </w:rPr>
        <w:t>(1)</w:t>
      </w:r>
      <w:r>
        <w:rPr>
          <w:rFonts w:ascii="Arial" w:cs="Arial" w:eastAsia="Arial" w:hAnsi="Arial"/>
          <w:sz w:val="20"/>
          <w:szCs w:val="20"/>
          <w:color w:val="00162F"/>
        </w:rPr>
        <w:t>:</w:t>
      </w:r>
    </w:p>
    <w:p>
      <w:pPr>
        <w:spacing w:after="0" w:line="236"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5460" w:type="dxa"/>
            <w:vAlign w:val="bottom"/>
            <w:gridSpan w:val="6"/>
            <w:vMerge w:val="restart"/>
          </w:tcPr>
          <w:p>
            <w:pPr>
              <w:jc w:val="right"/>
              <w:ind w:right="40"/>
              <w:spacing w:after="0"/>
              <w:rPr>
                <w:sz w:val="20"/>
                <w:szCs w:val="20"/>
                <w:color w:val="auto"/>
              </w:rPr>
            </w:pPr>
            <w:r>
              <w:rPr>
                <w:rFonts w:ascii="Arial" w:cs="Arial" w:eastAsia="Arial" w:hAnsi="Arial"/>
                <w:sz w:val="16"/>
                <w:szCs w:val="16"/>
                <w:b w:val="1"/>
                <w:bCs w:val="1"/>
                <w:color w:val="00162F"/>
              </w:rPr>
              <w:t>2026</w:t>
            </w:r>
          </w:p>
        </w:tc>
        <w:tc>
          <w:tcPr>
            <w:tcW w:w="360" w:type="dxa"/>
            <w:vAlign w:val="bottom"/>
          </w:tcPr>
          <w:p>
            <w:pPr>
              <w:spacing w:after="0"/>
              <w:rPr>
                <w:sz w:val="16"/>
                <w:szCs w:val="16"/>
                <w:color w:val="auto"/>
              </w:rPr>
            </w:pPr>
          </w:p>
        </w:tc>
        <w:tc>
          <w:tcPr>
            <w:tcW w:w="1220" w:type="dxa"/>
            <w:vAlign w:val="bottom"/>
            <w:gridSpan w:val="2"/>
            <w:vMerge w:val="restart"/>
          </w:tcPr>
          <w:p>
            <w:pPr>
              <w:jc w:val="right"/>
              <w:ind w:right="301"/>
              <w:spacing w:after="0"/>
              <w:rPr>
                <w:sz w:val="20"/>
                <w:szCs w:val="20"/>
                <w:color w:val="auto"/>
              </w:rPr>
            </w:pPr>
            <w:r>
              <w:rPr>
                <w:rFonts w:ascii="Arial" w:cs="Arial" w:eastAsia="Arial" w:hAnsi="Arial"/>
                <w:sz w:val="16"/>
                <w:szCs w:val="16"/>
                <w:b w:val="1"/>
                <w:bCs w:val="1"/>
                <w:color w:val="00162F"/>
              </w:rPr>
              <w:t>2027</w:t>
            </w:r>
          </w:p>
        </w:tc>
        <w:tc>
          <w:tcPr>
            <w:tcW w:w="1220" w:type="dxa"/>
            <w:vAlign w:val="bottom"/>
            <w:gridSpan w:val="2"/>
            <w:vMerge w:val="restart"/>
          </w:tcPr>
          <w:p>
            <w:pPr>
              <w:jc w:val="right"/>
              <w:ind w:right="301"/>
              <w:spacing w:after="0"/>
              <w:rPr>
                <w:sz w:val="20"/>
                <w:szCs w:val="20"/>
                <w:color w:val="auto"/>
              </w:rPr>
            </w:pPr>
            <w:r>
              <w:rPr>
                <w:rFonts w:ascii="Arial" w:cs="Arial" w:eastAsia="Arial" w:hAnsi="Arial"/>
                <w:sz w:val="16"/>
                <w:szCs w:val="16"/>
                <w:b w:val="1"/>
                <w:bCs w:val="1"/>
                <w:color w:val="00162F"/>
              </w:rPr>
              <w:t>2028</w:t>
            </w:r>
          </w:p>
        </w:tc>
        <w:tc>
          <w:tcPr>
            <w:tcW w:w="60" w:type="dxa"/>
            <w:vAlign w:val="bottom"/>
          </w:tcPr>
          <w:p>
            <w:pPr>
              <w:spacing w:after="0"/>
              <w:rPr>
                <w:sz w:val="16"/>
                <w:szCs w:val="16"/>
                <w:color w:val="auto"/>
              </w:rPr>
            </w:pPr>
          </w:p>
        </w:tc>
        <w:tc>
          <w:tcPr>
            <w:tcW w:w="1140" w:type="dxa"/>
            <w:vAlign w:val="bottom"/>
          </w:tcPr>
          <w:p>
            <w:pPr>
              <w:jc w:val="right"/>
              <w:ind w:right="134"/>
              <w:spacing w:after="0"/>
              <w:rPr>
                <w:sz w:val="20"/>
                <w:szCs w:val="20"/>
                <w:color w:val="auto"/>
              </w:rPr>
            </w:pPr>
            <w:r>
              <w:rPr>
                <w:rFonts w:ascii="Arial" w:cs="Arial" w:eastAsia="Arial" w:hAnsi="Arial"/>
                <w:sz w:val="16"/>
                <w:szCs w:val="16"/>
                <w:b w:val="1"/>
                <w:bCs w:val="1"/>
                <w:color w:val="00162F"/>
              </w:rPr>
              <w:t>2029 and</w:t>
            </w:r>
          </w:p>
        </w:tc>
        <w:tc>
          <w:tcPr>
            <w:tcW w:w="80" w:type="dxa"/>
            <w:vAlign w:val="bottom"/>
          </w:tcPr>
          <w:p>
            <w:pPr>
              <w:spacing w:after="0"/>
              <w:rPr>
                <w:sz w:val="16"/>
                <w:szCs w:val="16"/>
                <w:color w:val="auto"/>
              </w:rPr>
            </w:pPr>
          </w:p>
        </w:tc>
        <w:tc>
          <w:tcPr>
            <w:tcW w:w="114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00162F"/>
              </w:rPr>
              <w:t>Total</w:t>
            </w:r>
          </w:p>
        </w:tc>
        <w:tc>
          <w:tcPr>
            <w:tcW w:w="0" w:type="dxa"/>
            <w:vAlign w:val="bottom"/>
          </w:tcPr>
          <w:p>
            <w:pPr>
              <w:spacing w:after="0"/>
              <w:rPr>
                <w:sz w:val="1"/>
                <w:szCs w:val="1"/>
                <w:color w:val="auto"/>
              </w:rPr>
            </w:pPr>
          </w:p>
        </w:tc>
      </w:tr>
      <w:tr>
        <w:trPr>
          <w:trHeight w:val="211"/>
        </w:trPr>
        <w:tc>
          <w:tcPr>
            <w:tcW w:w="5460" w:type="dxa"/>
            <w:vAlign w:val="bottom"/>
            <w:gridSpan w:val="6"/>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jc w:val="right"/>
              <w:ind w:right="94"/>
              <w:spacing w:after="0"/>
              <w:rPr>
                <w:sz w:val="20"/>
                <w:szCs w:val="20"/>
                <w:color w:val="auto"/>
              </w:rPr>
            </w:pPr>
            <w:r>
              <w:rPr>
                <w:rFonts w:ascii="Arial" w:cs="Arial" w:eastAsia="Arial" w:hAnsi="Arial"/>
                <w:sz w:val="16"/>
                <w:szCs w:val="16"/>
                <w:b w:val="1"/>
                <w:bCs w:val="1"/>
                <w:color w:val="00162F"/>
              </w:rPr>
              <w:t>Thereafter</w:t>
            </w:r>
          </w:p>
        </w:tc>
        <w:tc>
          <w:tcPr>
            <w:tcW w:w="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 w:type="dxa"/>
            <w:vAlign w:val="bottom"/>
            <w:tcBorders>
              <w:top w:val="single" w:sz="8" w:color="EDEDED"/>
              <w:bottom w:val="single" w:sz="8" w:color="EDEDED"/>
            </w:tcBorders>
            <w:shd w:val="clear" w:color="auto" w:fill="EDEDED"/>
          </w:tcPr>
          <w:p>
            <w:pPr>
              <w:spacing w:after="0"/>
              <w:rPr>
                <w:sz w:val="21"/>
                <w:szCs w:val="21"/>
                <w:color w:val="auto"/>
              </w:rPr>
            </w:pPr>
          </w:p>
        </w:tc>
        <w:tc>
          <w:tcPr>
            <w:tcW w:w="640" w:type="dxa"/>
            <w:vAlign w:val="bottom"/>
            <w:tcBorders>
              <w:top w:val="single" w:sz="8" w:color="EDEDED"/>
              <w:bottom w:val="single" w:sz="8" w:color="00162F"/>
            </w:tcBorders>
            <w:shd w:val="clear" w:color="auto" w:fill="EDEDED"/>
          </w:tcPr>
          <w:p>
            <w:pPr>
              <w:spacing w:after="0" w:line="209" w:lineRule="exact"/>
              <w:rPr>
                <w:sz w:val="20"/>
                <w:szCs w:val="20"/>
                <w:color w:val="auto"/>
              </w:rPr>
            </w:pPr>
            <w:r>
              <w:rPr>
                <w:rFonts w:ascii="Arial" w:cs="Arial" w:eastAsia="Arial" w:hAnsi="Arial"/>
                <w:sz w:val="20"/>
                <w:szCs w:val="20"/>
                <w:b w:val="1"/>
                <w:bCs w:val="1"/>
                <w:color w:val="00162F"/>
                <w:w w:val="97"/>
              </w:rPr>
              <w:t>Airbus</w:t>
            </w:r>
          </w:p>
        </w:tc>
        <w:tc>
          <w:tcPr>
            <w:tcW w:w="4000" w:type="dxa"/>
            <w:vAlign w:val="bottom"/>
            <w:tcBorders>
              <w:top w:val="single" w:sz="8" w:color="EDEDED"/>
              <w:bottom w:val="single" w:sz="8" w:color="EDEDED"/>
            </w:tcBorders>
            <w:gridSpan w:val="3"/>
            <w:shd w:val="clear" w:color="auto" w:fill="EDEDED"/>
          </w:tcPr>
          <w:p>
            <w:pPr>
              <w:spacing w:after="0"/>
              <w:rPr>
                <w:sz w:val="21"/>
                <w:szCs w:val="21"/>
                <w:color w:val="auto"/>
              </w:rPr>
            </w:pPr>
          </w:p>
        </w:tc>
        <w:tc>
          <w:tcPr>
            <w:tcW w:w="780" w:type="dxa"/>
            <w:vAlign w:val="bottom"/>
            <w:tcBorders>
              <w:top w:val="single" w:sz="8" w:color="00162F"/>
              <w:bottom w:val="single" w:sz="8" w:color="EDEDED"/>
            </w:tcBorders>
            <w:shd w:val="clear" w:color="auto" w:fill="EDEDED"/>
          </w:tcPr>
          <w:p>
            <w:pPr>
              <w:spacing w:after="0"/>
              <w:rPr>
                <w:sz w:val="21"/>
                <w:szCs w:val="21"/>
                <w:color w:val="auto"/>
              </w:rPr>
            </w:pPr>
          </w:p>
        </w:tc>
        <w:tc>
          <w:tcPr>
            <w:tcW w:w="360" w:type="dxa"/>
            <w:vAlign w:val="bottom"/>
            <w:tcBorders>
              <w:top w:val="single" w:sz="8" w:color="00162F"/>
              <w:bottom w:val="single" w:sz="8" w:color="EDEDED"/>
            </w:tcBorders>
            <w:shd w:val="clear" w:color="auto" w:fill="EDEDED"/>
          </w:tcPr>
          <w:p>
            <w:pPr>
              <w:spacing w:after="0"/>
              <w:rPr>
                <w:sz w:val="21"/>
                <w:szCs w:val="21"/>
                <w:color w:val="auto"/>
              </w:rPr>
            </w:pPr>
          </w:p>
        </w:tc>
        <w:tc>
          <w:tcPr>
            <w:tcW w:w="60" w:type="dxa"/>
            <w:vAlign w:val="bottom"/>
            <w:tcBorders>
              <w:top w:val="single" w:sz="8" w:color="EDEDED"/>
              <w:bottom w:val="single" w:sz="8" w:color="EDEDED"/>
            </w:tcBorders>
            <w:shd w:val="clear" w:color="auto" w:fill="EDEDED"/>
          </w:tcPr>
          <w:p>
            <w:pPr>
              <w:spacing w:after="0"/>
              <w:rPr>
                <w:sz w:val="21"/>
                <w:szCs w:val="21"/>
                <w:color w:val="auto"/>
              </w:rPr>
            </w:pPr>
          </w:p>
        </w:tc>
        <w:tc>
          <w:tcPr>
            <w:tcW w:w="1160" w:type="dxa"/>
            <w:vAlign w:val="bottom"/>
            <w:tcBorders>
              <w:top w:val="single" w:sz="8" w:color="00162F"/>
              <w:bottom w:val="single" w:sz="8" w:color="EDEDED"/>
            </w:tcBorders>
            <w:shd w:val="clear" w:color="auto" w:fill="EDEDED"/>
          </w:tcPr>
          <w:p>
            <w:pPr>
              <w:spacing w:after="0"/>
              <w:rPr>
                <w:sz w:val="21"/>
                <w:szCs w:val="21"/>
                <w:color w:val="auto"/>
              </w:rPr>
            </w:pPr>
          </w:p>
        </w:tc>
        <w:tc>
          <w:tcPr>
            <w:tcW w:w="60" w:type="dxa"/>
            <w:vAlign w:val="bottom"/>
            <w:tcBorders>
              <w:top w:val="single" w:sz="8" w:color="EDEDED"/>
              <w:bottom w:val="single" w:sz="8" w:color="EDEDED"/>
            </w:tcBorders>
            <w:shd w:val="clear" w:color="auto" w:fill="EDEDED"/>
          </w:tcPr>
          <w:p>
            <w:pPr>
              <w:spacing w:after="0"/>
              <w:rPr>
                <w:sz w:val="21"/>
                <w:szCs w:val="21"/>
                <w:color w:val="auto"/>
              </w:rPr>
            </w:pPr>
          </w:p>
        </w:tc>
        <w:tc>
          <w:tcPr>
            <w:tcW w:w="1160" w:type="dxa"/>
            <w:vAlign w:val="bottom"/>
            <w:tcBorders>
              <w:top w:val="single" w:sz="8" w:color="00162F"/>
              <w:bottom w:val="single" w:sz="8" w:color="EDEDED"/>
            </w:tcBorders>
            <w:shd w:val="clear" w:color="auto" w:fill="EDEDED"/>
          </w:tcPr>
          <w:p>
            <w:pPr>
              <w:spacing w:after="0"/>
              <w:rPr>
                <w:sz w:val="21"/>
                <w:szCs w:val="21"/>
                <w:color w:val="auto"/>
              </w:rPr>
            </w:pPr>
          </w:p>
        </w:tc>
        <w:tc>
          <w:tcPr>
            <w:tcW w:w="60" w:type="dxa"/>
            <w:vAlign w:val="bottom"/>
            <w:tcBorders>
              <w:top w:val="single" w:sz="8" w:color="EDEDED"/>
              <w:bottom w:val="single" w:sz="8" w:color="EDEDED"/>
            </w:tcBorders>
            <w:shd w:val="clear" w:color="auto" w:fill="EDEDED"/>
          </w:tcPr>
          <w:p>
            <w:pPr>
              <w:spacing w:after="0"/>
              <w:rPr>
                <w:sz w:val="21"/>
                <w:szCs w:val="21"/>
                <w:color w:val="auto"/>
              </w:rPr>
            </w:pPr>
          </w:p>
        </w:tc>
        <w:tc>
          <w:tcPr>
            <w:tcW w:w="1140" w:type="dxa"/>
            <w:vAlign w:val="bottom"/>
            <w:tcBorders>
              <w:top w:val="single" w:sz="8" w:color="00162F"/>
              <w:bottom w:val="single" w:sz="8" w:color="EDEDED"/>
            </w:tcBorders>
            <w:shd w:val="clear" w:color="auto" w:fill="EDEDED"/>
          </w:tcPr>
          <w:p>
            <w:pPr>
              <w:spacing w:after="0"/>
              <w:rPr>
                <w:sz w:val="21"/>
                <w:szCs w:val="21"/>
                <w:color w:val="auto"/>
              </w:rPr>
            </w:pPr>
          </w:p>
        </w:tc>
        <w:tc>
          <w:tcPr>
            <w:tcW w:w="80" w:type="dxa"/>
            <w:vAlign w:val="bottom"/>
            <w:tcBorders>
              <w:top w:val="single" w:sz="8" w:color="EDEDED"/>
              <w:bottom w:val="single" w:sz="8" w:color="EDEDED"/>
            </w:tcBorders>
            <w:shd w:val="clear" w:color="auto" w:fill="EDEDED"/>
          </w:tcPr>
          <w:p>
            <w:pPr>
              <w:spacing w:after="0"/>
              <w:rPr>
                <w:sz w:val="21"/>
                <w:szCs w:val="21"/>
                <w:color w:val="auto"/>
              </w:rPr>
            </w:pPr>
          </w:p>
        </w:tc>
        <w:tc>
          <w:tcPr>
            <w:tcW w:w="1140" w:type="dxa"/>
            <w:vAlign w:val="bottom"/>
            <w:tcBorders>
              <w:top w:val="single" w:sz="8" w:color="00162F"/>
              <w:bottom w:val="single" w:sz="8" w:color="EDEDED"/>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420" w:type="dxa"/>
            <w:vAlign w:val="bottom"/>
            <w:gridSpan w:val="5"/>
          </w:tcPr>
          <w:p>
            <w:pPr>
              <w:spacing w:after="0"/>
              <w:rPr>
                <w:sz w:val="20"/>
                <w:szCs w:val="20"/>
                <w:color w:val="auto"/>
              </w:rPr>
            </w:pPr>
            <w:r>
              <w:rPr>
                <w:rFonts w:ascii="Arial" w:cs="Arial" w:eastAsia="Arial" w:hAnsi="Arial"/>
                <w:sz w:val="20"/>
                <w:szCs w:val="20"/>
                <w:color w:val="00162F"/>
              </w:rPr>
              <w:t>A320 Family</w:t>
            </w:r>
          </w:p>
        </w:tc>
        <w:tc>
          <w:tcPr>
            <w:tcW w:w="360" w:type="dxa"/>
            <w:vAlign w:val="bottom"/>
          </w:tcPr>
          <w:p>
            <w:pPr>
              <w:jc w:val="right"/>
              <w:spacing w:after="0"/>
              <w:rPr>
                <w:sz w:val="20"/>
                <w:szCs w:val="20"/>
                <w:color w:val="auto"/>
              </w:rPr>
            </w:pPr>
            <w:r>
              <w:rPr>
                <w:rFonts w:ascii="Arial" w:cs="Arial" w:eastAsia="Arial" w:hAnsi="Arial"/>
                <w:sz w:val="20"/>
                <w:szCs w:val="20"/>
                <w:color w:val="00162F"/>
              </w:rPr>
              <w:t>20</w:t>
            </w:r>
          </w:p>
        </w:tc>
        <w:tc>
          <w:tcPr>
            <w:tcW w:w="1220" w:type="dxa"/>
            <w:vAlign w:val="bottom"/>
            <w:gridSpan w:val="2"/>
          </w:tcPr>
          <w:p>
            <w:pPr>
              <w:jc w:val="right"/>
              <w:spacing w:after="0"/>
              <w:rPr>
                <w:sz w:val="20"/>
                <w:szCs w:val="20"/>
                <w:color w:val="auto"/>
              </w:rPr>
            </w:pPr>
            <w:r>
              <w:rPr>
                <w:rFonts w:ascii="Arial" w:cs="Arial" w:eastAsia="Arial" w:hAnsi="Arial"/>
                <w:sz w:val="20"/>
                <w:szCs w:val="20"/>
                <w:color w:val="00162F"/>
              </w:rPr>
              <w:t>21</w:t>
            </w:r>
          </w:p>
        </w:tc>
        <w:tc>
          <w:tcPr>
            <w:tcW w:w="1220" w:type="dxa"/>
            <w:vAlign w:val="bottom"/>
            <w:gridSpan w:val="2"/>
          </w:tcPr>
          <w:p>
            <w:pPr>
              <w:jc w:val="right"/>
              <w:ind w:right="1"/>
              <w:spacing w:after="0"/>
              <w:rPr>
                <w:sz w:val="20"/>
                <w:szCs w:val="20"/>
                <w:color w:val="auto"/>
              </w:rPr>
            </w:pPr>
            <w:r>
              <w:rPr>
                <w:rFonts w:ascii="Arial" w:cs="Arial" w:eastAsia="Arial" w:hAnsi="Arial"/>
                <w:sz w:val="20"/>
                <w:szCs w:val="20"/>
                <w:color w:val="00162F"/>
              </w:rPr>
              <w:t>39</w:t>
            </w:r>
          </w:p>
        </w:tc>
        <w:tc>
          <w:tcPr>
            <w:tcW w:w="1200" w:type="dxa"/>
            <w:vAlign w:val="bottom"/>
            <w:gridSpan w:val="2"/>
          </w:tcPr>
          <w:p>
            <w:pPr>
              <w:jc w:val="right"/>
              <w:spacing w:after="0"/>
              <w:rPr>
                <w:sz w:val="20"/>
                <w:szCs w:val="20"/>
                <w:color w:val="auto"/>
              </w:rPr>
            </w:pPr>
            <w:r>
              <w:rPr>
                <w:rFonts w:ascii="Arial" w:cs="Arial" w:eastAsia="Arial" w:hAnsi="Arial"/>
                <w:sz w:val="20"/>
                <w:szCs w:val="20"/>
                <w:color w:val="00162F"/>
              </w:rPr>
              <w:t>75</w:t>
            </w:r>
          </w:p>
        </w:tc>
        <w:tc>
          <w:tcPr>
            <w:tcW w:w="1220" w:type="dxa"/>
            <w:vAlign w:val="bottom"/>
            <w:gridSpan w:val="2"/>
          </w:tcPr>
          <w:p>
            <w:pPr>
              <w:jc w:val="right"/>
              <w:spacing w:after="0"/>
              <w:rPr>
                <w:sz w:val="20"/>
                <w:szCs w:val="20"/>
                <w:color w:val="auto"/>
              </w:rPr>
            </w:pPr>
            <w:r>
              <w:rPr>
                <w:rFonts w:ascii="Arial" w:cs="Arial" w:eastAsia="Arial" w:hAnsi="Arial"/>
                <w:sz w:val="20"/>
                <w:szCs w:val="20"/>
                <w:color w:val="00162F"/>
              </w:rPr>
              <w:t>155</w:t>
            </w:r>
          </w:p>
        </w:tc>
        <w:tc>
          <w:tcPr>
            <w:tcW w:w="0" w:type="dxa"/>
            <w:vAlign w:val="bottom"/>
          </w:tcPr>
          <w:p>
            <w:pPr>
              <w:spacing w:after="0"/>
              <w:rPr>
                <w:sz w:val="1"/>
                <w:szCs w:val="1"/>
                <w:color w:val="auto"/>
              </w:rPr>
            </w:pPr>
          </w:p>
        </w:tc>
      </w:tr>
      <w:tr>
        <w:trPr>
          <w:trHeight w:val="269"/>
        </w:trPr>
        <w:tc>
          <w:tcPr>
            <w:tcW w:w="40" w:type="dxa"/>
            <w:vAlign w:val="bottom"/>
            <w:tcBorders>
              <w:bottom w:val="single" w:sz="8" w:color="EDEDED"/>
            </w:tcBorders>
            <w:shd w:val="clear" w:color="auto" w:fill="EDEDED"/>
          </w:tcPr>
          <w:p>
            <w:pPr>
              <w:spacing w:after="0"/>
              <w:rPr>
                <w:sz w:val="23"/>
                <w:szCs w:val="23"/>
                <w:color w:val="auto"/>
              </w:rPr>
            </w:pPr>
          </w:p>
        </w:tc>
        <w:tc>
          <w:tcPr>
            <w:tcW w:w="680" w:type="dxa"/>
            <w:vAlign w:val="bottom"/>
            <w:tcBorders>
              <w:bottom w:val="single" w:sz="8" w:color="00162F"/>
            </w:tcBorders>
            <w:gridSpan w:val="2"/>
            <w:shd w:val="clear" w:color="auto" w:fill="EDEDED"/>
          </w:tcPr>
          <w:p>
            <w:pPr>
              <w:spacing w:after="0" w:line="227" w:lineRule="exact"/>
              <w:rPr>
                <w:sz w:val="20"/>
                <w:szCs w:val="20"/>
                <w:color w:val="auto"/>
              </w:rPr>
            </w:pPr>
            <w:r>
              <w:rPr>
                <w:rFonts w:ascii="Arial" w:cs="Arial" w:eastAsia="Arial" w:hAnsi="Arial"/>
                <w:sz w:val="20"/>
                <w:szCs w:val="20"/>
                <w:b w:val="1"/>
                <w:bCs w:val="1"/>
                <w:color w:val="00162F"/>
                <w:w w:val="97"/>
              </w:rPr>
              <w:t>Boeing</w:t>
            </w:r>
          </w:p>
        </w:tc>
        <w:tc>
          <w:tcPr>
            <w:tcW w:w="4740" w:type="dxa"/>
            <w:vAlign w:val="bottom"/>
            <w:tcBorders>
              <w:bottom w:val="single" w:sz="8" w:color="EDEDED"/>
            </w:tcBorders>
            <w:gridSpan w:val="3"/>
            <w:shd w:val="clear" w:color="auto" w:fill="EDEDED"/>
          </w:tcPr>
          <w:p>
            <w:pPr>
              <w:spacing w:after="0"/>
              <w:rPr>
                <w:sz w:val="23"/>
                <w:szCs w:val="23"/>
                <w:color w:val="auto"/>
              </w:rPr>
            </w:pPr>
          </w:p>
        </w:tc>
        <w:tc>
          <w:tcPr>
            <w:tcW w:w="36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116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116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114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1140" w:type="dxa"/>
            <w:vAlign w:val="bottom"/>
            <w:tcBorders>
              <w:bottom w:val="single" w:sz="8" w:color="EDEDED"/>
            </w:tcBorders>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420" w:type="dxa"/>
            <w:vAlign w:val="bottom"/>
            <w:gridSpan w:val="5"/>
          </w:tcPr>
          <w:p>
            <w:pPr>
              <w:spacing w:after="0"/>
              <w:rPr>
                <w:sz w:val="20"/>
                <w:szCs w:val="20"/>
                <w:color w:val="auto"/>
              </w:rPr>
            </w:pPr>
            <w:r>
              <w:rPr>
                <w:rFonts w:ascii="Arial" w:cs="Arial" w:eastAsia="Arial" w:hAnsi="Arial"/>
                <w:sz w:val="20"/>
                <w:szCs w:val="20"/>
                <w:color w:val="00162F"/>
              </w:rPr>
              <w:t>737 Family</w:t>
            </w:r>
          </w:p>
        </w:tc>
        <w:tc>
          <w:tcPr>
            <w:tcW w:w="360" w:type="dxa"/>
            <w:vAlign w:val="bottom"/>
          </w:tcPr>
          <w:p>
            <w:pPr>
              <w:jc w:val="right"/>
              <w:spacing w:after="0"/>
              <w:rPr>
                <w:sz w:val="20"/>
                <w:szCs w:val="20"/>
                <w:color w:val="auto"/>
              </w:rPr>
            </w:pPr>
            <w:r>
              <w:rPr>
                <w:rFonts w:ascii="Arial" w:cs="Arial" w:eastAsia="Arial" w:hAnsi="Arial"/>
                <w:sz w:val="20"/>
                <w:szCs w:val="20"/>
                <w:color w:val="00162F"/>
              </w:rPr>
              <w:t>14</w:t>
            </w:r>
          </w:p>
        </w:tc>
        <w:tc>
          <w:tcPr>
            <w:tcW w:w="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00162F"/>
              </w:rPr>
              <w:t>—</w:t>
            </w:r>
          </w:p>
        </w:tc>
        <w:tc>
          <w:tcPr>
            <w:tcW w:w="1200" w:type="dxa"/>
            <w:vAlign w:val="bottom"/>
            <w:gridSpan w:val="2"/>
          </w:tcPr>
          <w:p>
            <w:pPr>
              <w:jc w:val="right"/>
              <w:spacing w:after="0"/>
              <w:rPr>
                <w:sz w:val="20"/>
                <w:szCs w:val="20"/>
                <w:color w:val="auto"/>
              </w:rPr>
            </w:pPr>
            <w:r>
              <w:rPr>
                <w:rFonts w:ascii="Arial" w:cs="Arial" w:eastAsia="Arial" w:hAnsi="Arial"/>
                <w:sz w:val="20"/>
                <w:szCs w:val="20"/>
                <w:color w:val="00162F"/>
              </w:rPr>
              <w:t>115</w:t>
            </w:r>
          </w:p>
        </w:tc>
        <w:tc>
          <w:tcPr>
            <w:tcW w:w="1220" w:type="dxa"/>
            <w:vAlign w:val="bottom"/>
            <w:gridSpan w:val="2"/>
          </w:tcPr>
          <w:p>
            <w:pPr>
              <w:jc w:val="right"/>
              <w:spacing w:after="0"/>
              <w:rPr>
                <w:sz w:val="20"/>
                <w:szCs w:val="20"/>
                <w:color w:val="auto"/>
              </w:rPr>
            </w:pPr>
            <w:r>
              <w:rPr>
                <w:rFonts w:ascii="Arial" w:cs="Arial" w:eastAsia="Arial" w:hAnsi="Arial"/>
                <w:sz w:val="20"/>
                <w:szCs w:val="20"/>
                <w:color w:val="00162F"/>
              </w:rPr>
              <w:t>129</w:t>
            </w:r>
          </w:p>
        </w:tc>
        <w:tc>
          <w:tcPr>
            <w:tcW w:w="0" w:type="dxa"/>
            <w:vAlign w:val="bottom"/>
          </w:tcPr>
          <w:p>
            <w:pPr>
              <w:spacing w:after="0"/>
              <w:rPr>
                <w:sz w:val="1"/>
                <w:szCs w:val="1"/>
                <w:color w:val="auto"/>
              </w:rPr>
            </w:pPr>
          </w:p>
        </w:tc>
      </w:tr>
      <w:tr>
        <w:trPr>
          <w:trHeight w:val="289"/>
        </w:trPr>
        <w:tc>
          <w:tcPr>
            <w:tcW w:w="40" w:type="dxa"/>
            <w:vAlign w:val="bottom"/>
            <w:shd w:val="clear" w:color="auto" w:fill="EDEDED"/>
          </w:tcPr>
          <w:p>
            <w:pPr>
              <w:spacing w:after="0"/>
              <w:rPr>
                <w:sz w:val="24"/>
                <w:szCs w:val="24"/>
                <w:color w:val="auto"/>
              </w:rPr>
            </w:pPr>
          </w:p>
        </w:tc>
        <w:tc>
          <w:tcPr>
            <w:tcW w:w="5420" w:type="dxa"/>
            <w:vAlign w:val="bottom"/>
            <w:gridSpan w:val="5"/>
            <w:shd w:val="clear" w:color="auto" w:fill="EDEDED"/>
          </w:tcPr>
          <w:p>
            <w:pPr>
              <w:spacing w:after="0"/>
              <w:rPr>
                <w:sz w:val="20"/>
                <w:szCs w:val="20"/>
                <w:color w:val="auto"/>
              </w:rPr>
            </w:pPr>
            <w:r>
              <w:rPr>
                <w:rFonts w:ascii="Arial" w:cs="Arial" w:eastAsia="Arial" w:hAnsi="Arial"/>
                <w:sz w:val="20"/>
                <w:szCs w:val="20"/>
                <w:color w:val="00162F"/>
              </w:rPr>
              <w:t>787 Family</w:t>
            </w:r>
          </w:p>
        </w:tc>
        <w:tc>
          <w:tcPr>
            <w:tcW w:w="3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w:t>
            </w:r>
          </w:p>
        </w:tc>
        <w:tc>
          <w:tcPr>
            <w:tcW w:w="12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3</w:t>
            </w:r>
          </w:p>
        </w:tc>
        <w:tc>
          <w:tcPr>
            <w:tcW w:w="12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5</w:t>
            </w:r>
          </w:p>
        </w:tc>
        <w:tc>
          <w:tcPr>
            <w:tcW w:w="12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10</w:t>
            </w:r>
          </w:p>
        </w:tc>
        <w:tc>
          <w:tcPr>
            <w:tcW w:w="12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19</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420" w:type="dxa"/>
            <w:vAlign w:val="bottom"/>
            <w:gridSpan w:val="5"/>
          </w:tcPr>
          <w:p>
            <w:pPr>
              <w:spacing w:after="0" w:line="220" w:lineRule="exact"/>
              <w:rPr>
                <w:sz w:val="20"/>
                <w:szCs w:val="20"/>
                <w:color w:val="auto"/>
              </w:rPr>
            </w:pPr>
            <w:r>
              <w:rPr>
                <w:rFonts w:ascii="Arial" w:cs="Arial" w:eastAsia="Arial" w:hAnsi="Arial"/>
                <w:sz w:val="20"/>
                <w:szCs w:val="20"/>
                <w:b w:val="1"/>
                <w:bCs w:val="1"/>
                <w:color w:val="00162F"/>
              </w:rPr>
              <w:t>Embraer</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640" w:type="dxa"/>
            <w:vAlign w:val="bottom"/>
            <w:tcBorders>
              <w:top w:val="single" w:sz="8" w:color="00162F"/>
            </w:tcBorders>
          </w:tcPr>
          <w:p>
            <w:pPr>
              <w:spacing w:after="0"/>
              <w:rPr>
                <w:sz w:val="3"/>
                <w:szCs w:val="3"/>
                <w:color w:val="auto"/>
              </w:rPr>
            </w:pPr>
          </w:p>
        </w:tc>
        <w:tc>
          <w:tcPr>
            <w:tcW w:w="40" w:type="dxa"/>
            <w:vAlign w:val="bottom"/>
            <w:tcBorders>
              <w:top w:val="single" w:sz="8" w:color="00162F"/>
            </w:tcBorders>
          </w:tcPr>
          <w:p>
            <w:pPr>
              <w:spacing w:after="0"/>
              <w:rPr>
                <w:sz w:val="3"/>
                <w:szCs w:val="3"/>
                <w:color w:val="auto"/>
              </w:rPr>
            </w:pPr>
          </w:p>
        </w:tc>
        <w:tc>
          <w:tcPr>
            <w:tcW w:w="120" w:type="dxa"/>
            <w:vAlign w:val="bottom"/>
            <w:tcBorders>
              <w:top w:val="single" w:sz="8" w:color="00162F"/>
            </w:tcBorders>
          </w:tcPr>
          <w:p>
            <w:pPr>
              <w:spacing w:after="0"/>
              <w:rPr>
                <w:sz w:val="3"/>
                <w:szCs w:val="3"/>
                <w:color w:val="auto"/>
              </w:rPr>
            </w:pPr>
          </w:p>
        </w:tc>
        <w:tc>
          <w:tcPr>
            <w:tcW w:w="3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EDEDED"/>
          </w:tcPr>
          <w:p>
            <w:pPr>
              <w:spacing w:after="0"/>
              <w:rPr>
                <w:sz w:val="24"/>
                <w:szCs w:val="24"/>
                <w:color w:val="auto"/>
              </w:rPr>
            </w:pPr>
          </w:p>
        </w:tc>
        <w:tc>
          <w:tcPr>
            <w:tcW w:w="5420" w:type="dxa"/>
            <w:vAlign w:val="bottom"/>
            <w:gridSpan w:val="5"/>
            <w:shd w:val="clear" w:color="auto" w:fill="EDEDED"/>
          </w:tcPr>
          <w:p>
            <w:pPr>
              <w:spacing w:after="0"/>
              <w:rPr>
                <w:sz w:val="20"/>
                <w:szCs w:val="20"/>
                <w:color w:val="auto"/>
              </w:rPr>
            </w:pPr>
            <w:r>
              <w:rPr>
                <w:rFonts w:ascii="Arial" w:cs="Arial" w:eastAsia="Arial" w:hAnsi="Arial"/>
                <w:sz w:val="20"/>
                <w:szCs w:val="20"/>
                <w:color w:val="00162F"/>
              </w:rPr>
              <w:t>E175</w:t>
            </w:r>
          </w:p>
        </w:tc>
        <w:tc>
          <w:tcPr>
            <w:tcW w:w="3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20</w:t>
            </w:r>
          </w:p>
        </w:tc>
        <w:tc>
          <w:tcPr>
            <w:tcW w:w="12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13</w:t>
            </w:r>
          </w:p>
        </w:tc>
        <w:tc>
          <w:tcPr>
            <w:tcW w:w="12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17</w:t>
            </w:r>
          </w:p>
        </w:tc>
        <w:tc>
          <w:tcPr>
            <w:tcW w:w="12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30</w:t>
            </w:r>
          </w:p>
        </w:tc>
        <w:tc>
          <w:tcPr>
            <w:tcW w:w="12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80</w:t>
            </w:r>
          </w:p>
        </w:tc>
        <w:tc>
          <w:tcPr>
            <w:tcW w:w="0" w:type="dxa"/>
            <w:vAlign w:val="bottom"/>
          </w:tcPr>
          <w:p>
            <w:pPr>
              <w:spacing w:after="0"/>
              <w:rPr>
                <w:sz w:val="1"/>
                <w:szCs w:val="1"/>
                <w:color w:val="auto"/>
              </w:rPr>
            </w:pPr>
          </w:p>
        </w:tc>
      </w:tr>
      <w:tr>
        <w:trPr>
          <w:trHeight w:val="245"/>
        </w:trPr>
        <w:tc>
          <w:tcPr>
            <w:tcW w:w="40" w:type="dxa"/>
            <w:vAlign w:val="bottom"/>
            <w:tcBorders>
              <w:top w:val="single" w:sz="8" w:color="EDEDED"/>
            </w:tcBorders>
          </w:tcPr>
          <w:p>
            <w:pPr>
              <w:spacing w:after="0"/>
              <w:rPr>
                <w:sz w:val="21"/>
                <w:szCs w:val="21"/>
                <w:color w:val="auto"/>
              </w:rPr>
            </w:pPr>
          </w:p>
        </w:tc>
        <w:tc>
          <w:tcPr>
            <w:tcW w:w="4640" w:type="dxa"/>
            <w:vAlign w:val="bottom"/>
            <w:tcBorders>
              <w:top w:val="single" w:sz="8" w:color="EDEDED"/>
            </w:tcBorders>
            <w:gridSpan w:val="4"/>
          </w:tcPr>
          <w:p>
            <w:pPr>
              <w:ind w:left="140"/>
              <w:spacing w:after="0"/>
              <w:rPr>
                <w:sz w:val="20"/>
                <w:szCs w:val="20"/>
                <w:color w:val="auto"/>
              </w:rPr>
            </w:pPr>
            <w:r>
              <w:rPr>
                <w:rFonts w:ascii="Arial" w:cs="Arial" w:eastAsia="Arial" w:hAnsi="Arial"/>
                <w:sz w:val="20"/>
                <w:szCs w:val="20"/>
                <w:color w:val="00162F"/>
              </w:rPr>
              <w:t>Total</w:t>
            </w:r>
          </w:p>
        </w:tc>
        <w:tc>
          <w:tcPr>
            <w:tcW w:w="780" w:type="dxa"/>
            <w:vAlign w:val="bottom"/>
            <w:tcBorders>
              <w:top w:val="single" w:sz="8" w:color="00162F"/>
            </w:tcBorders>
          </w:tcPr>
          <w:p>
            <w:pPr>
              <w:spacing w:after="0"/>
              <w:rPr>
                <w:sz w:val="21"/>
                <w:szCs w:val="21"/>
                <w:color w:val="auto"/>
              </w:rPr>
            </w:pPr>
          </w:p>
        </w:tc>
        <w:tc>
          <w:tcPr>
            <w:tcW w:w="360" w:type="dxa"/>
            <w:vAlign w:val="bottom"/>
            <w:tcBorders>
              <w:top w:val="single" w:sz="8" w:color="00162F"/>
            </w:tcBorders>
          </w:tcPr>
          <w:p>
            <w:pPr>
              <w:jc w:val="right"/>
              <w:spacing w:after="0"/>
              <w:rPr>
                <w:sz w:val="20"/>
                <w:szCs w:val="20"/>
                <w:color w:val="auto"/>
              </w:rPr>
            </w:pPr>
            <w:r>
              <w:rPr>
                <w:rFonts w:ascii="Arial" w:cs="Arial" w:eastAsia="Arial" w:hAnsi="Arial"/>
                <w:sz w:val="20"/>
                <w:szCs w:val="20"/>
                <w:color w:val="00162F"/>
              </w:rPr>
              <w:t>55</w:t>
            </w:r>
          </w:p>
        </w:tc>
        <w:tc>
          <w:tcPr>
            <w:tcW w:w="60" w:type="dxa"/>
            <w:vAlign w:val="bottom"/>
            <w:tcBorders>
              <w:top w:val="single" w:sz="8" w:color="EDEDED"/>
            </w:tcBorders>
          </w:tcPr>
          <w:p>
            <w:pPr>
              <w:spacing w:after="0"/>
              <w:rPr>
                <w:sz w:val="21"/>
                <w:szCs w:val="21"/>
                <w:color w:val="auto"/>
              </w:rPr>
            </w:pPr>
          </w:p>
        </w:tc>
        <w:tc>
          <w:tcPr>
            <w:tcW w:w="1160" w:type="dxa"/>
            <w:vAlign w:val="bottom"/>
            <w:tcBorders>
              <w:top w:val="single" w:sz="8" w:color="00162F"/>
            </w:tcBorders>
          </w:tcPr>
          <w:p>
            <w:pPr>
              <w:jc w:val="right"/>
              <w:spacing w:after="0"/>
              <w:rPr>
                <w:sz w:val="20"/>
                <w:szCs w:val="20"/>
                <w:color w:val="auto"/>
              </w:rPr>
            </w:pPr>
            <w:r>
              <w:rPr>
                <w:rFonts w:ascii="Arial" w:cs="Arial" w:eastAsia="Arial" w:hAnsi="Arial"/>
                <w:sz w:val="20"/>
                <w:szCs w:val="20"/>
                <w:color w:val="00162F"/>
              </w:rPr>
              <w:t>37</w:t>
            </w:r>
          </w:p>
        </w:tc>
        <w:tc>
          <w:tcPr>
            <w:tcW w:w="60" w:type="dxa"/>
            <w:vAlign w:val="bottom"/>
            <w:tcBorders>
              <w:top w:val="single" w:sz="8" w:color="EDEDED"/>
            </w:tcBorders>
          </w:tcPr>
          <w:p>
            <w:pPr>
              <w:spacing w:after="0"/>
              <w:rPr>
                <w:sz w:val="21"/>
                <w:szCs w:val="21"/>
                <w:color w:val="auto"/>
              </w:rPr>
            </w:pPr>
          </w:p>
        </w:tc>
        <w:tc>
          <w:tcPr>
            <w:tcW w:w="1160" w:type="dxa"/>
            <w:vAlign w:val="bottom"/>
            <w:tcBorders>
              <w:top w:val="single" w:sz="8" w:color="00162F"/>
            </w:tcBorders>
          </w:tcPr>
          <w:p>
            <w:pPr>
              <w:jc w:val="right"/>
              <w:ind w:right="1"/>
              <w:spacing w:after="0"/>
              <w:rPr>
                <w:sz w:val="20"/>
                <w:szCs w:val="20"/>
                <w:color w:val="auto"/>
              </w:rPr>
            </w:pPr>
            <w:r>
              <w:rPr>
                <w:rFonts w:ascii="Arial" w:cs="Arial" w:eastAsia="Arial" w:hAnsi="Arial"/>
                <w:sz w:val="20"/>
                <w:szCs w:val="20"/>
                <w:color w:val="00162F"/>
              </w:rPr>
              <w:t>61</w:t>
            </w:r>
          </w:p>
        </w:tc>
        <w:tc>
          <w:tcPr>
            <w:tcW w:w="60" w:type="dxa"/>
            <w:vAlign w:val="bottom"/>
            <w:tcBorders>
              <w:top w:val="single" w:sz="8" w:color="EDEDED"/>
            </w:tcBorders>
          </w:tcPr>
          <w:p>
            <w:pPr>
              <w:spacing w:after="0"/>
              <w:rPr>
                <w:sz w:val="21"/>
                <w:szCs w:val="21"/>
                <w:color w:val="auto"/>
              </w:rPr>
            </w:pPr>
          </w:p>
        </w:tc>
        <w:tc>
          <w:tcPr>
            <w:tcW w:w="1140" w:type="dxa"/>
            <w:vAlign w:val="bottom"/>
            <w:tcBorders>
              <w:top w:val="single" w:sz="8" w:color="00162F"/>
            </w:tcBorders>
          </w:tcPr>
          <w:p>
            <w:pPr>
              <w:jc w:val="right"/>
              <w:spacing w:after="0"/>
              <w:rPr>
                <w:sz w:val="20"/>
                <w:szCs w:val="20"/>
                <w:color w:val="auto"/>
              </w:rPr>
            </w:pPr>
            <w:r>
              <w:rPr>
                <w:rFonts w:ascii="Arial" w:cs="Arial" w:eastAsia="Arial" w:hAnsi="Arial"/>
                <w:sz w:val="20"/>
                <w:szCs w:val="20"/>
                <w:color w:val="00162F"/>
              </w:rPr>
              <w:t>230</w:t>
            </w:r>
          </w:p>
        </w:tc>
        <w:tc>
          <w:tcPr>
            <w:tcW w:w="80" w:type="dxa"/>
            <w:vAlign w:val="bottom"/>
            <w:tcBorders>
              <w:top w:val="single" w:sz="8" w:color="EDEDED"/>
            </w:tcBorders>
          </w:tcPr>
          <w:p>
            <w:pPr>
              <w:spacing w:after="0"/>
              <w:rPr>
                <w:sz w:val="21"/>
                <w:szCs w:val="21"/>
                <w:color w:val="auto"/>
              </w:rPr>
            </w:pPr>
          </w:p>
        </w:tc>
        <w:tc>
          <w:tcPr>
            <w:tcW w:w="1140" w:type="dxa"/>
            <w:vAlign w:val="bottom"/>
            <w:tcBorders>
              <w:top w:val="single" w:sz="8" w:color="00162F"/>
            </w:tcBorders>
          </w:tcPr>
          <w:p>
            <w:pPr>
              <w:jc w:val="right"/>
              <w:spacing w:after="0"/>
              <w:rPr>
                <w:sz w:val="20"/>
                <w:szCs w:val="20"/>
                <w:color w:val="auto"/>
              </w:rPr>
            </w:pPr>
            <w:r>
              <w:rPr>
                <w:rFonts w:ascii="Arial" w:cs="Arial" w:eastAsia="Arial" w:hAnsi="Arial"/>
                <w:sz w:val="20"/>
                <w:szCs w:val="20"/>
                <w:color w:val="00162F"/>
              </w:rPr>
              <w:t>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-1451610</wp:posOffset>
            </wp:positionV>
            <wp:extent cx="3856355" cy="5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3856355" cy="5016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-198120</wp:posOffset>
            </wp:positionV>
            <wp:extent cx="3117850" cy="5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3117850" cy="501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109220</wp:posOffset>
            </wp:positionV>
            <wp:extent cx="125412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06" w:lineRule="exact"/>
        <w:rPr>
          <w:sz w:val="20"/>
          <w:szCs w:val="20"/>
          <w:color w:val="auto"/>
        </w:rPr>
      </w:pPr>
    </w:p>
    <w:p>
      <w:pPr>
        <w:jc w:val="both"/>
        <w:ind w:left="365" w:hanging="365"/>
        <w:spacing w:after="0" w:line="259" w:lineRule="auto"/>
        <w:tabs>
          <w:tab w:leader="none" w:pos="365" w:val="left"/>
        </w:tabs>
        <w:numPr>
          <w:ilvl w:val="0"/>
          <w:numId w:val="25"/>
        </w:numPr>
        <w:rPr>
          <w:rFonts w:ascii="Arial" w:cs="Arial" w:eastAsia="Arial" w:hAnsi="Arial"/>
          <w:sz w:val="13"/>
          <w:szCs w:val="13"/>
          <w:color w:val="00162F"/>
        </w:rPr>
      </w:pPr>
      <w:r>
        <w:rPr>
          <w:rFonts w:ascii="Arial" w:cs="Arial" w:eastAsia="Arial" w:hAnsi="Arial"/>
          <w:sz w:val="20"/>
          <w:szCs w:val="20"/>
          <w:color w:val="00162F"/>
        </w:rPr>
        <w:t>Delivery schedule represents our best estimate as of the date of this report as described in footnote (e) to the “</w:t>
      </w:r>
      <w:r>
        <w:rPr>
          <w:rFonts w:ascii="Arial" w:cs="Arial" w:eastAsia="Arial" w:hAnsi="Arial"/>
          <w:sz w:val="20"/>
          <w:szCs w:val="20"/>
          <w:i w:val="1"/>
          <w:iCs w:val="1"/>
          <w:color w:val="00162F"/>
        </w:rPr>
        <w:t>Contractual Obligations</w:t>
      </w:r>
      <w:r>
        <w:rPr>
          <w:rFonts w:ascii="Arial" w:cs="Arial" w:eastAsia="Arial" w:hAnsi="Arial"/>
          <w:sz w:val="20"/>
          <w:szCs w:val="20"/>
          <w:color w:val="00162F"/>
        </w:rPr>
        <w:t>” table in Part II, Item 7. Management’s Discussion and Analysis of Financial Condition and Results of Operations. Actual delivery dates are subject to change, which could be material, based on various potential factors, including production delays by the equipment manufacturers and regulatory concerns.</w:t>
      </w:r>
    </w:p>
    <w:p>
      <w:pPr>
        <w:spacing w:after="0" w:line="136" w:lineRule="exact"/>
        <w:rPr>
          <w:sz w:val="20"/>
          <w:szCs w:val="20"/>
          <w:color w:val="auto"/>
        </w:rPr>
      </w:pPr>
    </w:p>
    <w:p>
      <w:pPr>
        <w:ind w:left="5" w:firstLine="267"/>
        <w:spacing w:after="0" w:line="282" w:lineRule="auto"/>
        <w:rPr>
          <w:sz w:val="20"/>
          <w:szCs w:val="20"/>
          <w:color w:val="auto"/>
        </w:rPr>
      </w:pPr>
      <w:r>
        <w:rPr>
          <w:rFonts w:ascii="Arial" w:cs="Arial" w:eastAsia="Arial" w:hAnsi="Arial"/>
          <w:sz w:val="20"/>
          <w:szCs w:val="20"/>
          <w:color w:val="00162F"/>
        </w:rPr>
        <w:t>In addition, we have committed to purchase four used Bombardier CRJ900 aircraft which are scheduled to be delivered in 2026. We also have agreements for 47 spare engines to be delivered in 2026 and beyond.</w:t>
      </w:r>
    </w:p>
    <w:p>
      <w:pPr>
        <w:sectPr>
          <w:pgSz w:w="11880" w:h="15480" w:orient="portrait"/>
          <w:cols w:equalWidth="0" w:num="1">
            <w:col w:w="10685"/>
          </w:cols>
          <w:pgMar w:left="595"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53</w:t>
      </w:r>
    </w:p>
    <w:p>
      <w:pPr>
        <w:sectPr>
          <w:pgSz w:w="11880" w:h="15480" w:orient="portrait"/>
          <w:cols w:equalWidth="0" w:num="1">
            <w:col w:w="10685"/>
          </w:cols>
          <w:pgMar w:left="595" w:top="994" w:right="600" w:bottom="0" w:gutter="0" w:footer="0" w:header="0"/>
          <w:type w:val="continuous"/>
        </w:sectPr>
      </w:pPr>
    </w:p>
    <w:bookmarkStart w:id="54" w:name="page55"/>
    <w:bookmarkEnd w:id="54"/>
    <w:p>
      <w:pPr>
        <w:jc w:val="both"/>
        <w:ind w:firstLine="267"/>
        <w:spacing w:after="0" w:line="265" w:lineRule="auto"/>
        <w:rPr>
          <w:sz w:val="20"/>
          <w:szCs w:val="20"/>
          <w:color w:val="auto"/>
        </w:rPr>
      </w:pPr>
      <w:r>
        <w:rPr>
          <w:rFonts w:ascii="Arial" w:cs="Arial" w:eastAsia="Arial" w:hAnsi="Arial"/>
          <w:sz w:val="20"/>
          <w:szCs w:val="20"/>
          <w:color w:val="00162F"/>
        </w:rPr>
        <w:t>We intend to finance future aircraft deliveries and option exercises using long-term debt. See Note 11 to AAG’s Consolidated Financial Statements in Part II, Item 8A and Note 10 to American’s Consolidated Financial Statements in Part II, Item 8B for additional information on aircraft and engine acquisition commitments.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Ground Properties</w:t>
      </w:r>
    </w:p>
    <w:p>
      <w:pPr>
        <w:spacing w:after="0" w:line="97"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Additionally, at our hub locations and in certain other cities we serve, we lease administrative offices, catering, cargo, training, maintenance and other facilities.</w:t>
      </w:r>
    </w:p>
    <w:p>
      <w:pPr>
        <w:spacing w:after="0" w:line="14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We lease, or have built on leased property, our headquarters and training facilities in Fort Worth, Texas, our principal overhaul and maintenance base in Tulsa, Oklahoma, our regional reservation offices, and administrative offices throughout the U.S. and abroad.</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ITEM 3. LEGAL PROCEEDINGS</w:t>
      </w:r>
    </w:p>
    <w:p>
      <w:pPr>
        <w:spacing w:after="0" w:line="97"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See Note 11 to AAG’s Consolidated Financial Statements in Part II, Item 8A and Note 10 to American’s Consolidated Financial Statements in Part II, Item 8B for information on legal proceedings.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ITEM 4. MINE SAFETY DISCLOSURES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Not applicable.</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54</w:t>
      </w:r>
    </w:p>
    <w:p>
      <w:pPr>
        <w:sectPr>
          <w:pgSz w:w="11880" w:h="15480" w:orient="portrait"/>
          <w:cols w:equalWidth="0" w:num="1">
            <w:col w:w="10680"/>
          </w:cols>
          <w:pgMar w:left="600" w:top="992" w:right="600" w:bottom="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20"/>
          <w:szCs w:val="20"/>
          <w:b w:val="1"/>
          <w:bCs w:val="1"/>
          <w:color w:val="00162F"/>
        </w:rPr>
        <w:t>PART II</w:t>
      </w:r>
    </w:p>
    <w:p>
      <w:pPr>
        <w:spacing w:after="0" w:line="275" w:lineRule="exact"/>
        <w:rPr>
          <w:sz w:val="20"/>
          <w:szCs w:val="20"/>
          <w:color w:val="auto"/>
        </w:rPr>
      </w:pPr>
    </w:p>
    <w:p>
      <w:pPr>
        <w:ind w:left="980" w:right="960" w:hanging="979"/>
        <w:spacing w:after="0" w:line="293" w:lineRule="auto"/>
        <w:tabs>
          <w:tab w:leader="none" w:pos="960" w:val="left"/>
        </w:tabs>
        <w:rPr>
          <w:sz w:val="20"/>
          <w:szCs w:val="20"/>
          <w:color w:val="auto"/>
        </w:rPr>
      </w:pPr>
      <w:r>
        <w:rPr>
          <w:rFonts w:ascii="Arial" w:cs="Arial" w:eastAsia="Arial" w:hAnsi="Arial"/>
          <w:sz w:val="20"/>
          <w:szCs w:val="20"/>
          <w:b w:val="1"/>
          <w:bCs w:val="1"/>
          <w:color w:val="00162F"/>
        </w:rPr>
        <w:t>ITEM 5.</w:t>
        <w:tab/>
        <w:t>MARKET FOR AMERICAN AIRLINES GROUP’S COMMON STOCK, RELATED STOCKHOLDER MATTERS AND ISSUER PURCHASES OF EQUITY SECURITIES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Stock Exchange Listing</w:t>
      </w:r>
    </w:p>
    <w:p>
      <w:pPr>
        <w:spacing w:after="0" w:line="97"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Our common stock is listed on The Nasdaq Global Select Market under the trading symbol “AAL.” There is no trading market for the common stock of American, which is a wholly-owned subsidiary of AAG.</w:t>
      </w:r>
    </w:p>
    <w:p>
      <w:pPr>
        <w:spacing w:after="0" w:line="11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As of February 13, 2026, there were approximately 51,000 holders of record of our common stock. However, because many of the shares of our common stock are held by brokers and other institutions on behalf of stockholders, we believe there are substantially more beneficial holders of our common stock than record holders.</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Information on securities authorized for issuance under our equity compensation plans will be set forth in our Proxy Statement for the 2026 Annual Meeting of Stockholders of American Airlines Group Inc. (the Proxy Statement) under the caption “Equity Compensation Plan Information” and is incorporated by reference into this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Dividends on Common Stock</w:t>
      </w:r>
    </w:p>
    <w:p>
      <w:pPr>
        <w:spacing w:after="0" w:line="97"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There were no cash dividend payments during the years ended December 31, 2025 and 2024.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55</w:t>
      </w:r>
    </w:p>
    <w:p>
      <w:pPr>
        <w:sectPr>
          <w:pgSz w:w="11880" w:h="15480" w:orient="portrait"/>
          <w:cols w:equalWidth="0" w:num="1">
            <w:col w:w="10680"/>
          </w:cols>
          <w:pgMar w:left="600" w:top="992" w:right="600" w:bottom="0"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b w:val="1"/>
          <w:bCs w:val="1"/>
          <w:color w:val="00162F"/>
        </w:rPr>
        <w:t>Stock Performance Graph</w:t>
      </w:r>
    </w:p>
    <w:p>
      <w:pPr>
        <w:spacing w:after="0" w:line="99" w:lineRule="exact"/>
        <w:rPr>
          <w:sz w:val="20"/>
          <w:szCs w:val="20"/>
          <w:color w:val="auto"/>
        </w:rPr>
      </w:pPr>
    </w:p>
    <w:p>
      <w:pPr>
        <w:jc w:val="both"/>
        <w:ind w:firstLine="267"/>
        <w:spacing w:after="0" w:line="284" w:lineRule="auto"/>
        <w:rPr>
          <w:sz w:val="20"/>
          <w:szCs w:val="20"/>
          <w:color w:val="auto"/>
        </w:rPr>
      </w:pPr>
      <w:r>
        <w:rPr>
          <w:rFonts w:ascii="Arial" w:cs="Arial" w:eastAsia="Arial" w:hAnsi="Arial"/>
          <w:sz w:val="19"/>
          <w:szCs w:val="19"/>
          <w:i w:val="1"/>
          <w:iCs w:val="1"/>
          <w:color w:val="00162F"/>
        </w:rPr>
        <w:t>The following stock performance graph and related information shall not be deemed “soliciting material” or “filed” with the SEC, nor shall such information be incorporated by reference into any future filings under the Securities Act of 1933 or the Exchange Act, each as amended, except to the extent that we specifically incorporate it by reference into such filing.</w:t>
      </w:r>
    </w:p>
    <w:p>
      <w:pPr>
        <w:spacing w:after="0" w:line="114"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The following stock performance graph compares the cumulative total stockholder returns during the period from December 31, 2020 to December 31, 2025 of our common stock to the New York Stock Exchange (NYSE) ARCA Airline Index and the Standard and Poor’s Financial Services, LLC (S&amp;P) 500 Stock Index. The comparison assumes $100 was invested on December 31, 2020 in our common stock and in each of the foregoing indices and assumes that all dividends were reinvested. The stock performance shown on the following graph represents historical stock performance and is not necessarily indicative of future stock price performance.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300" w:type="dxa"/>
            <w:vAlign w:val="bottom"/>
            <w:tcBorders>
              <w:right w:val="single" w:sz="8" w:color="00162F"/>
            </w:tcBorders>
          </w:tcPr>
          <w:p>
            <w:pPr>
              <w:spacing w:after="0"/>
              <w:rPr>
                <w:sz w:val="24"/>
                <w:szCs w:val="24"/>
                <w:color w:val="auto"/>
              </w:rPr>
            </w:pPr>
          </w:p>
        </w:tc>
        <w:tc>
          <w:tcPr>
            <w:tcW w:w="560" w:type="dxa"/>
            <w:vAlign w:val="bottom"/>
            <w:tcBorders>
              <w:top w:val="single" w:sz="8" w:color="00162F"/>
            </w:tcBorders>
          </w:tcPr>
          <w:p>
            <w:pPr>
              <w:spacing w:after="0"/>
              <w:rPr>
                <w:sz w:val="24"/>
                <w:szCs w:val="24"/>
                <w:color w:val="auto"/>
              </w:rPr>
            </w:pPr>
          </w:p>
        </w:tc>
        <w:tc>
          <w:tcPr>
            <w:tcW w:w="160" w:type="dxa"/>
            <w:vAlign w:val="bottom"/>
            <w:tcBorders>
              <w:top w:val="single" w:sz="8" w:color="00162F"/>
            </w:tcBorders>
          </w:tcPr>
          <w:p>
            <w:pPr>
              <w:spacing w:after="0"/>
              <w:rPr>
                <w:sz w:val="24"/>
                <w:szCs w:val="24"/>
                <w:color w:val="auto"/>
              </w:rPr>
            </w:pPr>
          </w:p>
        </w:tc>
        <w:tc>
          <w:tcPr>
            <w:tcW w:w="440" w:type="dxa"/>
            <w:vAlign w:val="bottom"/>
            <w:tcBorders>
              <w:top w:val="single" w:sz="8" w:color="00162F"/>
            </w:tcBorders>
          </w:tcPr>
          <w:p>
            <w:pPr>
              <w:spacing w:after="0"/>
              <w:rPr>
                <w:sz w:val="24"/>
                <w:szCs w:val="24"/>
                <w:color w:val="auto"/>
              </w:rPr>
            </w:pPr>
          </w:p>
        </w:tc>
        <w:tc>
          <w:tcPr>
            <w:tcW w:w="280" w:type="dxa"/>
            <w:vAlign w:val="bottom"/>
            <w:tcBorders>
              <w:top w:val="single" w:sz="8" w:color="00162F"/>
            </w:tcBorders>
          </w:tcPr>
          <w:p>
            <w:pPr>
              <w:spacing w:after="0"/>
              <w:rPr>
                <w:sz w:val="24"/>
                <w:szCs w:val="24"/>
                <w:color w:val="auto"/>
              </w:rPr>
            </w:pPr>
          </w:p>
        </w:tc>
        <w:tc>
          <w:tcPr>
            <w:tcW w:w="120" w:type="dxa"/>
            <w:vAlign w:val="bottom"/>
            <w:tcBorders>
              <w:top w:val="single" w:sz="8" w:color="00162F"/>
            </w:tcBorders>
          </w:tcPr>
          <w:p>
            <w:pPr>
              <w:spacing w:after="0"/>
              <w:rPr>
                <w:sz w:val="24"/>
                <w:szCs w:val="24"/>
                <w:color w:val="auto"/>
              </w:rPr>
            </w:pPr>
          </w:p>
        </w:tc>
        <w:tc>
          <w:tcPr>
            <w:tcW w:w="1040" w:type="dxa"/>
            <w:vAlign w:val="bottom"/>
            <w:tcBorders>
              <w:top w:val="single" w:sz="8" w:color="00162F"/>
            </w:tcBorders>
          </w:tcPr>
          <w:p>
            <w:pPr>
              <w:spacing w:after="0"/>
              <w:rPr>
                <w:sz w:val="24"/>
                <w:szCs w:val="24"/>
                <w:color w:val="auto"/>
              </w:rPr>
            </w:pPr>
          </w:p>
        </w:tc>
        <w:tc>
          <w:tcPr>
            <w:tcW w:w="380" w:type="dxa"/>
            <w:vAlign w:val="bottom"/>
            <w:tcBorders>
              <w:top w:val="single" w:sz="8" w:color="00162F"/>
            </w:tcBorders>
          </w:tcPr>
          <w:p>
            <w:pPr>
              <w:spacing w:after="0"/>
              <w:rPr>
                <w:sz w:val="24"/>
                <w:szCs w:val="24"/>
                <w:color w:val="auto"/>
              </w:rPr>
            </w:pPr>
          </w:p>
        </w:tc>
        <w:tc>
          <w:tcPr>
            <w:tcW w:w="120" w:type="dxa"/>
            <w:vAlign w:val="bottom"/>
            <w:tcBorders>
              <w:top w:val="single" w:sz="8" w:color="00162F"/>
            </w:tcBorders>
          </w:tcPr>
          <w:p>
            <w:pPr>
              <w:spacing w:after="0"/>
              <w:rPr>
                <w:sz w:val="24"/>
                <w:szCs w:val="24"/>
                <w:color w:val="auto"/>
              </w:rPr>
            </w:pPr>
          </w:p>
        </w:tc>
        <w:tc>
          <w:tcPr>
            <w:tcW w:w="3580" w:type="dxa"/>
            <w:vAlign w:val="bottom"/>
            <w:tcBorders>
              <w:top w:val="single" w:sz="8" w:color="00162F"/>
            </w:tcBorders>
            <w:gridSpan w:val="13"/>
          </w:tcPr>
          <w:p>
            <w:pPr>
              <w:jc w:val="right"/>
              <w:ind w:right="21"/>
              <w:spacing w:after="0"/>
              <w:rPr>
                <w:sz w:val="20"/>
                <w:szCs w:val="20"/>
                <w:color w:val="auto"/>
              </w:rPr>
            </w:pPr>
            <w:r>
              <w:rPr>
                <w:rFonts w:ascii="Arial" w:cs="Arial" w:eastAsia="Arial" w:hAnsi="Arial"/>
                <w:sz w:val="26"/>
                <w:szCs w:val="26"/>
                <w:b w:val="1"/>
                <w:bCs w:val="1"/>
                <w:color w:val="00162F"/>
              </w:rPr>
              <w:t>Cumulative Total Returns</w:t>
            </w:r>
          </w:p>
        </w:tc>
        <w:tc>
          <w:tcPr>
            <w:tcW w:w="500" w:type="dxa"/>
            <w:vAlign w:val="bottom"/>
            <w:tcBorders>
              <w:top w:val="single" w:sz="8" w:color="00162F"/>
            </w:tcBorders>
          </w:tcPr>
          <w:p>
            <w:pPr>
              <w:spacing w:after="0"/>
              <w:rPr>
                <w:sz w:val="24"/>
                <w:szCs w:val="24"/>
                <w:color w:val="auto"/>
              </w:rPr>
            </w:pPr>
          </w:p>
        </w:tc>
        <w:tc>
          <w:tcPr>
            <w:tcW w:w="20" w:type="dxa"/>
            <w:vAlign w:val="bottom"/>
            <w:tcBorders>
              <w:top w:val="single" w:sz="8" w:color="00162F"/>
            </w:tcBorders>
          </w:tcPr>
          <w:p>
            <w:pPr>
              <w:spacing w:after="0"/>
              <w:rPr>
                <w:sz w:val="24"/>
                <w:szCs w:val="24"/>
                <w:color w:val="auto"/>
              </w:rPr>
            </w:pPr>
          </w:p>
        </w:tc>
        <w:tc>
          <w:tcPr>
            <w:tcW w:w="60" w:type="dxa"/>
            <w:vAlign w:val="bottom"/>
            <w:tcBorders>
              <w:top w:val="single" w:sz="8" w:color="00162F"/>
            </w:tcBorders>
          </w:tcPr>
          <w:p>
            <w:pPr>
              <w:spacing w:after="0"/>
              <w:rPr>
                <w:sz w:val="24"/>
                <w:szCs w:val="24"/>
                <w:color w:val="auto"/>
              </w:rPr>
            </w:pPr>
          </w:p>
        </w:tc>
        <w:tc>
          <w:tcPr>
            <w:tcW w:w="340" w:type="dxa"/>
            <w:vAlign w:val="bottom"/>
            <w:tcBorders>
              <w:top w:val="single" w:sz="8" w:color="00162F"/>
            </w:tcBorders>
          </w:tcPr>
          <w:p>
            <w:pPr>
              <w:spacing w:after="0"/>
              <w:rPr>
                <w:sz w:val="24"/>
                <w:szCs w:val="24"/>
                <w:color w:val="auto"/>
              </w:rPr>
            </w:pPr>
          </w:p>
        </w:tc>
        <w:tc>
          <w:tcPr>
            <w:tcW w:w="120" w:type="dxa"/>
            <w:vAlign w:val="bottom"/>
            <w:tcBorders>
              <w:top w:val="single" w:sz="8" w:color="00162F"/>
            </w:tcBorders>
          </w:tcPr>
          <w:p>
            <w:pPr>
              <w:spacing w:after="0"/>
              <w:rPr>
                <w:sz w:val="24"/>
                <w:szCs w:val="24"/>
                <w:color w:val="auto"/>
              </w:rPr>
            </w:pPr>
          </w:p>
        </w:tc>
        <w:tc>
          <w:tcPr>
            <w:tcW w:w="60" w:type="dxa"/>
            <w:vAlign w:val="bottom"/>
            <w:tcBorders>
              <w:top w:val="single" w:sz="8" w:color="00162F"/>
            </w:tcBorders>
          </w:tcPr>
          <w:p>
            <w:pPr>
              <w:spacing w:after="0"/>
              <w:rPr>
                <w:sz w:val="24"/>
                <w:szCs w:val="24"/>
                <w:color w:val="auto"/>
              </w:rPr>
            </w:pPr>
          </w:p>
        </w:tc>
        <w:tc>
          <w:tcPr>
            <w:tcW w:w="460" w:type="dxa"/>
            <w:vAlign w:val="bottom"/>
            <w:tcBorders>
              <w:top w:val="single" w:sz="8" w:color="00162F"/>
            </w:tcBorders>
          </w:tcPr>
          <w:p>
            <w:pPr>
              <w:spacing w:after="0"/>
              <w:rPr>
                <w:sz w:val="24"/>
                <w:szCs w:val="24"/>
                <w:color w:val="auto"/>
              </w:rPr>
            </w:pPr>
          </w:p>
        </w:tc>
        <w:tc>
          <w:tcPr>
            <w:tcW w:w="80" w:type="dxa"/>
            <w:vAlign w:val="bottom"/>
            <w:tcBorders>
              <w:top w:val="single" w:sz="8" w:color="00162F"/>
            </w:tcBorders>
          </w:tcPr>
          <w:p>
            <w:pPr>
              <w:spacing w:after="0"/>
              <w:rPr>
                <w:sz w:val="24"/>
                <w:szCs w:val="24"/>
                <w:color w:val="auto"/>
              </w:rPr>
            </w:pPr>
          </w:p>
        </w:tc>
        <w:tc>
          <w:tcPr>
            <w:tcW w:w="300" w:type="dxa"/>
            <w:vAlign w:val="bottom"/>
            <w:tcBorders>
              <w:top w:val="single" w:sz="8" w:color="00162F"/>
            </w:tcBorders>
          </w:tcPr>
          <w:p>
            <w:pPr>
              <w:spacing w:after="0"/>
              <w:rPr>
                <w:sz w:val="24"/>
                <w:szCs w:val="24"/>
                <w:color w:val="auto"/>
              </w:rPr>
            </w:pPr>
          </w:p>
        </w:tc>
        <w:tc>
          <w:tcPr>
            <w:tcW w:w="500" w:type="dxa"/>
            <w:vAlign w:val="bottom"/>
            <w:tcBorders>
              <w:top w:val="single" w:sz="8" w:color="00162F"/>
            </w:tcBorders>
          </w:tcPr>
          <w:p>
            <w:pPr>
              <w:spacing w:after="0"/>
              <w:rPr>
                <w:sz w:val="24"/>
                <w:szCs w:val="24"/>
                <w:color w:val="auto"/>
              </w:rPr>
            </w:pPr>
          </w:p>
        </w:tc>
        <w:tc>
          <w:tcPr>
            <w:tcW w:w="120" w:type="dxa"/>
            <w:vAlign w:val="bottom"/>
            <w:tcBorders>
              <w:top w:val="single" w:sz="8" w:color="00162F"/>
            </w:tcBorders>
          </w:tcPr>
          <w:p>
            <w:pPr>
              <w:spacing w:after="0"/>
              <w:rPr>
                <w:sz w:val="24"/>
                <w:szCs w:val="24"/>
                <w:color w:val="auto"/>
              </w:rPr>
            </w:pPr>
          </w:p>
        </w:tc>
        <w:tc>
          <w:tcPr>
            <w:tcW w:w="80" w:type="dxa"/>
            <w:vAlign w:val="bottom"/>
            <w:tcBorders>
              <w:top w:val="single" w:sz="8" w:color="00162F"/>
            </w:tcBorders>
          </w:tcPr>
          <w:p>
            <w:pPr>
              <w:spacing w:after="0"/>
              <w:rPr>
                <w:sz w:val="24"/>
                <w:szCs w:val="24"/>
                <w:color w:val="auto"/>
              </w:rPr>
            </w:pPr>
          </w:p>
        </w:tc>
        <w:tc>
          <w:tcPr>
            <w:tcW w:w="80" w:type="dxa"/>
            <w:vAlign w:val="bottom"/>
            <w:tcBorders>
              <w:top w:val="single" w:sz="8" w:color="00162F"/>
            </w:tcBorders>
          </w:tcPr>
          <w:p>
            <w:pPr>
              <w:spacing w:after="0"/>
              <w:rPr>
                <w:sz w:val="24"/>
                <w:szCs w:val="24"/>
                <w:color w:val="auto"/>
              </w:rPr>
            </w:pPr>
          </w:p>
        </w:tc>
        <w:tc>
          <w:tcPr>
            <w:tcW w:w="560" w:type="dxa"/>
            <w:vAlign w:val="bottom"/>
            <w:tcBorders>
              <w:top w:val="single" w:sz="8" w:color="00162F"/>
            </w:tcBorders>
          </w:tcPr>
          <w:p>
            <w:pPr>
              <w:spacing w:after="0"/>
              <w:rPr>
                <w:sz w:val="24"/>
                <w:szCs w:val="24"/>
                <w:color w:val="auto"/>
              </w:rPr>
            </w:pPr>
          </w:p>
        </w:tc>
        <w:tc>
          <w:tcPr>
            <w:tcW w:w="140" w:type="dxa"/>
            <w:vAlign w:val="bottom"/>
            <w:tcBorders>
              <w:top w:val="single" w:sz="8" w:color="00162F"/>
              <w:right w:val="single" w:sz="8" w:color="00162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0" w:type="dxa"/>
            <w:vAlign w:val="bottom"/>
            <w:tcBorders>
              <w:right w:val="single" w:sz="8" w:color="00162F"/>
            </w:tcBorders>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00162F"/>
              </w:rPr>
              <w:t>$200</w:t>
            </w:r>
          </w:p>
        </w:tc>
        <w:tc>
          <w:tcPr>
            <w:tcW w:w="160" w:type="dxa"/>
            <w:vAlign w:val="bottom"/>
            <w:vMerge w:val="restart"/>
          </w:tcPr>
          <w:p>
            <w:pPr>
              <w:spacing w:after="0"/>
              <w:rPr>
                <w:sz w:val="19"/>
                <w:szCs w:val="19"/>
                <w:color w:val="auto"/>
              </w:rPr>
            </w:pPr>
          </w:p>
        </w:tc>
        <w:tc>
          <w:tcPr>
            <w:tcW w:w="440" w:type="dxa"/>
            <w:vAlign w:val="bottom"/>
            <w:tcBorders>
              <w:bottom w:val="single" w:sz="8" w:color="E6E6E6"/>
            </w:tcBorders>
          </w:tcPr>
          <w:p>
            <w:pPr>
              <w:spacing w:after="0"/>
              <w:rPr>
                <w:sz w:val="19"/>
                <w:szCs w:val="19"/>
                <w:color w:val="auto"/>
              </w:rPr>
            </w:pPr>
          </w:p>
        </w:tc>
        <w:tc>
          <w:tcPr>
            <w:tcW w:w="28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1040" w:type="dxa"/>
            <w:vAlign w:val="bottom"/>
            <w:tcBorders>
              <w:bottom w:val="single" w:sz="8" w:color="E6E6E6"/>
            </w:tcBorders>
          </w:tcPr>
          <w:p>
            <w:pPr>
              <w:spacing w:after="0"/>
              <w:rPr>
                <w:sz w:val="19"/>
                <w:szCs w:val="19"/>
                <w:color w:val="auto"/>
              </w:rPr>
            </w:pPr>
          </w:p>
        </w:tc>
        <w:tc>
          <w:tcPr>
            <w:tcW w:w="38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88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18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300" w:type="dxa"/>
            <w:vAlign w:val="bottom"/>
            <w:tcBorders>
              <w:bottom w:val="single" w:sz="8" w:color="E6E6E6"/>
            </w:tcBorders>
          </w:tcPr>
          <w:p>
            <w:pPr>
              <w:spacing w:after="0"/>
              <w:rPr>
                <w:sz w:val="19"/>
                <w:szCs w:val="19"/>
                <w:color w:val="auto"/>
              </w:rPr>
            </w:pPr>
          </w:p>
        </w:tc>
        <w:tc>
          <w:tcPr>
            <w:tcW w:w="40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360" w:type="dxa"/>
            <w:vAlign w:val="bottom"/>
            <w:tcBorders>
              <w:bottom w:val="single" w:sz="8" w:color="E6E6E6"/>
            </w:tcBorders>
          </w:tcPr>
          <w:p>
            <w:pPr>
              <w:spacing w:after="0"/>
              <w:rPr>
                <w:sz w:val="19"/>
                <w:szCs w:val="19"/>
                <w:color w:val="auto"/>
              </w:rPr>
            </w:pPr>
          </w:p>
        </w:tc>
        <w:tc>
          <w:tcPr>
            <w:tcW w:w="580" w:type="dxa"/>
            <w:vAlign w:val="bottom"/>
            <w:tcBorders>
              <w:bottom w:val="single" w:sz="8" w:color="E6E6E6"/>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500" w:type="dxa"/>
            <w:vAlign w:val="bottom"/>
            <w:tcBorders>
              <w:bottom w:val="single" w:sz="8" w:color="E6E6E6"/>
            </w:tcBorders>
          </w:tcPr>
          <w:p>
            <w:pPr>
              <w:spacing w:after="0"/>
              <w:rPr>
                <w:sz w:val="19"/>
                <w:szCs w:val="19"/>
                <w:color w:val="auto"/>
              </w:rPr>
            </w:pPr>
          </w:p>
        </w:tc>
        <w:tc>
          <w:tcPr>
            <w:tcW w:w="5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34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46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300" w:type="dxa"/>
            <w:vAlign w:val="bottom"/>
            <w:tcBorders>
              <w:bottom w:val="single" w:sz="8" w:color="E6E6E6"/>
            </w:tcBorders>
          </w:tcPr>
          <w:p>
            <w:pPr>
              <w:spacing w:after="0"/>
              <w:rPr>
                <w:sz w:val="19"/>
                <w:szCs w:val="19"/>
                <w:color w:val="auto"/>
              </w:rPr>
            </w:pPr>
          </w:p>
        </w:tc>
        <w:tc>
          <w:tcPr>
            <w:tcW w:w="50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560" w:type="dxa"/>
            <w:vAlign w:val="bottom"/>
            <w:tcBorders>
              <w:bottom w:val="single" w:sz="8" w:color="E6E6E6"/>
            </w:tcBorders>
          </w:tcPr>
          <w:p>
            <w:pPr>
              <w:spacing w:after="0"/>
              <w:rPr>
                <w:sz w:val="19"/>
                <w:szCs w:val="19"/>
                <w:color w:val="auto"/>
              </w:rPr>
            </w:pPr>
          </w:p>
        </w:tc>
        <w:tc>
          <w:tcPr>
            <w:tcW w:w="140" w:type="dxa"/>
            <w:vAlign w:val="bottom"/>
            <w:tcBorders>
              <w:right w:val="single" w:sz="8" w:color="00162F"/>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300" w:type="dxa"/>
            <w:vAlign w:val="bottom"/>
            <w:tcBorders>
              <w:right w:val="single" w:sz="8" w:color="00162F"/>
            </w:tcBorders>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40" w:type="dxa"/>
            <w:vAlign w:val="bottom"/>
            <w:tcBorders>
              <w:left w:val="single" w:sz="8" w:color="8A8A8A"/>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Borders>
              <w:right w:val="single" w:sz="8" w:color="00162F"/>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2"/>
        </w:trPr>
        <w:tc>
          <w:tcPr>
            <w:tcW w:w="300" w:type="dxa"/>
            <w:vAlign w:val="bottom"/>
            <w:tcBorders>
              <w:right w:val="single" w:sz="8" w:color="00162F"/>
            </w:tcBorders>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00162F"/>
              </w:rPr>
              <w:t>$150</w:t>
            </w:r>
          </w:p>
        </w:tc>
        <w:tc>
          <w:tcPr>
            <w:tcW w:w="160" w:type="dxa"/>
            <w:vAlign w:val="bottom"/>
            <w:vMerge w:val="restart"/>
          </w:tcPr>
          <w:p>
            <w:pPr>
              <w:spacing w:after="0"/>
              <w:rPr>
                <w:sz w:val="24"/>
                <w:szCs w:val="24"/>
                <w:color w:val="auto"/>
              </w:rPr>
            </w:pPr>
          </w:p>
        </w:tc>
        <w:tc>
          <w:tcPr>
            <w:tcW w:w="440" w:type="dxa"/>
            <w:vAlign w:val="bottom"/>
            <w:tcBorders>
              <w:left w:val="single" w:sz="8" w:color="8A8A8A"/>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1040" w:type="dxa"/>
            <w:vAlign w:val="bottom"/>
            <w:tcBorders>
              <w:bottom w:val="single" w:sz="8" w:color="E6E6E6"/>
            </w:tcBorders>
          </w:tcPr>
          <w:p>
            <w:pPr>
              <w:spacing w:after="0"/>
              <w:rPr>
                <w:sz w:val="24"/>
                <w:szCs w:val="24"/>
                <w:color w:val="auto"/>
              </w:rPr>
            </w:pPr>
          </w:p>
        </w:tc>
        <w:tc>
          <w:tcPr>
            <w:tcW w:w="38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8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4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58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560" w:type="dxa"/>
            <w:vAlign w:val="bottom"/>
            <w:tcBorders>
              <w:bottom w:val="single" w:sz="8" w:color="E6E6E6"/>
            </w:tcBorders>
          </w:tcPr>
          <w:p>
            <w:pPr>
              <w:spacing w:after="0"/>
              <w:rPr>
                <w:sz w:val="24"/>
                <w:szCs w:val="24"/>
                <w:color w:val="auto"/>
              </w:rPr>
            </w:pPr>
          </w:p>
        </w:tc>
        <w:tc>
          <w:tcPr>
            <w:tcW w:w="140" w:type="dxa"/>
            <w:vAlign w:val="bottom"/>
            <w:tcBorders>
              <w:right w:val="single" w:sz="8" w:color="00162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00" w:type="dxa"/>
            <w:vAlign w:val="bottom"/>
            <w:tcBorders>
              <w:right w:val="single" w:sz="8" w:color="00162F"/>
            </w:tcBorders>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40" w:type="dxa"/>
            <w:vAlign w:val="bottom"/>
            <w:tcBorders>
              <w:left w:val="single" w:sz="8" w:color="8A8A8A"/>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right w:val="single" w:sz="8" w:color="00162F"/>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1"/>
        </w:trPr>
        <w:tc>
          <w:tcPr>
            <w:tcW w:w="300" w:type="dxa"/>
            <w:vAlign w:val="bottom"/>
            <w:tcBorders>
              <w:right w:val="single" w:sz="8" w:color="00162F"/>
            </w:tcBorders>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162F"/>
              </w:rPr>
              <w:t>$100</w:t>
            </w:r>
          </w:p>
        </w:tc>
        <w:tc>
          <w:tcPr>
            <w:tcW w:w="160" w:type="dxa"/>
            <w:vAlign w:val="bottom"/>
          </w:tcPr>
          <w:p>
            <w:pPr>
              <w:spacing w:after="0"/>
              <w:rPr>
                <w:sz w:val="24"/>
                <w:szCs w:val="24"/>
                <w:color w:val="auto"/>
              </w:rPr>
            </w:pPr>
          </w:p>
        </w:tc>
        <w:tc>
          <w:tcPr>
            <w:tcW w:w="440" w:type="dxa"/>
            <w:vAlign w:val="bottom"/>
            <w:tcBorders>
              <w:left w:val="single" w:sz="8" w:color="8A8A8A"/>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120" w:type="dxa"/>
            <w:vAlign w:val="bottom"/>
            <w:tcBorders>
              <w:bottom w:val="single" w:sz="8" w:color="333333"/>
            </w:tcBorders>
          </w:tcPr>
          <w:p>
            <w:pPr>
              <w:spacing w:after="0"/>
              <w:rPr>
                <w:sz w:val="24"/>
                <w:szCs w:val="24"/>
                <w:color w:val="auto"/>
              </w:rPr>
            </w:pPr>
          </w:p>
        </w:tc>
        <w:tc>
          <w:tcPr>
            <w:tcW w:w="1040" w:type="dxa"/>
            <w:vAlign w:val="bottom"/>
            <w:tcBorders>
              <w:bottom w:val="single" w:sz="8" w:color="E6E6E6"/>
            </w:tcBorders>
          </w:tcPr>
          <w:p>
            <w:pPr>
              <w:spacing w:after="0"/>
              <w:rPr>
                <w:sz w:val="24"/>
                <w:szCs w:val="24"/>
                <w:color w:val="auto"/>
              </w:rPr>
            </w:pPr>
          </w:p>
        </w:tc>
        <w:tc>
          <w:tcPr>
            <w:tcW w:w="380" w:type="dxa"/>
            <w:vAlign w:val="bottom"/>
            <w:tcBorders>
              <w:bottom w:val="single" w:sz="8" w:color="E6E6E6"/>
            </w:tcBorders>
          </w:tcPr>
          <w:p>
            <w:pPr>
              <w:spacing w:after="0"/>
              <w:rPr>
                <w:sz w:val="24"/>
                <w:szCs w:val="24"/>
                <w:color w:val="auto"/>
              </w:rPr>
            </w:pPr>
          </w:p>
        </w:tc>
        <w:tc>
          <w:tcPr>
            <w:tcW w:w="120" w:type="dxa"/>
            <w:vAlign w:val="bottom"/>
            <w:tcBorders>
              <w:bottom w:val="single" w:sz="8" w:color="333333"/>
            </w:tcBorders>
          </w:tcPr>
          <w:p>
            <w:pPr>
              <w:spacing w:after="0"/>
              <w:rPr>
                <w:sz w:val="24"/>
                <w:szCs w:val="24"/>
                <w:color w:val="auto"/>
              </w:rPr>
            </w:pPr>
          </w:p>
        </w:tc>
        <w:tc>
          <w:tcPr>
            <w:tcW w:w="8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4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58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560" w:type="dxa"/>
            <w:vAlign w:val="bottom"/>
            <w:tcBorders>
              <w:bottom w:val="single" w:sz="8" w:color="E6E6E6"/>
            </w:tcBorders>
          </w:tcPr>
          <w:p>
            <w:pPr>
              <w:spacing w:after="0"/>
              <w:rPr>
                <w:sz w:val="24"/>
                <w:szCs w:val="24"/>
                <w:color w:val="auto"/>
              </w:rPr>
            </w:pPr>
          </w:p>
        </w:tc>
        <w:tc>
          <w:tcPr>
            <w:tcW w:w="140" w:type="dxa"/>
            <w:vAlign w:val="bottom"/>
            <w:tcBorders>
              <w:right w:val="single" w:sz="8" w:color="00162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0" w:type="dxa"/>
            <w:vAlign w:val="bottom"/>
            <w:tcBorders>
              <w:right w:val="single" w:sz="8" w:color="00162F"/>
            </w:tcBorders>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00162F"/>
              </w:rPr>
              <w:t>$50</w:t>
            </w:r>
          </w:p>
        </w:tc>
        <w:tc>
          <w:tcPr>
            <w:tcW w:w="160" w:type="dxa"/>
            <w:vAlign w:val="bottom"/>
          </w:tcPr>
          <w:p>
            <w:pPr>
              <w:spacing w:after="0"/>
              <w:rPr>
                <w:sz w:val="22"/>
                <w:szCs w:val="22"/>
                <w:color w:val="auto"/>
              </w:rPr>
            </w:pPr>
          </w:p>
        </w:tc>
        <w:tc>
          <w:tcPr>
            <w:tcW w:w="440" w:type="dxa"/>
            <w:vAlign w:val="bottom"/>
            <w:tcBorders>
              <w:left w:val="single" w:sz="8" w:color="8A8A8A"/>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Borders>
              <w:bottom w:val="single" w:sz="8" w:color="333333"/>
            </w:tcBorders>
          </w:tcPr>
          <w:p>
            <w:pPr>
              <w:spacing w:after="0"/>
              <w:rPr>
                <w:sz w:val="22"/>
                <w:szCs w:val="22"/>
                <w:color w:val="auto"/>
              </w:rPr>
            </w:pPr>
          </w:p>
        </w:tc>
        <w:tc>
          <w:tcPr>
            <w:tcW w:w="60" w:type="dxa"/>
            <w:vAlign w:val="bottom"/>
            <w:tcBorders>
              <w:bottom w:val="single" w:sz="8" w:color="333333"/>
            </w:tcBorders>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Borders>
              <w:bottom w:val="single" w:sz="8" w:color="333333"/>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Borders>
              <w:bottom w:val="single" w:sz="8" w:color="333333"/>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Borders>
              <w:right w:val="single" w:sz="8" w:color="00162F"/>
            </w:tcBorders>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300" w:type="dxa"/>
            <w:vAlign w:val="bottom"/>
            <w:tcBorders>
              <w:right w:val="single" w:sz="8" w:color="00162F"/>
            </w:tcBorders>
          </w:tcPr>
          <w:p>
            <w:pPr>
              <w:spacing w:after="0"/>
              <w:rPr>
                <w:sz w:val="13"/>
                <w:szCs w:val="13"/>
                <w:color w:val="auto"/>
              </w:rPr>
            </w:pPr>
          </w:p>
        </w:tc>
        <w:tc>
          <w:tcPr>
            <w:tcW w:w="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left w:val="single" w:sz="8" w:color="8A8A8A"/>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right w:val="single" w:sz="8" w:color="00162F"/>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00" w:type="dxa"/>
            <w:vAlign w:val="bottom"/>
            <w:tcBorders>
              <w:right w:val="single" w:sz="8" w:color="00162F"/>
            </w:tcBorders>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left w:val="single" w:sz="8" w:color="8A8A8A"/>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right w:val="single" w:sz="8" w:color="333333"/>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Borders>
              <w:right w:val="single" w:sz="8" w:color="00162F"/>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00" w:type="dxa"/>
            <w:vAlign w:val="bottom"/>
            <w:tcBorders>
              <w:right w:val="single" w:sz="8" w:color="00162F"/>
            </w:tcBorders>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vMerge w:val="restart"/>
          </w:tcPr>
          <w:p>
            <w:pPr>
              <w:spacing w:after="0"/>
              <w:rPr>
                <w:sz w:val="15"/>
                <w:szCs w:val="15"/>
                <w:color w:val="auto"/>
              </w:rPr>
            </w:pPr>
          </w:p>
        </w:tc>
        <w:tc>
          <w:tcPr>
            <w:tcW w:w="440" w:type="dxa"/>
            <w:vAlign w:val="bottom"/>
            <w:tcBorders>
              <w:left w:val="single" w:sz="8" w:color="8A8A8A"/>
              <w:bottom w:val="single" w:sz="8" w:color="E6E6E6"/>
            </w:tcBorders>
          </w:tcPr>
          <w:p>
            <w:pPr>
              <w:spacing w:after="0"/>
              <w:rPr>
                <w:sz w:val="15"/>
                <w:szCs w:val="15"/>
                <w:color w:val="auto"/>
              </w:rPr>
            </w:pPr>
          </w:p>
        </w:tc>
        <w:tc>
          <w:tcPr>
            <w:tcW w:w="280" w:type="dxa"/>
            <w:vAlign w:val="bottom"/>
            <w:tcBorders>
              <w:bottom w:val="single" w:sz="8" w:color="E6E6E6"/>
            </w:tcBorders>
          </w:tcPr>
          <w:p>
            <w:pPr>
              <w:spacing w:after="0"/>
              <w:rPr>
                <w:sz w:val="15"/>
                <w:szCs w:val="15"/>
                <w:color w:val="auto"/>
              </w:rPr>
            </w:pPr>
          </w:p>
        </w:tc>
        <w:tc>
          <w:tcPr>
            <w:tcW w:w="120" w:type="dxa"/>
            <w:vAlign w:val="bottom"/>
            <w:tcBorders>
              <w:bottom w:val="single" w:sz="8" w:color="E6E6E6"/>
            </w:tcBorders>
          </w:tcPr>
          <w:p>
            <w:pPr>
              <w:spacing w:after="0"/>
              <w:rPr>
                <w:sz w:val="15"/>
                <w:szCs w:val="15"/>
                <w:color w:val="auto"/>
              </w:rPr>
            </w:pPr>
          </w:p>
        </w:tc>
        <w:tc>
          <w:tcPr>
            <w:tcW w:w="1040" w:type="dxa"/>
            <w:vAlign w:val="bottom"/>
            <w:tcBorders>
              <w:bottom w:val="single" w:sz="8" w:color="E6E6E6"/>
            </w:tcBorders>
          </w:tcPr>
          <w:p>
            <w:pPr>
              <w:spacing w:after="0"/>
              <w:rPr>
                <w:sz w:val="15"/>
                <w:szCs w:val="15"/>
                <w:color w:val="auto"/>
              </w:rPr>
            </w:pPr>
          </w:p>
        </w:tc>
        <w:tc>
          <w:tcPr>
            <w:tcW w:w="380" w:type="dxa"/>
            <w:vAlign w:val="bottom"/>
            <w:tcBorders>
              <w:bottom w:val="single" w:sz="8" w:color="E6E6E6"/>
            </w:tcBorders>
          </w:tcPr>
          <w:p>
            <w:pPr>
              <w:spacing w:after="0"/>
              <w:rPr>
                <w:sz w:val="15"/>
                <w:szCs w:val="15"/>
                <w:color w:val="auto"/>
              </w:rPr>
            </w:pPr>
          </w:p>
        </w:tc>
        <w:tc>
          <w:tcPr>
            <w:tcW w:w="120" w:type="dxa"/>
            <w:vAlign w:val="bottom"/>
            <w:tcBorders>
              <w:bottom w:val="single" w:sz="8" w:color="E6E6E6"/>
            </w:tcBorders>
          </w:tcPr>
          <w:p>
            <w:pPr>
              <w:spacing w:after="0"/>
              <w:rPr>
                <w:sz w:val="15"/>
                <w:szCs w:val="15"/>
                <w:color w:val="auto"/>
              </w:rPr>
            </w:pPr>
          </w:p>
        </w:tc>
        <w:tc>
          <w:tcPr>
            <w:tcW w:w="880" w:type="dxa"/>
            <w:vAlign w:val="bottom"/>
            <w:tcBorders>
              <w:bottom w:val="single" w:sz="8" w:color="E6E6E6"/>
            </w:tcBorders>
          </w:tcPr>
          <w:p>
            <w:pPr>
              <w:spacing w:after="0"/>
              <w:rPr>
                <w:sz w:val="15"/>
                <w:szCs w:val="15"/>
                <w:color w:val="auto"/>
              </w:rPr>
            </w:pPr>
          </w:p>
        </w:tc>
        <w:tc>
          <w:tcPr>
            <w:tcW w:w="60" w:type="dxa"/>
            <w:vAlign w:val="bottom"/>
            <w:tcBorders>
              <w:bottom w:val="single" w:sz="8" w:color="E6E6E6"/>
            </w:tcBorders>
          </w:tcPr>
          <w:p>
            <w:pPr>
              <w:spacing w:after="0"/>
              <w:rPr>
                <w:sz w:val="15"/>
                <w:szCs w:val="15"/>
                <w:color w:val="auto"/>
              </w:rPr>
            </w:pPr>
          </w:p>
        </w:tc>
        <w:tc>
          <w:tcPr>
            <w:tcW w:w="180" w:type="dxa"/>
            <w:vAlign w:val="bottom"/>
            <w:tcBorders>
              <w:bottom w:val="single" w:sz="8" w:color="E6E6E6"/>
            </w:tcBorders>
          </w:tcPr>
          <w:p>
            <w:pPr>
              <w:spacing w:after="0"/>
              <w:rPr>
                <w:sz w:val="15"/>
                <w:szCs w:val="15"/>
                <w:color w:val="auto"/>
              </w:rPr>
            </w:pPr>
          </w:p>
        </w:tc>
        <w:tc>
          <w:tcPr>
            <w:tcW w:w="120" w:type="dxa"/>
            <w:vAlign w:val="bottom"/>
            <w:tcBorders>
              <w:bottom w:val="single" w:sz="8" w:color="E6E6E6"/>
            </w:tcBorders>
          </w:tcPr>
          <w:p>
            <w:pPr>
              <w:spacing w:after="0"/>
              <w:rPr>
                <w:sz w:val="15"/>
                <w:szCs w:val="15"/>
                <w:color w:val="auto"/>
              </w:rPr>
            </w:pPr>
          </w:p>
        </w:tc>
        <w:tc>
          <w:tcPr>
            <w:tcW w:w="300" w:type="dxa"/>
            <w:vAlign w:val="bottom"/>
            <w:tcBorders>
              <w:bottom w:val="single" w:sz="8" w:color="E6E6E6"/>
            </w:tcBorders>
          </w:tcPr>
          <w:p>
            <w:pPr>
              <w:spacing w:after="0"/>
              <w:rPr>
                <w:sz w:val="15"/>
                <w:szCs w:val="15"/>
                <w:color w:val="auto"/>
              </w:rPr>
            </w:pPr>
          </w:p>
        </w:tc>
        <w:tc>
          <w:tcPr>
            <w:tcW w:w="400" w:type="dxa"/>
            <w:vAlign w:val="bottom"/>
            <w:tcBorders>
              <w:bottom w:val="single" w:sz="8" w:color="E6E6E6"/>
            </w:tcBorders>
          </w:tcPr>
          <w:p>
            <w:pPr>
              <w:spacing w:after="0"/>
              <w:rPr>
                <w:sz w:val="15"/>
                <w:szCs w:val="15"/>
                <w:color w:val="auto"/>
              </w:rPr>
            </w:pPr>
          </w:p>
        </w:tc>
        <w:tc>
          <w:tcPr>
            <w:tcW w:w="80" w:type="dxa"/>
            <w:vAlign w:val="bottom"/>
            <w:tcBorders>
              <w:bottom w:val="single" w:sz="8" w:color="E6E6E6"/>
            </w:tcBorders>
          </w:tcPr>
          <w:p>
            <w:pPr>
              <w:spacing w:after="0"/>
              <w:rPr>
                <w:sz w:val="15"/>
                <w:szCs w:val="15"/>
                <w:color w:val="auto"/>
              </w:rPr>
            </w:pPr>
          </w:p>
        </w:tc>
        <w:tc>
          <w:tcPr>
            <w:tcW w:w="360" w:type="dxa"/>
            <w:vAlign w:val="bottom"/>
            <w:tcBorders>
              <w:bottom w:val="single" w:sz="8" w:color="E6E6E6"/>
            </w:tcBorders>
          </w:tcPr>
          <w:p>
            <w:pPr>
              <w:spacing w:after="0"/>
              <w:rPr>
                <w:sz w:val="15"/>
                <w:szCs w:val="15"/>
                <w:color w:val="auto"/>
              </w:rPr>
            </w:pPr>
          </w:p>
        </w:tc>
        <w:tc>
          <w:tcPr>
            <w:tcW w:w="580" w:type="dxa"/>
            <w:vAlign w:val="bottom"/>
            <w:tcBorders>
              <w:bottom w:val="single" w:sz="8" w:color="E6E6E6"/>
            </w:tcBorders>
          </w:tcPr>
          <w:p>
            <w:pPr>
              <w:spacing w:after="0"/>
              <w:rPr>
                <w:sz w:val="15"/>
                <w:szCs w:val="15"/>
                <w:color w:val="auto"/>
              </w:rPr>
            </w:pPr>
          </w:p>
        </w:tc>
        <w:tc>
          <w:tcPr>
            <w:tcW w:w="40" w:type="dxa"/>
            <w:vAlign w:val="bottom"/>
            <w:tcBorders>
              <w:bottom w:val="single" w:sz="8" w:color="E6E6E6"/>
            </w:tcBorders>
          </w:tcPr>
          <w:p>
            <w:pPr>
              <w:spacing w:after="0"/>
              <w:rPr>
                <w:sz w:val="15"/>
                <w:szCs w:val="15"/>
                <w:color w:val="auto"/>
              </w:rPr>
            </w:pPr>
          </w:p>
        </w:tc>
        <w:tc>
          <w:tcPr>
            <w:tcW w:w="6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500" w:type="dxa"/>
            <w:vAlign w:val="bottom"/>
            <w:tcBorders>
              <w:bottom w:val="single" w:sz="8" w:color="E6E6E6"/>
            </w:tcBorders>
          </w:tcPr>
          <w:p>
            <w:pPr>
              <w:spacing w:after="0"/>
              <w:rPr>
                <w:sz w:val="15"/>
                <w:szCs w:val="15"/>
                <w:color w:val="auto"/>
              </w:rPr>
            </w:pPr>
          </w:p>
        </w:tc>
        <w:tc>
          <w:tcPr>
            <w:tcW w:w="50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60" w:type="dxa"/>
            <w:vAlign w:val="bottom"/>
            <w:tcBorders>
              <w:bottom w:val="single" w:sz="8" w:color="E6E6E6"/>
            </w:tcBorders>
          </w:tcPr>
          <w:p>
            <w:pPr>
              <w:spacing w:after="0"/>
              <w:rPr>
                <w:sz w:val="15"/>
                <w:szCs w:val="15"/>
                <w:color w:val="auto"/>
              </w:rPr>
            </w:pPr>
          </w:p>
        </w:tc>
        <w:tc>
          <w:tcPr>
            <w:tcW w:w="340" w:type="dxa"/>
            <w:vAlign w:val="bottom"/>
            <w:tcBorders>
              <w:bottom w:val="single" w:sz="8" w:color="E6E6E6"/>
            </w:tcBorders>
          </w:tcPr>
          <w:p>
            <w:pPr>
              <w:spacing w:after="0"/>
              <w:rPr>
                <w:sz w:val="15"/>
                <w:szCs w:val="15"/>
                <w:color w:val="auto"/>
              </w:rPr>
            </w:pPr>
          </w:p>
        </w:tc>
        <w:tc>
          <w:tcPr>
            <w:tcW w:w="120" w:type="dxa"/>
            <w:vAlign w:val="bottom"/>
            <w:tcBorders>
              <w:bottom w:val="single" w:sz="8" w:color="E6E6E6"/>
            </w:tcBorders>
          </w:tcPr>
          <w:p>
            <w:pPr>
              <w:spacing w:after="0"/>
              <w:rPr>
                <w:sz w:val="15"/>
                <w:szCs w:val="15"/>
                <w:color w:val="auto"/>
              </w:rPr>
            </w:pPr>
          </w:p>
        </w:tc>
        <w:tc>
          <w:tcPr>
            <w:tcW w:w="60" w:type="dxa"/>
            <w:vAlign w:val="bottom"/>
            <w:tcBorders>
              <w:bottom w:val="single" w:sz="8" w:color="E6E6E6"/>
            </w:tcBorders>
          </w:tcPr>
          <w:p>
            <w:pPr>
              <w:spacing w:after="0"/>
              <w:rPr>
                <w:sz w:val="15"/>
                <w:szCs w:val="15"/>
                <w:color w:val="auto"/>
              </w:rPr>
            </w:pPr>
          </w:p>
        </w:tc>
        <w:tc>
          <w:tcPr>
            <w:tcW w:w="460" w:type="dxa"/>
            <w:vAlign w:val="bottom"/>
            <w:tcBorders>
              <w:bottom w:val="single" w:sz="8" w:color="E6E6E6"/>
            </w:tcBorders>
          </w:tcPr>
          <w:p>
            <w:pPr>
              <w:spacing w:after="0"/>
              <w:rPr>
                <w:sz w:val="15"/>
                <w:szCs w:val="15"/>
                <w:color w:val="auto"/>
              </w:rPr>
            </w:pPr>
          </w:p>
        </w:tc>
        <w:tc>
          <w:tcPr>
            <w:tcW w:w="80" w:type="dxa"/>
            <w:vAlign w:val="bottom"/>
            <w:tcBorders>
              <w:bottom w:val="single" w:sz="8" w:color="E6E6E6"/>
            </w:tcBorders>
          </w:tcPr>
          <w:p>
            <w:pPr>
              <w:spacing w:after="0"/>
              <w:rPr>
                <w:sz w:val="15"/>
                <w:szCs w:val="15"/>
                <w:color w:val="auto"/>
              </w:rPr>
            </w:pPr>
          </w:p>
        </w:tc>
        <w:tc>
          <w:tcPr>
            <w:tcW w:w="300" w:type="dxa"/>
            <w:vAlign w:val="bottom"/>
            <w:tcBorders>
              <w:bottom w:val="single" w:sz="8" w:color="E6E6E6"/>
            </w:tcBorders>
          </w:tcPr>
          <w:p>
            <w:pPr>
              <w:spacing w:after="0"/>
              <w:rPr>
                <w:sz w:val="15"/>
                <w:szCs w:val="15"/>
                <w:color w:val="auto"/>
              </w:rPr>
            </w:pPr>
          </w:p>
        </w:tc>
        <w:tc>
          <w:tcPr>
            <w:tcW w:w="500" w:type="dxa"/>
            <w:vAlign w:val="bottom"/>
            <w:tcBorders>
              <w:bottom w:val="single" w:sz="8" w:color="E6E6E6"/>
            </w:tcBorders>
          </w:tcPr>
          <w:p>
            <w:pPr>
              <w:spacing w:after="0"/>
              <w:rPr>
                <w:sz w:val="15"/>
                <w:szCs w:val="15"/>
                <w:color w:val="auto"/>
              </w:rPr>
            </w:pPr>
          </w:p>
        </w:tc>
        <w:tc>
          <w:tcPr>
            <w:tcW w:w="120" w:type="dxa"/>
            <w:vAlign w:val="bottom"/>
            <w:tcBorders>
              <w:bottom w:val="single" w:sz="8" w:color="E6E6E6"/>
            </w:tcBorders>
          </w:tcPr>
          <w:p>
            <w:pPr>
              <w:spacing w:after="0"/>
              <w:rPr>
                <w:sz w:val="15"/>
                <w:szCs w:val="15"/>
                <w:color w:val="auto"/>
              </w:rPr>
            </w:pPr>
          </w:p>
        </w:tc>
        <w:tc>
          <w:tcPr>
            <w:tcW w:w="80" w:type="dxa"/>
            <w:vAlign w:val="bottom"/>
            <w:tcBorders>
              <w:bottom w:val="single" w:sz="8" w:color="E6E6E6"/>
            </w:tcBorders>
          </w:tcPr>
          <w:p>
            <w:pPr>
              <w:spacing w:after="0"/>
              <w:rPr>
                <w:sz w:val="15"/>
                <w:szCs w:val="15"/>
                <w:color w:val="auto"/>
              </w:rPr>
            </w:pPr>
          </w:p>
        </w:tc>
        <w:tc>
          <w:tcPr>
            <w:tcW w:w="80" w:type="dxa"/>
            <w:vAlign w:val="bottom"/>
            <w:tcBorders>
              <w:bottom w:val="single" w:sz="8" w:color="E6E6E6"/>
            </w:tcBorders>
          </w:tcPr>
          <w:p>
            <w:pPr>
              <w:spacing w:after="0"/>
              <w:rPr>
                <w:sz w:val="15"/>
                <w:szCs w:val="15"/>
                <w:color w:val="auto"/>
              </w:rPr>
            </w:pPr>
          </w:p>
        </w:tc>
        <w:tc>
          <w:tcPr>
            <w:tcW w:w="560" w:type="dxa"/>
            <w:vAlign w:val="bottom"/>
            <w:tcBorders>
              <w:bottom w:val="single" w:sz="8" w:color="E6E6E6"/>
            </w:tcBorders>
          </w:tcPr>
          <w:p>
            <w:pPr>
              <w:spacing w:after="0"/>
              <w:rPr>
                <w:sz w:val="15"/>
                <w:szCs w:val="15"/>
                <w:color w:val="auto"/>
              </w:rPr>
            </w:pPr>
          </w:p>
        </w:tc>
        <w:tc>
          <w:tcPr>
            <w:tcW w:w="140" w:type="dxa"/>
            <w:vAlign w:val="bottom"/>
            <w:tcBorders>
              <w:right w:val="single" w:sz="8" w:color="00162F"/>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00" w:type="dxa"/>
            <w:vAlign w:val="bottom"/>
            <w:tcBorders>
              <w:right w:val="single" w:sz="8" w:color="00162F"/>
            </w:tcBorders>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40" w:type="dxa"/>
            <w:vAlign w:val="bottom"/>
            <w:tcBorders>
              <w:left w:val="single" w:sz="8" w:color="8A8A8A"/>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right w:val="single" w:sz="8" w:color="00162F"/>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2"/>
        </w:trPr>
        <w:tc>
          <w:tcPr>
            <w:tcW w:w="300" w:type="dxa"/>
            <w:vAlign w:val="bottom"/>
            <w:tcBorders>
              <w:right w:val="single" w:sz="8" w:color="00162F"/>
            </w:tcBorders>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00162F"/>
              </w:rPr>
              <w:t>$0</w:t>
            </w:r>
          </w:p>
        </w:tc>
        <w:tc>
          <w:tcPr>
            <w:tcW w:w="160" w:type="dxa"/>
            <w:vAlign w:val="bottom"/>
            <w:vMerge w:val="restart"/>
          </w:tcPr>
          <w:p>
            <w:pPr>
              <w:spacing w:after="0"/>
              <w:rPr>
                <w:sz w:val="24"/>
                <w:szCs w:val="24"/>
                <w:color w:val="auto"/>
              </w:rPr>
            </w:pPr>
          </w:p>
        </w:tc>
        <w:tc>
          <w:tcPr>
            <w:tcW w:w="440" w:type="dxa"/>
            <w:vAlign w:val="bottom"/>
            <w:tcBorders>
              <w:left w:val="single" w:sz="8" w:color="8A8A8A"/>
              <w:bottom w:val="single" w:sz="8" w:color="8A8A8A"/>
            </w:tcBorders>
          </w:tcPr>
          <w:p>
            <w:pPr>
              <w:spacing w:after="0"/>
              <w:rPr>
                <w:sz w:val="24"/>
                <w:szCs w:val="24"/>
                <w:color w:val="auto"/>
              </w:rPr>
            </w:pPr>
          </w:p>
        </w:tc>
        <w:tc>
          <w:tcPr>
            <w:tcW w:w="280" w:type="dxa"/>
            <w:vAlign w:val="bottom"/>
            <w:tcBorders>
              <w:bottom w:val="single" w:sz="8" w:color="8A8A8A"/>
            </w:tcBorders>
          </w:tcPr>
          <w:p>
            <w:pPr>
              <w:spacing w:after="0"/>
              <w:rPr>
                <w:sz w:val="24"/>
                <w:szCs w:val="24"/>
                <w:color w:val="auto"/>
              </w:rPr>
            </w:pPr>
          </w:p>
        </w:tc>
        <w:tc>
          <w:tcPr>
            <w:tcW w:w="120" w:type="dxa"/>
            <w:vAlign w:val="bottom"/>
            <w:tcBorders>
              <w:bottom w:val="single" w:sz="8" w:color="8A8A8A"/>
            </w:tcBorders>
          </w:tcPr>
          <w:p>
            <w:pPr>
              <w:spacing w:after="0"/>
              <w:rPr>
                <w:sz w:val="24"/>
                <w:szCs w:val="24"/>
                <w:color w:val="auto"/>
              </w:rPr>
            </w:pPr>
          </w:p>
        </w:tc>
        <w:tc>
          <w:tcPr>
            <w:tcW w:w="1040" w:type="dxa"/>
            <w:vAlign w:val="bottom"/>
            <w:tcBorders>
              <w:bottom w:val="single" w:sz="8" w:color="8A8A8A"/>
            </w:tcBorders>
          </w:tcPr>
          <w:p>
            <w:pPr>
              <w:spacing w:after="0"/>
              <w:rPr>
                <w:sz w:val="24"/>
                <w:szCs w:val="24"/>
                <w:color w:val="auto"/>
              </w:rPr>
            </w:pPr>
          </w:p>
        </w:tc>
        <w:tc>
          <w:tcPr>
            <w:tcW w:w="380" w:type="dxa"/>
            <w:vAlign w:val="bottom"/>
            <w:tcBorders>
              <w:bottom w:val="single" w:sz="8" w:color="8A8A8A"/>
            </w:tcBorders>
          </w:tcPr>
          <w:p>
            <w:pPr>
              <w:spacing w:after="0"/>
              <w:rPr>
                <w:sz w:val="24"/>
                <w:szCs w:val="24"/>
                <w:color w:val="auto"/>
              </w:rPr>
            </w:pPr>
          </w:p>
        </w:tc>
        <w:tc>
          <w:tcPr>
            <w:tcW w:w="120" w:type="dxa"/>
            <w:vAlign w:val="bottom"/>
            <w:tcBorders>
              <w:bottom w:val="single" w:sz="8" w:color="8A8A8A"/>
            </w:tcBorders>
          </w:tcPr>
          <w:p>
            <w:pPr>
              <w:spacing w:after="0"/>
              <w:rPr>
                <w:sz w:val="24"/>
                <w:szCs w:val="24"/>
                <w:color w:val="auto"/>
              </w:rPr>
            </w:pPr>
          </w:p>
        </w:tc>
        <w:tc>
          <w:tcPr>
            <w:tcW w:w="880" w:type="dxa"/>
            <w:vAlign w:val="bottom"/>
            <w:tcBorders>
              <w:bottom w:val="single" w:sz="8" w:color="8A8A8A"/>
            </w:tcBorders>
          </w:tcPr>
          <w:p>
            <w:pPr>
              <w:spacing w:after="0"/>
              <w:rPr>
                <w:sz w:val="24"/>
                <w:szCs w:val="24"/>
                <w:color w:val="auto"/>
              </w:rPr>
            </w:pPr>
          </w:p>
        </w:tc>
        <w:tc>
          <w:tcPr>
            <w:tcW w:w="6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120" w:type="dxa"/>
            <w:vAlign w:val="bottom"/>
            <w:tcBorders>
              <w:bottom w:val="single" w:sz="8" w:color="8A8A8A"/>
            </w:tcBorders>
          </w:tcPr>
          <w:p>
            <w:pPr>
              <w:spacing w:after="0"/>
              <w:rPr>
                <w:sz w:val="24"/>
                <w:szCs w:val="24"/>
                <w:color w:val="auto"/>
              </w:rPr>
            </w:pPr>
          </w:p>
        </w:tc>
        <w:tc>
          <w:tcPr>
            <w:tcW w:w="300" w:type="dxa"/>
            <w:vAlign w:val="bottom"/>
            <w:tcBorders>
              <w:bottom w:val="single" w:sz="8" w:color="8A8A8A"/>
            </w:tcBorders>
          </w:tcPr>
          <w:p>
            <w:pPr>
              <w:spacing w:after="0"/>
              <w:rPr>
                <w:sz w:val="24"/>
                <w:szCs w:val="24"/>
                <w:color w:val="auto"/>
              </w:rPr>
            </w:pPr>
          </w:p>
        </w:tc>
        <w:tc>
          <w:tcPr>
            <w:tcW w:w="40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360" w:type="dxa"/>
            <w:vAlign w:val="bottom"/>
            <w:tcBorders>
              <w:bottom w:val="single" w:sz="8" w:color="8A8A8A"/>
            </w:tcBorders>
          </w:tcPr>
          <w:p>
            <w:pPr>
              <w:spacing w:after="0"/>
              <w:rPr>
                <w:sz w:val="24"/>
                <w:szCs w:val="24"/>
                <w:color w:val="auto"/>
              </w:rPr>
            </w:pPr>
          </w:p>
        </w:tc>
        <w:tc>
          <w:tcPr>
            <w:tcW w:w="580" w:type="dxa"/>
            <w:vAlign w:val="bottom"/>
            <w:tcBorders>
              <w:bottom w:val="single" w:sz="8" w:color="8A8A8A"/>
            </w:tcBorders>
          </w:tcPr>
          <w:p>
            <w:pPr>
              <w:spacing w:after="0"/>
              <w:rPr>
                <w:sz w:val="24"/>
                <w:szCs w:val="24"/>
                <w:color w:val="auto"/>
              </w:rPr>
            </w:pPr>
          </w:p>
        </w:tc>
        <w:tc>
          <w:tcPr>
            <w:tcW w:w="40" w:type="dxa"/>
            <w:vAlign w:val="bottom"/>
            <w:tcBorders>
              <w:bottom w:val="single" w:sz="8" w:color="8A8A8A"/>
            </w:tcBorders>
          </w:tcPr>
          <w:p>
            <w:pPr>
              <w:spacing w:after="0"/>
              <w:rPr>
                <w:sz w:val="24"/>
                <w:szCs w:val="24"/>
                <w:color w:val="auto"/>
              </w:rPr>
            </w:pPr>
          </w:p>
        </w:tc>
        <w:tc>
          <w:tcPr>
            <w:tcW w:w="60" w:type="dxa"/>
            <w:vAlign w:val="bottom"/>
            <w:tcBorders>
              <w:bottom w:val="single" w:sz="8" w:color="8A8A8A"/>
            </w:tcBorders>
          </w:tcPr>
          <w:p>
            <w:pPr>
              <w:spacing w:after="0"/>
              <w:rPr>
                <w:sz w:val="24"/>
                <w:szCs w:val="24"/>
                <w:color w:val="auto"/>
              </w:rPr>
            </w:pPr>
          </w:p>
        </w:tc>
        <w:tc>
          <w:tcPr>
            <w:tcW w:w="20" w:type="dxa"/>
            <w:vAlign w:val="bottom"/>
            <w:tcBorders>
              <w:bottom w:val="single" w:sz="8" w:color="8A8A8A"/>
            </w:tcBorders>
          </w:tcPr>
          <w:p>
            <w:pPr>
              <w:spacing w:after="0"/>
              <w:rPr>
                <w:sz w:val="24"/>
                <w:szCs w:val="24"/>
                <w:color w:val="auto"/>
              </w:rPr>
            </w:pPr>
          </w:p>
        </w:tc>
        <w:tc>
          <w:tcPr>
            <w:tcW w:w="500" w:type="dxa"/>
            <w:vAlign w:val="bottom"/>
            <w:tcBorders>
              <w:bottom w:val="single" w:sz="8" w:color="8A8A8A"/>
            </w:tcBorders>
          </w:tcPr>
          <w:p>
            <w:pPr>
              <w:spacing w:after="0"/>
              <w:rPr>
                <w:sz w:val="24"/>
                <w:szCs w:val="24"/>
                <w:color w:val="auto"/>
              </w:rPr>
            </w:pPr>
          </w:p>
        </w:tc>
        <w:tc>
          <w:tcPr>
            <w:tcW w:w="500" w:type="dxa"/>
            <w:vAlign w:val="bottom"/>
            <w:tcBorders>
              <w:bottom w:val="single" w:sz="8" w:color="8A8A8A"/>
            </w:tcBorders>
          </w:tcPr>
          <w:p>
            <w:pPr>
              <w:spacing w:after="0"/>
              <w:rPr>
                <w:sz w:val="24"/>
                <w:szCs w:val="24"/>
                <w:color w:val="auto"/>
              </w:rPr>
            </w:pPr>
          </w:p>
        </w:tc>
        <w:tc>
          <w:tcPr>
            <w:tcW w:w="20" w:type="dxa"/>
            <w:vAlign w:val="bottom"/>
            <w:tcBorders>
              <w:bottom w:val="single" w:sz="8" w:color="8A8A8A"/>
            </w:tcBorders>
          </w:tcPr>
          <w:p>
            <w:pPr>
              <w:spacing w:after="0"/>
              <w:rPr>
                <w:sz w:val="24"/>
                <w:szCs w:val="24"/>
                <w:color w:val="auto"/>
              </w:rPr>
            </w:pPr>
          </w:p>
        </w:tc>
        <w:tc>
          <w:tcPr>
            <w:tcW w:w="60" w:type="dxa"/>
            <w:vAlign w:val="bottom"/>
            <w:tcBorders>
              <w:bottom w:val="single" w:sz="8" w:color="8A8A8A"/>
            </w:tcBorders>
          </w:tcPr>
          <w:p>
            <w:pPr>
              <w:spacing w:after="0"/>
              <w:rPr>
                <w:sz w:val="24"/>
                <w:szCs w:val="24"/>
                <w:color w:val="auto"/>
              </w:rPr>
            </w:pPr>
          </w:p>
        </w:tc>
        <w:tc>
          <w:tcPr>
            <w:tcW w:w="340" w:type="dxa"/>
            <w:vAlign w:val="bottom"/>
            <w:tcBorders>
              <w:bottom w:val="single" w:sz="8" w:color="8A8A8A"/>
            </w:tcBorders>
          </w:tcPr>
          <w:p>
            <w:pPr>
              <w:spacing w:after="0"/>
              <w:rPr>
                <w:sz w:val="24"/>
                <w:szCs w:val="24"/>
                <w:color w:val="auto"/>
              </w:rPr>
            </w:pPr>
          </w:p>
        </w:tc>
        <w:tc>
          <w:tcPr>
            <w:tcW w:w="120" w:type="dxa"/>
            <w:vAlign w:val="bottom"/>
            <w:tcBorders>
              <w:bottom w:val="single" w:sz="8" w:color="8A8A8A"/>
            </w:tcBorders>
          </w:tcPr>
          <w:p>
            <w:pPr>
              <w:spacing w:after="0"/>
              <w:rPr>
                <w:sz w:val="24"/>
                <w:szCs w:val="24"/>
                <w:color w:val="auto"/>
              </w:rPr>
            </w:pPr>
          </w:p>
        </w:tc>
        <w:tc>
          <w:tcPr>
            <w:tcW w:w="60" w:type="dxa"/>
            <w:vAlign w:val="bottom"/>
            <w:tcBorders>
              <w:bottom w:val="single" w:sz="8" w:color="8A8A8A"/>
            </w:tcBorders>
          </w:tcPr>
          <w:p>
            <w:pPr>
              <w:spacing w:after="0"/>
              <w:rPr>
                <w:sz w:val="24"/>
                <w:szCs w:val="24"/>
                <w:color w:val="auto"/>
              </w:rPr>
            </w:pPr>
          </w:p>
        </w:tc>
        <w:tc>
          <w:tcPr>
            <w:tcW w:w="46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300" w:type="dxa"/>
            <w:vAlign w:val="bottom"/>
            <w:tcBorders>
              <w:bottom w:val="single" w:sz="8" w:color="8A8A8A"/>
            </w:tcBorders>
          </w:tcPr>
          <w:p>
            <w:pPr>
              <w:spacing w:after="0"/>
              <w:rPr>
                <w:sz w:val="24"/>
                <w:szCs w:val="24"/>
                <w:color w:val="auto"/>
              </w:rPr>
            </w:pPr>
          </w:p>
        </w:tc>
        <w:tc>
          <w:tcPr>
            <w:tcW w:w="500" w:type="dxa"/>
            <w:vAlign w:val="bottom"/>
            <w:tcBorders>
              <w:bottom w:val="single" w:sz="8" w:color="8A8A8A"/>
            </w:tcBorders>
          </w:tcPr>
          <w:p>
            <w:pPr>
              <w:spacing w:after="0"/>
              <w:rPr>
                <w:sz w:val="24"/>
                <w:szCs w:val="24"/>
                <w:color w:val="auto"/>
              </w:rPr>
            </w:pPr>
          </w:p>
        </w:tc>
        <w:tc>
          <w:tcPr>
            <w:tcW w:w="12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560" w:type="dxa"/>
            <w:vAlign w:val="bottom"/>
            <w:tcBorders>
              <w:bottom w:val="single" w:sz="8" w:color="8A8A8A"/>
            </w:tcBorders>
          </w:tcPr>
          <w:p>
            <w:pPr>
              <w:spacing w:after="0"/>
              <w:rPr>
                <w:sz w:val="24"/>
                <w:szCs w:val="24"/>
                <w:color w:val="auto"/>
              </w:rPr>
            </w:pPr>
          </w:p>
        </w:tc>
        <w:tc>
          <w:tcPr>
            <w:tcW w:w="140" w:type="dxa"/>
            <w:vAlign w:val="bottom"/>
            <w:tcBorders>
              <w:right w:val="single" w:sz="8" w:color="00162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00" w:type="dxa"/>
            <w:vAlign w:val="bottom"/>
            <w:tcBorders>
              <w:right w:val="single" w:sz="8" w:color="00162F"/>
            </w:tcBorders>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right w:val="single" w:sz="8" w:color="00162F"/>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00" w:type="dxa"/>
            <w:vAlign w:val="bottom"/>
            <w:tcBorders>
              <w:right w:val="single" w:sz="8" w:color="00162F"/>
            </w:tcBorders>
          </w:tcPr>
          <w:p>
            <w:pPr>
              <w:spacing w:after="0"/>
              <w:rPr>
                <w:sz w:val="18"/>
                <w:szCs w:val="18"/>
                <w:color w:val="auto"/>
              </w:rPr>
            </w:pPr>
          </w:p>
        </w:tc>
        <w:tc>
          <w:tcPr>
            <w:tcW w:w="2600" w:type="dxa"/>
            <w:vAlign w:val="bottom"/>
            <w:gridSpan w:val="6"/>
          </w:tcPr>
          <w:p>
            <w:pPr>
              <w:jc w:val="right"/>
              <w:ind w:right="740"/>
              <w:spacing w:after="0"/>
              <w:rPr>
                <w:sz w:val="20"/>
                <w:szCs w:val="20"/>
                <w:color w:val="auto"/>
              </w:rPr>
            </w:pPr>
            <w:r>
              <w:rPr>
                <w:rFonts w:ascii="Arial" w:cs="Arial" w:eastAsia="Arial" w:hAnsi="Arial"/>
                <w:sz w:val="16"/>
                <w:szCs w:val="16"/>
                <w:color w:val="00162F"/>
              </w:rPr>
              <w:t>12/31/2020</w:t>
            </w:r>
          </w:p>
        </w:tc>
        <w:tc>
          <w:tcPr>
            <w:tcW w:w="1380" w:type="dxa"/>
            <w:vAlign w:val="bottom"/>
            <w:gridSpan w:val="3"/>
          </w:tcPr>
          <w:p>
            <w:pPr>
              <w:jc w:val="right"/>
              <w:ind w:right="431"/>
              <w:spacing w:after="0"/>
              <w:rPr>
                <w:sz w:val="20"/>
                <w:szCs w:val="20"/>
                <w:color w:val="auto"/>
              </w:rPr>
            </w:pPr>
            <w:r>
              <w:rPr>
                <w:rFonts w:ascii="Arial" w:cs="Arial" w:eastAsia="Arial" w:hAnsi="Arial"/>
                <w:sz w:val="16"/>
                <w:szCs w:val="16"/>
                <w:color w:val="00162F"/>
                <w:w w:val="99"/>
              </w:rPr>
              <w:t>12/31/2021</w:t>
            </w:r>
          </w:p>
        </w:tc>
        <w:tc>
          <w:tcPr>
            <w:tcW w:w="1060" w:type="dxa"/>
            <w:vAlign w:val="bottom"/>
            <w:gridSpan w:val="5"/>
          </w:tcPr>
          <w:p>
            <w:pPr>
              <w:ind w:left="180"/>
              <w:spacing w:after="0"/>
              <w:rPr>
                <w:sz w:val="20"/>
                <w:szCs w:val="20"/>
                <w:color w:val="auto"/>
              </w:rPr>
            </w:pPr>
            <w:r>
              <w:rPr>
                <w:rFonts w:ascii="Arial" w:cs="Arial" w:eastAsia="Arial" w:hAnsi="Arial"/>
                <w:sz w:val="16"/>
                <w:szCs w:val="16"/>
                <w:color w:val="00162F"/>
              </w:rPr>
              <w:t>12/31/2022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5"/>
          </w:tcPr>
          <w:p>
            <w:pPr>
              <w:jc w:val="right"/>
              <w:ind w:right="101"/>
              <w:spacing w:after="0"/>
              <w:rPr>
                <w:sz w:val="20"/>
                <w:szCs w:val="20"/>
                <w:color w:val="auto"/>
              </w:rPr>
            </w:pPr>
            <w:r>
              <w:rPr>
                <w:rFonts w:ascii="Arial" w:cs="Arial" w:eastAsia="Arial" w:hAnsi="Arial"/>
                <w:sz w:val="16"/>
                <w:szCs w:val="16"/>
                <w:color w:val="00162F"/>
              </w:rPr>
              <w:t>12/31/2023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5"/>
          </w:tcPr>
          <w:p>
            <w:pPr>
              <w:jc w:val="right"/>
              <w:ind w:right="141"/>
              <w:spacing w:after="0"/>
              <w:rPr>
                <w:sz w:val="20"/>
                <w:szCs w:val="20"/>
                <w:color w:val="auto"/>
              </w:rPr>
            </w:pPr>
            <w:r>
              <w:rPr>
                <w:rFonts w:ascii="Arial" w:cs="Arial" w:eastAsia="Arial" w:hAnsi="Arial"/>
                <w:sz w:val="16"/>
                <w:szCs w:val="16"/>
                <w:color w:val="00162F"/>
                <w:w w:val="99"/>
              </w:rPr>
              <w:t>12/31/2024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5"/>
          </w:tcPr>
          <w:p>
            <w:pPr>
              <w:jc w:val="right"/>
              <w:ind w:right="321"/>
              <w:spacing w:after="0"/>
              <w:rPr>
                <w:sz w:val="20"/>
                <w:szCs w:val="20"/>
                <w:color w:val="auto"/>
              </w:rPr>
            </w:pPr>
            <w:r>
              <w:rPr>
                <w:rFonts w:ascii="Arial" w:cs="Arial" w:eastAsia="Arial" w:hAnsi="Arial"/>
                <w:sz w:val="16"/>
                <w:szCs w:val="16"/>
                <w:color w:val="00162F"/>
              </w:rPr>
              <w:t>12/31/2025</w:t>
            </w:r>
          </w:p>
        </w:tc>
        <w:tc>
          <w:tcPr>
            <w:tcW w:w="140" w:type="dxa"/>
            <w:vAlign w:val="bottom"/>
            <w:tcBorders>
              <w:right w:val="single" w:sz="8" w:color="00162F"/>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300" w:type="dxa"/>
            <w:vAlign w:val="bottom"/>
            <w:tcBorders>
              <w:right w:val="single" w:sz="8" w:color="00162F"/>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737373"/>
            </w:tcBorders>
          </w:tcPr>
          <w:p>
            <w:pPr>
              <w:spacing w:after="0"/>
              <w:rPr>
                <w:sz w:val="24"/>
                <w:szCs w:val="24"/>
                <w:color w:val="auto"/>
              </w:rPr>
            </w:pPr>
          </w:p>
        </w:tc>
        <w:tc>
          <w:tcPr>
            <w:tcW w:w="440" w:type="dxa"/>
            <w:vAlign w:val="bottom"/>
            <w:tcBorders>
              <w:bottom w:val="single" w:sz="8" w:color="737373"/>
            </w:tcBorders>
          </w:tcPr>
          <w:p>
            <w:pPr>
              <w:spacing w:after="0"/>
              <w:rPr>
                <w:sz w:val="24"/>
                <w:szCs w:val="24"/>
                <w:color w:val="auto"/>
              </w:rPr>
            </w:pPr>
          </w:p>
        </w:tc>
        <w:tc>
          <w:tcPr>
            <w:tcW w:w="2820" w:type="dxa"/>
            <w:vAlign w:val="bottom"/>
            <w:gridSpan w:val="6"/>
          </w:tcPr>
          <w:p>
            <w:pPr>
              <w:jc w:val="right"/>
              <w:ind w:right="171"/>
              <w:spacing w:after="0"/>
              <w:rPr>
                <w:sz w:val="20"/>
                <w:szCs w:val="20"/>
                <w:color w:val="auto"/>
              </w:rPr>
            </w:pPr>
            <w:r>
              <w:rPr>
                <w:rFonts w:ascii="Arial" w:cs="Arial" w:eastAsia="Arial" w:hAnsi="Arial"/>
                <w:sz w:val="16"/>
                <w:szCs w:val="16"/>
                <w:color w:val="00162F"/>
              </w:rPr>
              <w:t>American Airlines Group Inc. (AAL)</w:t>
            </w:r>
          </w:p>
        </w:tc>
        <w:tc>
          <w:tcPr>
            <w:tcW w:w="60" w:type="dxa"/>
            <w:vAlign w:val="bottom"/>
            <w:tcBorders>
              <w:bottom w:val="single" w:sz="8" w:color="333333"/>
            </w:tcBorders>
          </w:tcPr>
          <w:p>
            <w:pPr>
              <w:spacing w:after="0"/>
              <w:rPr>
                <w:sz w:val="24"/>
                <w:szCs w:val="24"/>
                <w:color w:val="auto"/>
              </w:rPr>
            </w:pPr>
          </w:p>
        </w:tc>
        <w:tc>
          <w:tcPr>
            <w:tcW w:w="180" w:type="dxa"/>
            <w:vAlign w:val="bottom"/>
            <w:tcBorders>
              <w:bottom w:val="single" w:sz="8" w:color="333333"/>
            </w:tcBorders>
          </w:tcPr>
          <w:p>
            <w:pPr>
              <w:spacing w:after="0"/>
              <w:rPr>
                <w:sz w:val="24"/>
                <w:szCs w:val="24"/>
                <w:color w:val="auto"/>
              </w:rPr>
            </w:pPr>
          </w:p>
        </w:tc>
        <w:tc>
          <w:tcPr>
            <w:tcW w:w="120" w:type="dxa"/>
            <w:vAlign w:val="bottom"/>
            <w:tcBorders>
              <w:bottom w:val="single" w:sz="8" w:color="333333"/>
            </w:tcBorders>
          </w:tcPr>
          <w:p>
            <w:pPr>
              <w:spacing w:after="0"/>
              <w:rPr>
                <w:sz w:val="24"/>
                <w:szCs w:val="24"/>
                <w:color w:val="auto"/>
              </w:rPr>
            </w:pPr>
          </w:p>
        </w:tc>
        <w:tc>
          <w:tcPr>
            <w:tcW w:w="300" w:type="dxa"/>
            <w:vAlign w:val="bottom"/>
            <w:tcBorders>
              <w:bottom w:val="single" w:sz="8" w:color="333333"/>
            </w:tcBorders>
          </w:tcPr>
          <w:p>
            <w:pPr>
              <w:spacing w:after="0"/>
              <w:rPr>
                <w:sz w:val="24"/>
                <w:szCs w:val="24"/>
                <w:color w:val="auto"/>
              </w:rPr>
            </w:pPr>
          </w:p>
        </w:tc>
        <w:tc>
          <w:tcPr>
            <w:tcW w:w="2560" w:type="dxa"/>
            <w:vAlign w:val="bottom"/>
            <w:gridSpan w:val="10"/>
          </w:tcPr>
          <w:p>
            <w:pPr>
              <w:spacing w:after="0"/>
              <w:rPr>
                <w:sz w:val="20"/>
                <w:szCs w:val="20"/>
                <w:color w:val="auto"/>
              </w:rPr>
            </w:pPr>
            <w:r>
              <w:rPr>
                <w:rFonts w:ascii="Arial" w:cs="Arial" w:eastAsia="Arial" w:hAnsi="Arial"/>
                <w:sz w:val="16"/>
                <w:szCs w:val="16"/>
                <w:color w:val="00162F"/>
              </w:rPr>
              <w:t>NYSE ARCA Airline Index (XAL)</w:t>
            </w:r>
          </w:p>
        </w:tc>
        <w:tc>
          <w:tcPr>
            <w:tcW w:w="6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2180" w:type="dxa"/>
            <w:vAlign w:val="bottom"/>
            <w:gridSpan w:val="8"/>
          </w:tcPr>
          <w:p>
            <w:pPr>
              <w:jc w:val="right"/>
              <w:ind w:right="381"/>
              <w:spacing w:after="0"/>
              <w:rPr>
                <w:sz w:val="20"/>
                <w:szCs w:val="20"/>
                <w:color w:val="auto"/>
              </w:rPr>
            </w:pPr>
            <w:r>
              <w:rPr>
                <w:rFonts w:ascii="Arial" w:cs="Arial" w:eastAsia="Arial" w:hAnsi="Arial"/>
                <w:sz w:val="16"/>
                <w:szCs w:val="16"/>
                <w:color w:val="00162F"/>
              </w:rPr>
              <w:t>S&amp;P 500 Index (GSPC)</w:t>
            </w:r>
          </w:p>
        </w:tc>
        <w:tc>
          <w:tcPr>
            <w:tcW w:w="140" w:type="dxa"/>
            <w:vAlign w:val="bottom"/>
            <w:tcBorders>
              <w:right w:val="single" w:sz="8" w:color="00162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0" w:type="dxa"/>
            <w:vAlign w:val="bottom"/>
            <w:tcBorders>
              <w:right w:val="single" w:sz="8" w:color="00162F"/>
            </w:tcBorders>
          </w:tcPr>
          <w:p>
            <w:pPr>
              <w:spacing w:after="0"/>
              <w:rPr>
                <w:sz w:val="15"/>
                <w:szCs w:val="15"/>
                <w:color w:val="auto"/>
              </w:rPr>
            </w:pPr>
          </w:p>
        </w:tc>
        <w:tc>
          <w:tcPr>
            <w:tcW w:w="560" w:type="dxa"/>
            <w:vAlign w:val="bottom"/>
            <w:tcBorders>
              <w:bottom w:val="single" w:sz="8" w:color="00162F"/>
            </w:tcBorders>
          </w:tcPr>
          <w:p>
            <w:pPr>
              <w:spacing w:after="0"/>
              <w:rPr>
                <w:sz w:val="15"/>
                <w:szCs w:val="15"/>
                <w:color w:val="auto"/>
              </w:rPr>
            </w:pPr>
          </w:p>
        </w:tc>
        <w:tc>
          <w:tcPr>
            <w:tcW w:w="160" w:type="dxa"/>
            <w:vAlign w:val="bottom"/>
            <w:tcBorders>
              <w:bottom w:val="single" w:sz="8" w:color="00162F"/>
            </w:tcBorders>
          </w:tcPr>
          <w:p>
            <w:pPr>
              <w:spacing w:after="0"/>
              <w:rPr>
                <w:sz w:val="15"/>
                <w:szCs w:val="15"/>
                <w:color w:val="auto"/>
              </w:rPr>
            </w:pPr>
          </w:p>
        </w:tc>
        <w:tc>
          <w:tcPr>
            <w:tcW w:w="440" w:type="dxa"/>
            <w:vAlign w:val="bottom"/>
            <w:tcBorders>
              <w:bottom w:val="single" w:sz="8" w:color="00162F"/>
            </w:tcBorders>
          </w:tcPr>
          <w:p>
            <w:pPr>
              <w:spacing w:after="0"/>
              <w:rPr>
                <w:sz w:val="15"/>
                <w:szCs w:val="15"/>
                <w:color w:val="auto"/>
              </w:rPr>
            </w:pPr>
          </w:p>
        </w:tc>
        <w:tc>
          <w:tcPr>
            <w:tcW w:w="280" w:type="dxa"/>
            <w:vAlign w:val="bottom"/>
            <w:tcBorders>
              <w:bottom w:val="single" w:sz="8" w:color="00162F"/>
            </w:tcBorders>
          </w:tcPr>
          <w:p>
            <w:pPr>
              <w:spacing w:after="0"/>
              <w:rPr>
                <w:sz w:val="15"/>
                <w:szCs w:val="15"/>
                <w:color w:val="auto"/>
              </w:rPr>
            </w:pPr>
          </w:p>
        </w:tc>
        <w:tc>
          <w:tcPr>
            <w:tcW w:w="120" w:type="dxa"/>
            <w:vAlign w:val="bottom"/>
            <w:tcBorders>
              <w:bottom w:val="single" w:sz="8" w:color="00162F"/>
            </w:tcBorders>
          </w:tcPr>
          <w:p>
            <w:pPr>
              <w:spacing w:after="0"/>
              <w:rPr>
                <w:sz w:val="15"/>
                <w:szCs w:val="15"/>
                <w:color w:val="auto"/>
              </w:rPr>
            </w:pPr>
          </w:p>
        </w:tc>
        <w:tc>
          <w:tcPr>
            <w:tcW w:w="1040" w:type="dxa"/>
            <w:vAlign w:val="bottom"/>
            <w:tcBorders>
              <w:bottom w:val="single" w:sz="8" w:color="00162F"/>
            </w:tcBorders>
          </w:tcPr>
          <w:p>
            <w:pPr>
              <w:spacing w:after="0"/>
              <w:rPr>
                <w:sz w:val="15"/>
                <w:szCs w:val="15"/>
                <w:color w:val="auto"/>
              </w:rPr>
            </w:pPr>
          </w:p>
        </w:tc>
        <w:tc>
          <w:tcPr>
            <w:tcW w:w="380" w:type="dxa"/>
            <w:vAlign w:val="bottom"/>
            <w:tcBorders>
              <w:bottom w:val="single" w:sz="8" w:color="00162F"/>
            </w:tcBorders>
          </w:tcPr>
          <w:p>
            <w:pPr>
              <w:spacing w:after="0"/>
              <w:rPr>
                <w:sz w:val="15"/>
                <w:szCs w:val="15"/>
                <w:color w:val="auto"/>
              </w:rPr>
            </w:pPr>
          </w:p>
        </w:tc>
        <w:tc>
          <w:tcPr>
            <w:tcW w:w="120" w:type="dxa"/>
            <w:vAlign w:val="bottom"/>
            <w:tcBorders>
              <w:bottom w:val="single" w:sz="8" w:color="00162F"/>
            </w:tcBorders>
          </w:tcPr>
          <w:p>
            <w:pPr>
              <w:spacing w:after="0"/>
              <w:rPr>
                <w:sz w:val="15"/>
                <w:szCs w:val="15"/>
                <w:color w:val="auto"/>
              </w:rPr>
            </w:pPr>
          </w:p>
        </w:tc>
        <w:tc>
          <w:tcPr>
            <w:tcW w:w="880" w:type="dxa"/>
            <w:vAlign w:val="bottom"/>
            <w:tcBorders>
              <w:bottom w:val="single" w:sz="8" w:color="00162F"/>
            </w:tcBorders>
          </w:tcPr>
          <w:p>
            <w:pPr>
              <w:spacing w:after="0"/>
              <w:rPr>
                <w:sz w:val="15"/>
                <w:szCs w:val="15"/>
                <w:color w:val="auto"/>
              </w:rPr>
            </w:pPr>
          </w:p>
        </w:tc>
        <w:tc>
          <w:tcPr>
            <w:tcW w:w="60" w:type="dxa"/>
            <w:vAlign w:val="bottom"/>
            <w:tcBorders>
              <w:bottom w:val="single" w:sz="8" w:color="00162F"/>
            </w:tcBorders>
          </w:tcPr>
          <w:p>
            <w:pPr>
              <w:spacing w:after="0"/>
              <w:rPr>
                <w:sz w:val="15"/>
                <w:szCs w:val="15"/>
                <w:color w:val="auto"/>
              </w:rPr>
            </w:pPr>
          </w:p>
        </w:tc>
        <w:tc>
          <w:tcPr>
            <w:tcW w:w="180" w:type="dxa"/>
            <w:vAlign w:val="bottom"/>
            <w:tcBorders>
              <w:bottom w:val="single" w:sz="8" w:color="00162F"/>
            </w:tcBorders>
          </w:tcPr>
          <w:p>
            <w:pPr>
              <w:spacing w:after="0"/>
              <w:rPr>
                <w:sz w:val="15"/>
                <w:szCs w:val="15"/>
                <w:color w:val="auto"/>
              </w:rPr>
            </w:pPr>
          </w:p>
        </w:tc>
        <w:tc>
          <w:tcPr>
            <w:tcW w:w="120" w:type="dxa"/>
            <w:vAlign w:val="bottom"/>
            <w:tcBorders>
              <w:bottom w:val="single" w:sz="8" w:color="00162F"/>
            </w:tcBorders>
          </w:tcPr>
          <w:p>
            <w:pPr>
              <w:spacing w:after="0"/>
              <w:rPr>
                <w:sz w:val="15"/>
                <w:szCs w:val="15"/>
                <w:color w:val="auto"/>
              </w:rPr>
            </w:pPr>
          </w:p>
        </w:tc>
        <w:tc>
          <w:tcPr>
            <w:tcW w:w="300" w:type="dxa"/>
            <w:vAlign w:val="bottom"/>
            <w:tcBorders>
              <w:bottom w:val="single" w:sz="8" w:color="00162F"/>
            </w:tcBorders>
          </w:tcPr>
          <w:p>
            <w:pPr>
              <w:spacing w:after="0"/>
              <w:rPr>
                <w:sz w:val="15"/>
                <w:szCs w:val="15"/>
                <w:color w:val="auto"/>
              </w:rPr>
            </w:pPr>
          </w:p>
        </w:tc>
        <w:tc>
          <w:tcPr>
            <w:tcW w:w="400" w:type="dxa"/>
            <w:vAlign w:val="bottom"/>
            <w:tcBorders>
              <w:bottom w:val="single" w:sz="8" w:color="00162F"/>
            </w:tcBorders>
          </w:tcPr>
          <w:p>
            <w:pPr>
              <w:spacing w:after="0"/>
              <w:rPr>
                <w:sz w:val="15"/>
                <w:szCs w:val="15"/>
                <w:color w:val="auto"/>
              </w:rPr>
            </w:pPr>
          </w:p>
        </w:tc>
        <w:tc>
          <w:tcPr>
            <w:tcW w:w="80" w:type="dxa"/>
            <w:vAlign w:val="bottom"/>
            <w:tcBorders>
              <w:bottom w:val="single" w:sz="8" w:color="00162F"/>
            </w:tcBorders>
          </w:tcPr>
          <w:p>
            <w:pPr>
              <w:spacing w:after="0"/>
              <w:rPr>
                <w:sz w:val="15"/>
                <w:szCs w:val="15"/>
                <w:color w:val="auto"/>
              </w:rPr>
            </w:pPr>
          </w:p>
        </w:tc>
        <w:tc>
          <w:tcPr>
            <w:tcW w:w="360" w:type="dxa"/>
            <w:vAlign w:val="bottom"/>
            <w:tcBorders>
              <w:bottom w:val="single" w:sz="8" w:color="00162F"/>
            </w:tcBorders>
          </w:tcPr>
          <w:p>
            <w:pPr>
              <w:spacing w:after="0"/>
              <w:rPr>
                <w:sz w:val="15"/>
                <w:szCs w:val="15"/>
                <w:color w:val="auto"/>
              </w:rPr>
            </w:pPr>
          </w:p>
        </w:tc>
        <w:tc>
          <w:tcPr>
            <w:tcW w:w="580" w:type="dxa"/>
            <w:vAlign w:val="bottom"/>
            <w:tcBorders>
              <w:bottom w:val="single" w:sz="8" w:color="00162F"/>
            </w:tcBorders>
          </w:tcPr>
          <w:p>
            <w:pPr>
              <w:spacing w:after="0"/>
              <w:rPr>
                <w:sz w:val="15"/>
                <w:szCs w:val="15"/>
                <w:color w:val="auto"/>
              </w:rPr>
            </w:pPr>
          </w:p>
        </w:tc>
        <w:tc>
          <w:tcPr>
            <w:tcW w:w="40" w:type="dxa"/>
            <w:vAlign w:val="bottom"/>
            <w:tcBorders>
              <w:bottom w:val="single" w:sz="8" w:color="00162F"/>
            </w:tcBorders>
          </w:tcPr>
          <w:p>
            <w:pPr>
              <w:spacing w:after="0"/>
              <w:rPr>
                <w:sz w:val="15"/>
                <w:szCs w:val="15"/>
                <w:color w:val="auto"/>
              </w:rPr>
            </w:pPr>
          </w:p>
        </w:tc>
        <w:tc>
          <w:tcPr>
            <w:tcW w:w="60" w:type="dxa"/>
            <w:vAlign w:val="bottom"/>
            <w:tcBorders>
              <w:bottom w:val="single" w:sz="8" w:color="00162F"/>
            </w:tcBorders>
          </w:tcPr>
          <w:p>
            <w:pPr>
              <w:spacing w:after="0"/>
              <w:rPr>
                <w:sz w:val="15"/>
                <w:szCs w:val="15"/>
                <w:color w:val="auto"/>
              </w:rPr>
            </w:pPr>
          </w:p>
        </w:tc>
        <w:tc>
          <w:tcPr>
            <w:tcW w:w="20" w:type="dxa"/>
            <w:vAlign w:val="bottom"/>
            <w:tcBorders>
              <w:bottom w:val="single" w:sz="8" w:color="00162F"/>
            </w:tcBorders>
          </w:tcPr>
          <w:p>
            <w:pPr>
              <w:spacing w:after="0"/>
              <w:rPr>
                <w:sz w:val="15"/>
                <w:szCs w:val="15"/>
                <w:color w:val="auto"/>
              </w:rPr>
            </w:pPr>
          </w:p>
        </w:tc>
        <w:tc>
          <w:tcPr>
            <w:tcW w:w="500" w:type="dxa"/>
            <w:vAlign w:val="bottom"/>
            <w:tcBorders>
              <w:bottom w:val="single" w:sz="8" w:color="00162F"/>
            </w:tcBorders>
          </w:tcPr>
          <w:p>
            <w:pPr>
              <w:spacing w:after="0"/>
              <w:rPr>
                <w:sz w:val="15"/>
                <w:szCs w:val="15"/>
                <w:color w:val="auto"/>
              </w:rPr>
            </w:pPr>
          </w:p>
        </w:tc>
        <w:tc>
          <w:tcPr>
            <w:tcW w:w="500" w:type="dxa"/>
            <w:vAlign w:val="bottom"/>
            <w:tcBorders>
              <w:bottom w:val="single" w:sz="8" w:color="00162F"/>
            </w:tcBorders>
          </w:tcPr>
          <w:p>
            <w:pPr>
              <w:spacing w:after="0"/>
              <w:rPr>
                <w:sz w:val="15"/>
                <w:szCs w:val="15"/>
                <w:color w:val="auto"/>
              </w:rPr>
            </w:pPr>
          </w:p>
        </w:tc>
        <w:tc>
          <w:tcPr>
            <w:tcW w:w="20" w:type="dxa"/>
            <w:vAlign w:val="bottom"/>
            <w:tcBorders>
              <w:bottom w:val="single" w:sz="8" w:color="00162F"/>
            </w:tcBorders>
          </w:tcPr>
          <w:p>
            <w:pPr>
              <w:spacing w:after="0"/>
              <w:rPr>
                <w:sz w:val="15"/>
                <w:szCs w:val="15"/>
                <w:color w:val="auto"/>
              </w:rPr>
            </w:pPr>
          </w:p>
        </w:tc>
        <w:tc>
          <w:tcPr>
            <w:tcW w:w="60" w:type="dxa"/>
            <w:vAlign w:val="bottom"/>
            <w:tcBorders>
              <w:bottom w:val="single" w:sz="8" w:color="00162F"/>
            </w:tcBorders>
          </w:tcPr>
          <w:p>
            <w:pPr>
              <w:spacing w:after="0"/>
              <w:rPr>
                <w:sz w:val="15"/>
                <w:szCs w:val="15"/>
                <w:color w:val="auto"/>
              </w:rPr>
            </w:pPr>
          </w:p>
        </w:tc>
        <w:tc>
          <w:tcPr>
            <w:tcW w:w="340" w:type="dxa"/>
            <w:vAlign w:val="bottom"/>
            <w:tcBorders>
              <w:bottom w:val="single" w:sz="8" w:color="00162F"/>
            </w:tcBorders>
          </w:tcPr>
          <w:p>
            <w:pPr>
              <w:spacing w:after="0"/>
              <w:rPr>
                <w:sz w:val="15"/>
                <w:szCs w:val="15"/>
                <w:color w:val="auto"/>
              </w:rPr>
            </w:pPr>
          </w:p>
        </w:tc>
        <w:tc>
          <w:tcPr>
            <w:tcW w:w="120" w:type="dxa"/>
            <w:vAlign w:val="bottom"/>
            <w:tcBorders>
              <w:bottom w:val="single" w:sz="8" w:color="00162F"/>
            </w:tcBorders>
          </w:tcPr>
          <w:p>
            <w:pPr>
              <w:spacing w:after="0"/>
              <w:rPr>
                <w:sz w:val="15"/>
                <w:szCs w:val="15"/>
                <w:color w:val="auto"/>
              </w:rPr>
            </w:pPr>
          </w:p>
        </w:tc>
        <w:tc>
          <w:tcPr>
            <w:tcW w:w="60" w:type="dxa"/>
            <w:vAlign w:val="bottom"/>
            <w:tcBorders>
              <w:bottom w:val="single" w:sz="8" w:color="00162F"/>
            </w:tcBorders>
          </w:tcPr>
          <w:p>
            <w:pPr>
              <w:spacing w:after="0"/>
              <w:rPr>
                <w:sz w:val="15"/>
                <w:szCs w:val="15"/>
                <w:color w:val="auto"/>
              </w:rPr>
            </w:pPr>
          </w:p>
        </w:tc>
        <w:tc>
          <w:tcPr>
            <w:tcW w:w="460" w:type="dxa"/>
            <w:vAlign w:val="bottom"/>
            <w:tcBorders>
              <w:bottom w:val="single" w:sz="8" w:color="00162F"/>
            </w:tcBorders>
          </w:tcPr>
          <w:p>
            <w:pPr>
              <w:spacing w:after="0"/>
              <w:rPr>
                <w:sz w:val="15"/>
                <w:szCs w:val="15"/>
                <w:color w:val="auto"/>
              </w:rPr>
            </w:pPr>
          </w:p>
        </w:tc>
        <w:tc>
          <w:tcPr>
            <w:tcW w:w="80" w:type="dxa"/>
            <w:vAlign w:val="bottom"/>
            <w:tcBorders>
              <w:bottom w:val="single" w:sz="8" w:color="00162F"/>
            </w:tcBorders>
          </w:tcPr>
          <w:p>
            <w:pPr>
              <w:spacing w:after="0"/>
              <w:rPr>
                <w:sz w:val="15"/>
                <w:szCs w:val="15"/>
                <w:color w:val="auto"/>
              </w:rPr>
            </w:pPr>
          </w:p>
        </w:tc>
        <w:tc>
          <w:tcPr>
            <w:tcW w:w="300" w:type="dxa"/>
            <w:vAlign w:val="bottom"/>
            <w:tcBorders>
              <w:bottom w:val="single" w:sz="8" w:color="00162F"/>
            </w:tcBorders>
          </w:tcPr>
          <w:p>
            <w:pPr>
              <w:spacing w:after="0"/>
              <w:rPr>
                <w:sz w:val="15"/>
                <w:szCs w:val="15"/>
                <w:color w:val="auto"/>
              </w:rPr>
            </w:pPr>
          </w:p>
        </w:tc>
        <w:tc>
          <w:tcPr>
            <w:tcW w:w="500" w:type="dxa"/>
            <w:vAlign w:val="bottom"/>
            <w:tcBorders>
              <w:bottom w:val="single" w:sz="8" w:color="00162F"/>
            </w:tcBorders>
          </w:tcPr>
          <w:p>
            <w:pPr>
              <w:spacing w:after="0"/>
              <w:rPr>
                <w:sz w:val="15"/>
                <w:szCs w:val="15"/>
                <w:color w:val="auto"/>
              </w:rPr>
            </w:pPr>
          </w:p>
        </w:tc>
        <w:tc>
          <w:tcPr>
            <w:tcW w:w="120" w:type="dxa"/>
            <w:vAlign w:val="bottom"/>
            <w:tcBorders>
              <w:bottom w:val="single" w:sz="8" w:color="00162F"/>
            </w:tcBorders>
          </w:tcPr>
          <w:p>
            <w:pPr>
              <w:spacing w:after="0"/>
              <w:rPr>
                <w:sz w:val="15"/>
                <w:szCs w:val="15"/>
                <w:color w:val="auto"/>
              </w:rPr>
            </w:pPr>
          </w:p>
        </w:tc>
        <w:tc>
          <w:tcPr>
            <w:tcW w:w="80" w:type="dxa"/>
            <w:vAlign w:val="bottom"/>
            <w:tcBorders>
              <w:bottom w:val="single" w:sz="8" w:color="00162F"/>
            </w:tcBorders>
          </w:tcPr>
          <w:p>
            <w:pPr>
              <w:spacing w:after="0"/>
              <w:rPr>
                <w:sz w:val="15"/>
                <w:szCs w:val="15"/>
                <w:color w:val="auto"/>
              </w:rPr>
            </w:pPr>
          </w:p>
        </w:tc>
        <w:tc>
          <w:tcPr>
            <w:tcW w:w="80" w:type="dxa"/>
            <w:vAlign w:val="bottom"/>
            <w:tcBorders>
              <w:bottom w:val="single" w:sz="8" w:color="00162F"/>
            </w:tcBorders>
          </w:tcPr>
          <w:p>
            <w:pPr>
              <w:spacing w:after="0"/>
              <w:rPr>
                <w:sz w:val="15"/>
                <w:szCs w:val="15"/>
                <w:color w:val="auto"/>
              </w:rPr>
            </w:pPr>
          </w:p>
        </w:tc>
        <w:tc>
          <w:tcPr>
            <w:tcW w:w="560" w:type="dxa"/>
            <w:vAlign w:val="bottom"/>
            <w:tcBorders>
              <w:bottom w:val="single" w:sz="8" w:color="00162F"/>
            </w:tcBorders>
          </w:tcPr>
          <w:p>
            <w:pPr>
              <w:spacing w:after="0"/>
              <w:rPr>
                <w:sz w:val="15"/>
                <w:szCs w:val="15"/>
                <w:color w:val="auto"/>
              </w:rPr>
            </w:pPr>
          </w:p>
        </w:tc>
        <w:tc>
          <w:tcPr>
            <w:tcW w:w="140" w:type="dxa"/>
            <w:vAlign w:val="bottom"/>
            <w:tcBorders>
              <w:bottom w:val="single" w:sz="8" w:color="00162F"/>
              <w:right w:val="single" w:sz="8" w:color="00162F"/>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300" w:type="dxa"/>
            <w:vAlign w:val="bottom"/>
            <w:tcBorders>
              <w:bottom w:val="single" w:sz="8" w:color="EDEDED"/>
            </w:tcBorders>
          </w:tcPr>
          <w:p>
            <w:pPr>
              <w:spacing w:after="0"/>
              <w:rPr>
                <w:sz w:val="24"/>
                <w:szCs w:val="24"/>
                <w:color w:val="auto"/>
              </w:rPr>
            </w:pPr>
          </w:p>
        </w:tc>
        <w:tc>
          <w:tcPr>
            <w:tcW w:w="560" w:type="dxa"/>
            <w:vAlign w:val="bottom"/>
            <w:tcBorders>
              <w:bottom w:val="single" w:sz="8" w:color="EDEDED"/>
            </w:tcBorders>
          </w:tcPr>
          <w:p>
            <w:pPr>
              <w:spacing w:after="0"/>
              <w:rPr>
                <w:sz w:val="24"/>
                <w:szCs w:val="24"/>
                <w:color w:val="auto"/>
              </w:rPr>
            </w:pPr>
          </w:p>
        </w:tc>
        <w:tc>
          <w:tcPr>
            <w:tcW w:w="160" w:type="dxa"/>
            <w:vAlign w:val="bottom"/>
            <w:tcBorders>
              <w:bottom w:val="single" w:sz="8" w:color="EDEDED"/>
            </w:tcBorders>
          </w:tcPr>
          <w:p>
            <w:pPr>
              <w:spacing w:after="0"/>
              <w:rPr>
                <w:sz w:val="24"/>
                <w:szCs w:val="24"/>
                <w:color w:val="auto"/>
              </w:rPr>
            </w:pPr>
          </w:p>
        </w:tc>
        <w:tc>
          <w:tcPr>
            <w:tcW w:w="440" w:type="dxa"/>
            <w:vAlign w:val="bottom"/>
            <w:tcBorders>
              <w:bottom w:val="single" w:sz="8" w:color="EDEDED"/>
            </w:tcBorders>
          </w:tcPr>
          <w:p>
            <w:pPr>
              <w:spacing w:after="0"/>
              <w:rPr>
                <w:sz w:val="24"/>
                <w:szCs w:val="24"/>
                <w:color w:val="auto"/>
              </w:rPr>
            </w:pPr>
          </w:p>
        </w:tc>
        <w:tc>
          <w:tcPr>
            <w:tcW w:w="280" w:type="dxa"/>
            <w:vAlign w:val="bottom"/>
            <w:tcBorders>
              <w:bottom w:val="single" w:sz="8" w:color="EDEDED"/>
            </w:tcBorders>
          </w:tcPr>
          <w:p>
            <w:pPr>
              <w:spacing w:after="0"/>
              <w:rPr>
                <w:sz w:val="24"/>
                <w:szCs w:val="24"/>
                <w:color w:val="auto"/>
              </w:rPr>
            </w:pPr>
          </w:p>
        </w:tc>
        <w:tc>
          <w:tcPr>
            <w:tcW w:w="120" w:type="dxa"/>
            <w:vAlign w:val="bottom"/>
            <w:tcBorders>
              <w:bottom w:val="single" w:sz="8" w:color="EDEDED"/>
            </w:tcBorders>
          </w:tcPr>
          <w:p>
            <w:pPr>
              <w:spacing w:after="0"/>
              <w:rPr>
                <w:sz w:val="24"/>
                <w:szCs w:val="24"/>
                <w:color w:val="auto"/>
              </w:rPr>
            </w:pPr>
          </w:p>
        </w:tc>
        <w:tc>
          <w:tcPr>
            <w:tcW w:w="1040" w:type="dxa"/>
            <w:vAlign w:val="bottom"/>
            <w:tcBorders>
              <w:bottom w:val="single" w:sz="8" w:color="EDEDED"/>
            </w:tcBorders>
          </w:tcPr>
          <w:p>
            <w:pPr>
              <w:spacing w:after="0"/>
              <w:rPr>
                <w:sz w:val="24"/>
                <w:szCs w:val="24"/>
                <w:color w:val="auto"/>
              </w:rPr>
            </w:pPr>
          </w:p>
        </w:tc>
        <w:tc>
          <w:tcPr>
            <w:tcW w:w="380" w:type="dxa"/>
            <w:vAlign w:val="bottom"/>
            <w:tcBorders>
              <w:bottom w:val="single" w:sz="8" w:color="EDEDED"/>
            </w:tcBorders>
          </w:tcPr>
          <w:p>
            <w:pPr>
              <w:spacing w:after="0"/>
              <w:rPr>
                <w:sz w:val="24"/>
                <w:szCs w:val="24"/>
                <w:color w:val="auto"/>
              </w:rPr>
            </w:pPr>
          </w:p>
        </w:tc>
        <w:tc>
          <w:tcPr>
            <w:tcW w:w="120" w:type="dxa"/>
            <w:vAlign w:val="bottom"/>
            <w:tcBorders>
              <w:bottom w:val="single" w:sz="8" w:color="EDEDED"/>
            </w:tcBorders>
          </w:tcPr>
          <w:p>
            <w:pPr>
              <w:spacing w:after="0"/>
              <w:rPr>
                <w:sz w:val="24"/>
                <w:szCs w:val="24"/>
                <w:color w:val="auto"/>
              </w:rPr>
            </w:pPr>
          </w:p>
        </w:tc>
        <w:tc>
          <w:tcPr>
            <w:tcW w:w="880" w:type="dxa"/>
            <w:vAlign w:val="bottom"/>
            <w:tcBorders>
              <w:bottom w:val="single" w:sz="8" w:color="EDEDED"/>
            </w:tcBorders>
          </w:tcPr>
          <w:p>
            <w:pPr>
              <w:spacing w:after="0"/>
              <w:rPr>
                <w:sz w:val="24"/>
                <w:szCs w:val="24"/>
                <w:color w:val="auto"/>
              </w:rPr>
            </w:pPr>
          </w:p>
        </w:tc>
        <w:tc>
          <w:tcPr>
            <w:tcW w:w="60" w:type="dxa"/>
            <w:vAlign w:val="bottom"/>
            <w:tcBorders>
              <w:bottom w:val="single" w:sz="8" w:color="EDEDED"/>
            </w:tcBorders>
          </w:tcPr>
          <w:p>
            <w:pPr>
              <w:spacing w:after="0"/>
              <w:rPr>
                <w:sz w:val="24"/>
                <w:szCs w:val="24"/>
                <w:color w:val="auto"/>
              </w:rPr>
            </w:pPr>
          </w:p>
        </w:tc>
        <w:tc>
          <w:tcPr>
            <w:tcW w:w="1000" w:type="dxa"/>
            <w:vAlign w:val="bottom"/>
            <w:tcBorders>
              <w:bottom w:val="single" w:sz="8" w:color="00162F"/>
            </w:tcBorders>
            <w:gridSpan w:val="4"/>
          </w:tcPr>
          <w:p>
            <w:pPr>
              <w:ind w:left="100"/>
              <w:spacing w:after="0"/>
              <w:rPr>
                <w:sz w:val="20"/>
                <w:szCs w:val="20"/>
                <w:color w:val="auto"/>
              </w:rPr>
            </w:pPr>
            <w:r>
              <w:rPr>
                <w:rFonts w:ascii="Arial" w:cs="Arial" w:eastAsia="Arial" w:hAnsi="Arial"/>
                <w:sz w:val="16"/>
                <w:szCs w:val="16"/>
                <w:b w:val="1"/>
                <w:bCs w:val="1"/>
                <w:color w:val="00162F"/>
              </w:rPr>
              <w:t>12/31/2020</w:t>
            </w:r>
          </w:p>
        </w:tc>
        <w:tc>
          <w:tcPr>
            <w:tcW w:w="80" w:type="dxa"/>
            <w:vAlign w:val="bottom"/>
            <w:tcBorders>
              <w:bottom w:val="single" w:sz="8" w:color="EDEDED"/>
            </w:tcBorders>
          </w:tcPr>
          <w:p>
            <w:pPr>
              <w:spacing w:after="0"/>
              <w:rPr>
                <w:sz w:val="24"/>
                <w:szCs w:val="24"/>
                <w:color w:val="auto"/>
              </w:rPr>
            </w:pPr>
          </w:p>
        </w:tc>
        <w:tc>
          <w:tcPr>
            <w:tcW w:w="940" w:type="dxa"/>
            <w:vAlign w:val="bottom"/>
            <w:tcBorders>
              <w:bottom w:val="single" w:sz="8" w:color="00162F"/>
            </w:tcBorders>
            <w:gridSpan w:val="2"/>
          </w:tcPr>
          <w:p>
            <w:pPr>
              <w:jc w:val="right"/>
              <w:spacing w:after="0"/>
              <w:rPr>
                <w:sz w:val="20"/>
                <w:szCs w:val="20"/>
                <w:color w:val="auto"/>
              </w:rPr>
            </w:pPr>
            <w:r>
              <w:rPr>
                <w:rFonts w:ascii="Arial" w:cs="Arial" w:eastAsia="Arial" w:hAnsi="Arial"/>
                <w:sz w:val="16"/>
                <w:szCs w:val="16"/>
                <w:b w:val="1"/>
                <w:bCs w:val="1"/>
                <w:color w:val="00162F"/>
              </w:rPr>
              <w:t>12/31/2021</w:t>
            </w:r>
          </w:p>
        </w:tc>
        <w:tc>
          <w:tcPr>
            <w:tcW w:w="40" w:type="dxa"/>
            <w:vAlign w:val="bottom"/>
            <w:tcBorders>
              <w:bottom w:val="single" w:sz="8" w:color="00162F"/>
            </w:tcBorders>
          </w:tcPr>
          <w:p>
            <w:pPr>
              <w:spacing w:after="0"/>
              <w:rPr>
                <w:sz w:val="24"/>
                <w:szCs w:val="24"/>
                <w:color w:val="auto"/>
              </w:rPr>
            </w:pPr>
          </w:p>
        </w:tc>
        <w:tc>
          <w:tcPr>
            <w:tcW w:w="80" w:type="dxa"/>
            <w:vAlign w:val="bottom"/>
            <w:tcBorders>
              <w:bottom w:val="single" w:sz="8" w:color="EDEDED"/>
            </w:tcBorders>
            <w:gridSpan w:val="2"/>
          </w:tcPr>
          <w:p>
            <w:pPr>
              <w:spacing w:after="0"/>
              <w:rPr>
                <w:sz w:val="24"/>
                <w:szCs w:val="24"/>
                <w:color w:val="auto"/>
              </w:rPr>
            </w:pPr>
          </w:p>
        </w:tc>
        <w:tc>
          <w:tcPr>
            <w:tcW w:w="1000" w:type="dxa"/>
            <w:vAlign w:val="bottom"/>
            <w:tcBorders>
              <w:bottom w:val="single" w:sz="8" w:color="00162F"/>
            </w:tcBorders>
            <w:gridSpan w:val="2"/>
          </w:tcPr>
          <w:p>
            <w:pPr>
              <w:jc w:val="right"/>
              <w:ind w:right="1"/>
              <w:spacing w:after="0"/>
              <w:rPr>
                <w:sz w:val="20"/>
                <w:szCs w:val="20"/>
                <w:color w:val="auto"/>
              </w:rPr>
            </w:pPr>
            <w:r>
              <w:rPr>
                <w:rFonts w:ascii="Arial" w:cs="Arial" w:eastAsia="Arial" w:hAnsi="Arial"/>
                <w:sz w:val="16"/>
                <w:szCs w:val="16"/>
                <w:b w:val="1"/>
                <w:bCs w:val="1"/>
                <w:color w:val="00162F"/>
              </w:rPr>
              <w:t>12/31/2022</w:t>
            </w:r>
          </w:p>
        </w:tc>
        <w:tc>
          <w:tcPr>
            <w:tcW w:w="20" w:type="dxa"/>
            <w:vAlign w:val="bottom"/>
            <w:tcBorders>
              <w:bottom w:val="single" w:sz="8" w:color="EDEDED"/>
            </w:tcBorders>
          </w:tcPr>
          <w:p>
            <w:pPr>
              <w:spacing w:after="0"/>
              <w:rPr>
                <w:sz w:val="24"/>
                <w:szCs w:val="24"/>
                <w:color w:val="auto"/>
              </w:rPr>
            </w:pPr>
          </w:p>
        </w:tc>
        <w:tc>
          <w:tcPr>
            <w:tcW w:w="60" w:type="dxa"/>
            <w:vAlign w:val="bottom"/>
            <w:tcBorders>
              <w:bottom w:val="single" w:sz="8" w:color="EDEDED"/>
            </w:tcBorders>
          </w:tcPr>
          <w:p>
            <w:pPr>
              <w:spacing w:after="0"/>
              <w:rPr>
                <w:sz w:val="24"/>
                <w:szCs w:val="24"/>
                <w:color w:val="auto"/>
              </w:rPr>
            </w:pPr>
          </w:p>
        </w:tc>
        <w:tc>
          <w:tcPr>
            <w:tcW w:w="980" w:type="dxa"/>
            <w:vAlign w:val="bottom"/>
            <w:tcBorders>
              <w:bottom w:val="single" w:sz="8" w:color="00162F"/>
            </w:tcBorders>
            <w:gridSpan w:val="4"/>
          </w:tcPr>
          <w:p>
            <w:pPr>
              <w:jc w:val="right"/>
              <w:ind w:right="21"/>
              <w:spacing w:after="0"/>
              <w:rPr>
                <w:sz w:val="20"/>
                <w:szCs w:val="20"/>
                <w:color w:val="auto"/>
              </w:rPr>
            </w:pPr>
            <w:r>
              <w:rPr>
                <w:rFonts w:ascii="Arial" w:cs="Arial" w:eastAsia="Arial" w:hAnsi="Arial"/>
                <w:sz w:val="16"/>
                <w:szCs w:val="16"/>
                <w:b w:val="1"/>
                <w:bCs w:val="1"/>
                <w:color w:val="00162F"/>
              </w:rPr>
              <w:t>12/31/2023</w:t>
            </w:r>
          </w:p>
        </w:tc>
        <w:tc>
          <w:tcPr>
            <w:tcW w:w="80" w:type="dxa"/>
            <w:vAlign w:val="bottom"/>
            <w:tcBorders>
              <w:bottom w:val="single" w:sz="8" w:color="EDEDED"/>
            </w:tcBorders>
          </w:tcPr>
          <w:p>
            <w:pPr>
              <w:spacing w:after="0"/>
              <w:rPr>
                <w:sz w:val="24"/>
                <w:szCs w:val="24"/>
                <w:color w:val="auto"/>
              </w:rPr>
            </w:pPr>
          </w:p>
        </w:tc>
        <w:tc>
          <w:tcPr>
            <w:tcW w:w="920" w:type="dxa"/>
            <w:vAlign w:val="bottom"/>
            <w:tcBorders>
              <w:bottom w:val="single" w:sz="8" w:color="00162F"/>
            </w:tcBorders>
            <w:gridSpan w:val="3"/>
          </w:tcPr>
          <w:p>
            <w:pPr>
              <w:jc w:val="right"/>
              <w:ind w:right="20"/>
              <w:spacing w:after="0"/>
              <w:rPr>
                <w:sz w:val="20"/>
                <w:szCs w:val="20"/>
                <w:color w:val="auto"/>
              </w:rPr>
            </w:pPr>
            <w:r>
              <w:rPr>
                <w:rFonts w:ascii="Arial" w:cs="Arial" w:eastAsia="Arial" w:hAnsi="Arial"/>
                <w:sz w:val="16"/>
                <w:szCs w:val="16"/>
                <w:b w:val="1"/>
                <w:bCs w:val="1"/>
                <w:color w:val="00162F"/>
              </w:rPr>
              <w:t>12/31/2024</w:t>
            </w:r>
          </w:p>
        </w:tc>
        <w:tc>
          <w:tcPr>
            <w:tcW w:w="80" w:type="dxa"/>
            <w:vAlign w:val="bottom"/>
            <w:tcBorders>
              <w:bottom w:val="single" w:sz="8" w:color="00162F"/>
            </w:tcBorders>
          </w:tcPr>
          <w:p>
            <w:pPr>
              <w:spacing w:after="0"/>
              <w:rPr>
                <w:sz w:val="24"/>
                <w:szCs w:val="24"/>
                <w:color w:val="auto"/>
              </w:rPr>
            </w:pPr>
          </w:p>
        </w:tc>
        <w:tc>
          <w:tcPr>
            <w:tcW w:w="80" w:type="dxa"/>
            <w:vAlign w:val="bottom"/>
            <w:tcBorders>
              <w:bottom w:val="single" w:sz="8" w:color="EDEDED"/>
            </w:tcBorders>
          </w:tcPr>
          <w:p>
            <w:pPr>
              <w:spacing w:after="0"/>
              <w:rPr>
                <w:sz w:val="24"/>
                <w:szCs w:val="24"/>
                <w:color w:val="auto"/>
              </w:rPr>
            </w:pPr>
          </w:p>
        </w:tc>
        <w:tc>
          <w:tcPr>
            <w:tcW w:w="980" w:type="dxa"/>
            <w:vAlign w:val="bottom"/>
            <w:tcBorders>
              <w:bottom w:val="single" w:sz="8" w:color="00162F"/>
            </w:tcBorders>
            <w:gridSpan w:val="3"/>
          </w:tcPr>
          <w:p>
            <w:pPr>
              <w:jc w:val="right"/>
              <w:ind w:right="100"/>
              <w:spacing w:after="0"/>
              <w:rPr>
                <w:sz w:val="20"/>
                <w:szCs w:val="20"/>
                <w:color w:val="auto"/>
              </w:rPr>
            </w:pPr>
            <w:r>
              <w:rPr>
                <w:rFonts w:ascii="Arial" w:cs="Arial" w:eastAsia="Arial" w:hAnsi="Arial"/>
                <w:sz w:val="16"/>
                <w:szCs w:val="16"/>
                <w:b w:val="1"/>
                <w:bCs w:val="1"/>
                <w:color w:val="00162F"/>
              </w:rPr>
              <w:t>12/31/2025</w:t>
            </w:r>
          </w:p>
        </w:tc>
        <w:tc>
          <w:tcPr>
            <w:tcW w:w="0" w:type="dxa"/>
            <w:vAlign w:val="bottom"/>
          </w:tcPr>
          <w:p>
            <w:pPr>
              <w:spacing w:after="0"/>
              <w:rPr>
                <w:sz w:val="1"/>
                <w:szCs w:val="1"/>
                <w:color w:val="auto"/>
              </w:rPr>
            </w:pPr>
          </w:p>
        </w:tc>
      </w:tr>
      <w:tr>
        <w:trPr>
          <w:trHeight w:val="287"/>
        </w:trPr>
        <w:tc>
          <w:tcPr>
            <w:tcW w:w="4280" w:type="dxa"/>
            <w:vAlign w:val="bottom"/>
            <w:gridSpan w:val="10"/>
            <w:shd w:val="clear" w:color="auto" w:fill="EDEDED"/>
          </w:tcPr>
          <w:p>
            <w:pPr>
              <w:ind w:left="40"/>
              <w:spacing w:after="0"/>
              <w:rPr>
                <w:sz w:val="20"/>
                <w:szCs w:val="20"/>
                <w:color w:val="auto"/>
              </w:rPr>
            </w:pPr>
            <w:r>
              <w:rPr>
                <w:rFonts w:ascii="Arial" w:cs="Arial" w:eastAsia="Arial" w:hAnsi="Arial"/>
                <w:sz w:val="20"/>
                <w:szCs w:val="20"/>
                <w:color w:val="00162F"/>
              </w:rPr>
              <w:t>American Airlines Group Inc. (AAL)</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20" w:type="dxa"/>
            <w:vAlign w:val="bottom"/>
            <w:shd w:val="clear" w:color="auto" w:fill="EDEDED"/>
          </w:tcPr>
          <w:p>
            <w:pPr>
              <w:spacing w:after="0"/>
              <w:rPr>
                <w:sz w:val="24"/>
                <w:szCs w:val="24"/>
                <w:color w:val="auto"/>
              </w:rPr>
            </w:pPr>
          </w:p>
        </w:tc>
        <w:tc>
          <w:tcPr>
            <w:tcW w:w="300" w:type="dxa"/>
            <w:vAlign w:val="bottom"/>
            <w:tcBorders>
              <w:right w:val="single" w:sz="8" w:color="EDEDED"/>
            </w:tcBorders>
            <w:shd w:val="clear" w:color="auto" w:fill="EDEDED"/>
          </w:tcPr>
          <w:p>
            <w:pPr>
              <w:spacing w:after="0"/>
              <w:rPr>
                <w:sz w:val="24"/>
                <w:szCs w:val="24"/>
                <w:color w:val="auto"/>
              </w:rPr>
            </w:pPr>
          </w:p>
        </w:tc>
        <w:tc>
          <w:tcPr>
            <w:tcW w:w="400" w:type="dxa"/>
            <w:vAlign w:val="bottom"/>
            <w:shd w:val="clear" w:color="auto" w:fill="EDEDED"/>
          </w:tcPr>
          <w:p>
            <w:pPr>
              <w:spacing w:after="0"/>
              <w:rPr>
                <w:sz w:val="20"/>
                <w:szCs w:val="20"/>
                <w:color w:val="auto"/>
              </w:rPr>
            </w:pPr>
            <w:r>
              <w:rPr>
                <w:rFonts w:ascii="Arial" w:cs="Arial" w:eastAsia="Arial" w:hAnsi="Arial"/>
                <w:sz w:val="20"/>
                <w:szCs w:val="20"/>
                <w:color w:val="00162F"/>
              </w:rPr>
              <w:t>100</w:t>
            </w:r>
          </w:p>
        </w:tc>
        <w:tc>
          <w:tcPr>
            <w:tcW w:w="440" w:type="dxa"/>
            <w:vAlign w:val="bottom"/>
            <w:gridSpan w:val="2"/>
            <w:shd w:val="clear" w:color="auto" w:fill="EDEDED"/>
          </w:tcPr>
          <w:p>
            <w:pPr>
              <w:jc w:val="right"/>
              <w:ind w:right="121"/>
              <w:spacing w:after="0"/>
              <w:rPr>
                <w:sz w:val="20"/>
                <w:szCs w:val="20"/>
                <w:color w:val="auto"/>
              </w:rPr>
            </w:pPr>
            <w:r>
              <w:rPr>
                <w:rFonts w:ascii="Arial" w:cs="Arial" w:eastAsia="Arial" w:hAnsi="Arial"/>
                <w:sz w:val="20"/>
                <w:szCs w:val="20"/>
                <w:color w:val="00162F"/>
              </w:rPr>
              <w:t>$</w:t>
            </w:r>
          </w:p>
        </w:tc>
        <w:tc>
          <w:tcPr>
            <w:tcW w:w="5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114</w:t>
            </w:r>
          </w:p>
        </w:tc>
        <w:tc>
          <w:tcPr>
            <w:tcW w:w="620" w:type="dxa"/>
            <w:vAlign w:val="bottom"/>
            <w:gridSpan w:val="4"/>
            <w:shd w:val="clear" w:color="auto" w:fill="EDEDED"/>
          </w:tcPr>
          <w:p>
            <w:pPr>
              <w:jc w:val="right"/>
              <w:ind w:right="261"/>
              <w:spacing w:after="0"/>
              <w:rPr>
                <w:sz w:val="20"/>
                <w:szCs w:val="20"/>
                <w:color w:val="auto"/>
              </w:rPr>
            </w:pPr>
            <w:r>
              <w:rPr>
                <w:rFonts w:ascii="Arial" w:cs="Arial" w:eastAsia="Arial" w:hAnsi="Arial"/>
                <w:sz w:val="20"/>
                <w:szCs w:val="20"/>
                <w:color w:val="00162F"/>
              </w:rPr>
              <w:t>$</w:t>
            </w:r>
          </w:p>
        </w:tc>
        <w:tc>
          <w:tcPr>
            <w:tcW w:w="5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81</w:t>
            </w:r>
          </w:p>
        </w:tc>
        <w:tc>
          <w:tcPr>
            <w:tcW w:w="20" w:type="dxa"/>
            <w:vAlign w:val="bottom"/>
            <w:shd w:val="clear" w:color="auto" w:fill="EDEDED"/>
          </w:tcPr>
          <w:p>
            <w:pPr>
              <w:spacing w:after="0"/>
              <w:rPr>
                <w:sz w:val="24"/>
                <w:szCs w:val="24"/>
                <w:color w:val="auto"/>
              </w:rPr>
            </w:pPr>
          </w:p>
        </w:tc>
        <w:tc>
          <w:tcPr>
            <w:tcW w:w="400" w:type="dxa"/>
            <w:vAlign w:val="bottom"/>
            <w:gridSpan w:val="2"/>
            <w:shd w:val="clear" w:color="auto" w:fill="EDEDED"/>
          </w:tcPr>
          <w:p>
            <w:pPr>
              <w:jc w:val="right"/>
              <w:ind w:right="101"/>
              <w:spacing w:after="0"/>
              <w:rPr>
                <w:sz w:val="20"/>
                <w:szCs w:val="20"/>
                <w:color w:val="auto"/>
              </w:rPr>
            </w:pPr>
            <w:r>
              <w:rPr>
                <w:rFonts w:ascii="Arial" w:cs="Arial" w:eastAsia="Arial" w:hAnsi="Arial"/>
                <w:sz w:val="20"/>
                <w:szCs w:val="20"/>
                <w:color w:val="00162F"/>
              </w:rPr>
              <w:t>$</w:t>
            </w:r>
          </w:p>
        </w:tc>
        <w:tc>
          <w:tcPr>
            <w:tcW w:w="640" w:type="dxa"/>
            <w:vAlign w:val="bottom"/>
            <w:gridSpan w:val="3"/>
            <w:shd w:val="clear" w:color="auto" w:fill="EDEDED"/>
          </w:tcPr>
          <w:p>
            <w:pPr>
              <w:jc w:val="right"/>
              <w:ind w:right="1"/>
              <w:spacing w:after="0"/>
              <w:rPr>
                <w:sz w:val="20"/>
                <w:szCs w:val="20"/>
                <w:color w:val="auto"/>
              </w:rPr>
            </w:pPr>
            <w:r>
              <w:rPr>
                <w:rFonts w:ascii="Arial" w:cs="Arial" w:eastAsia="Arial" w:hAnsi="Arial"/>
                <w:sz w:val="20"/>
                <w:szCs w:val="20"/>
                <w:color w:val="00162F"/>
              </w:rPr>
              <w:t>87</w:t>
            </w:r>
          </w:p>
        </w:tc>
        <w:tc>
          <w:tcPr>
            <w:tcW w:w="380" w:type="dxa"/>
            <w:vAlign w:val="bottom"/>
            <w:gridSpan w:val="2"/>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6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111</w:t>
            </w:r>
          </w:p>
        </w:tc>
        <w:tc>
          <w:tcPr>
            <w:tcW w:w="720" w:type="dxa"/>
            <w:vAlign w:val="bottom"/>
            <w:gridSpan w:val="3"/>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420" w:type="dxa"/>
            <w:vAlign w:val="bottom"/>
            <w:gridSpan w:val="2"/>
            <w:shd w:val="clear" w:color="auto" w:fill="EDEDED"/>
          </w:tcPr>
          <w:p>
            <w:pPr>
              <w:jc w:val="right"/>
              <w:ind w:right="80"/>
              <w:spacing w:after="0"/>
              <w:rPr>
                <w:sz w:val="20"/>
                <w:szCs w:val="20"/>
                <w:color w:val="auto"/>
              </w:rPr>
            </w:pPr>
            <w:r>
              <w:rPr>
                <w:rFonts w:ascii="Arial" w:cs="Arial" w:eastAsia="Arial" w:hAnsi="Arial"/>
                <w:sz w:val="20"/>
                <w:szCs w:val="20"/>
                <w:color w:val="00162F"/>
              </w:rPr>
              <w:t>97</w:t>
            </w:r>
          </w:p>
        </w:tc>
        <w:tc>
          <w:tcPr>
            <w:tcW w:w="0" w:type="dxa"/>
            <w:vAlign w:val="bottom"/>
          </w:tcPr>
          <w:p>
            <w:pPr>
              <w:spacing w:after="0"/>
              <w:rPr>
                <w:sz w:val="1"/>
                <w:szCs w:val="1"/>
                <w:color w:val="auto"/>
              </w:rPr>
            </w:pPr>
          </w:p>
        </w:tc>
      </w:tr>
      <w:tr>
        <w:trPr>
          <w:trHeight w:val="293"/>
        </w:trPr>
        <w:tc>
          <w:tcPr>
            <w:tcW w:w="2900" w:type="dxa"/>
            <w:vAlign w:val="bottom"/>
            <w:gridSpan w:val="7"/>
          </w:tcPr>
          <w:p>
            <w:pPr>
              <w:ind w:left="40"/>
              <w:spacing w:after="0"/>
              <w:rPr>
                <w:sz w:val="20"/>
                <w:szCs w:val="20"/>
                <w:color w:val="auto"/>
              </w:rPr>
            </w:pPr>
            <w:r>
              <w:rPr>
                <w:rFonts w:ascii="Arial" w:cs="Arial" w:eastAsia="Arial" w:hAnsi="Arial"/>
                <w:sz w:val="20"/>
                <w:szCs w:val="20"/>
                <w:color w:val="00162F"/>
                <w:w w:val="98"/>
              </w:rPr>
              <w:t>NYSE ARCA Airline Index (XAL)</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20"/>
                <w:szCs w:val="20"/>
                <w:color w:val="00162F"/>
              </w:rPr>
              <w:t>100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00162F"/>
              </w:rPr>
              <w:t>98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00162F"/>
              </w:rPr>
              <w:t>64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3"/>
          </w:tcPr>
          <w:p>
            <w:pPr>
              <w:jc w:val="right"/>
              <w:ind w:right="1"/>
              <w:spacing w:after="0"/>
              <w:rPr>
                <w:sz w:val="20"/>
                <w:szCs w:val="20"/>
                <w:color w:val="auto"/>
              </w:rPr>
            </w:pPr>
            <w:r>
              <w:rPr>
                <w:rFonts w:ascii="Arial" w:cs="Arial" w:eastAsia="Arial" w:hAnsi="Arial"/>
                <w:sz w:val="20"/>
                <w:szCs w:val="20"/>
                <w:color w:val="00162F"/>
              </w:rPr>
              <w:t>82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20"/>
                <w:szCs w:val="20"/>
                <w:color w:val="00162F"/>
              </w:rPr>
              <w:t>81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00162F"/>
              </w:rPr>
              <w:t>85</w:t>
            </w:r>
          </w:p>
        </w:tc>
        <w:tc>
          <w:tcPr>
            <w:tcW w:w="0" w:type="dxa"/>
            <w:vAlign w:val="bottom"/>
          </w:tcPr>
          <w:p>
            <w:pPr>
              <w:spacing w:after="0"/>
              <w:rPr>
                <w:sz w:val="1"/>
                <w:szCs w:val="1"/>
                <w:color w:val="auto"/>
              </w:rPr>
            </w:pPr>
          </w:p>
        </w:tc>
      </w:tr>
      <w:tr>
        <w:trPr>
          <w:trHeight w:val="301"/>
        </w:trPr>
        <w:tc>
          <w:tcPr>
            <w:tcW w:w="2900" w:type="dxa"/>
            <w:vAlign w:val="bottom"/>
            <w:gridSpan w:val="7"/>
            <w:shd w:val="clear" w:color="auto" w:fill="EDEDED"/>
          </w:tcPr>
          <w:p>
            <w:pPr>
              <w:ind w:left="40"/>
              <w:spacing w:after="0"/>
              <w:rPr>
                <w:sz w:val="20"/>
                <w:szCs w:val="20"/>
                <w:color w:val="auto"/>
              </w:rPr>
            </w:pPr>
            <w:r>
              <w:rPr>
                <w:rFonts w:ascii="Arial" w:cs="Arial" w:eastAsia="Arial" w:hAnsi="Arial"/>
                <w:sz w:val="20"/>
                <w:szCs w:val="20"/>
                <w:color w:val="00162F"/>
              </w:rPr>
              <w:t>S&amp;P 500 Index (GSPC)</w:t>
            </w:r>
          </w:p>
        </w:tc>
        <w:tc>
          <w:tcPr>
            <w:tcW w:w="38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8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300" w:type="dxa"/>
            <w:vAlign w:val="bottom"/>
            <w:tcBorders>
              <w:right w:val="single" w:sz="8" w:color="EDEDED"/>
            </w:tcBorders>
            <w:shd w:val="clear" w:color="auto" w:fill="EDEDED"/>
          </w:tcPr>
          <w:p>
            <w:pPr>
              <w:spacing w:after="0"/>
              <w:rPr>
                <w:sz w:val="24"/>
                <w:szCs w:val="24"/>
                <w:color w:val="auto"/>
              </w:rPr>
            </w:pPr>
          </w:p>
        </w:tc>
        <w:tc>
          <w:tcPr>
            <w:tcW w:w="400" w:type="dxa"/>
            <w:vAlign w:val="bottom"/>
            <w:shd w:val="clear" w:color="auto" w:fill="EDEDED"/>
          </w:tcPr>
          <w:p>
            <w:pPr>
              <w:spacing w:after="0"/>
              <w:rPr>
                <w:sz w:val="20"/>
                <w:szCs w:val="20"/>
                <w:color w:val="auto"/>
              </w:rPr>
            </w:pPr>
            <w:r>
              <w:rPr>
                <w:rFonts w:ascii="Arial" w:cs="Arial" w:eastAsia="Arial" w:hAnsi="Arial"/>
                <w:sz w:val="20"/>
                <w:szCs w:val="20"/>
                <w:color w:val="00162F"/>
              </w:rPr>
              <w:t>100</w:t>
            </w: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5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127</w:t>
            </w:r>
          </w:p>
        </w:tc>
        <w:tc>
          <w:tcPr>
            <w:tcW w:w="4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5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102</w:t>
            </w:r>
          </w:p>
        </w:tc>
        <w:tc>
          <w:tcPr>
            <w:tcW w:w="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640" w:type="dxa"/>
            <w:vAlign w:val="bottom"/>
            <w:gridSpan w:val="3"/>
            <w:shd w:val="clear" w:color="auto" w:fill="EDEDED"/>
          </w:tcPr>
          <w:p>
            <w:pPr>
              <w:jc w:val="right"/>
              <w:ind w:right="1"/>
              <w:spacing w:after="0"/>
              <w:rPr>
                <w:sz w:val="20"/>
                <w:szCs w:val="20"/>
                <w:color w:val="auto"/>
              </w:rPr>
            </w:pPr>
            <w:r>
              <w:rPr>
                <w:rFonts w:ascii="Arial" w:cs="Arial" w:eastAsia="Arial" w:hAnsi="Arial"/>
                <w:sz w:val="20"/>
                <w:szCs w:val="20"/>
                <w:color w:val="00162F"/>
              </w:rPr>
              <w:t>127</w:t>
            </w:r>
          </w:p>
        </w:tc>
        <w:tc>
          <w:tcPr>
            <w:tcW w:w="8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6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157</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560" w:type="dxa"/>
            <w:vAlign w:val="bottom"/>
            <w:shd w:val="clear" w:color="auto" w:fill="EDEDED"/>
          </w:tcPr>
          <w:p>
            <w:pPr>
              <w:spacing w:after="0"/>
              <w:rPr>
                <w:sz w:val="24"/>
                <w:szCs w:val="24"/>
                <w:color w:val="auto"/>
              </w:rPr>
            </w:pPr>
          </w:p>
        </w:tc>
        <w:tc>
          <w:tcPr>
            <w:tcW w:w="420" w:type="dxa"/>
            <w:vAlign w:val="bottom"/>
            <w:gridSpan w:val="2"/>
            <w:shd w:val="clear" w:color="auto" w:fill="EDEDED"/>
          </w:tcPr>
          <w:p>
            <w:pPr>
              <w:jc w:val="right"/>
              <w:ind w:right="80"/>
              <w:spacing w:after="0"/>
              <w:rPr>
                <w:sz w:val="20"/>
                <w:szCs w:val="20"/>
                <w:color w:val="auto"/>
              </w:rPr>
            </w:pPr>
            <w:r>
              <w:rPr>
                <w:rFonts w:ascii="Arial" w:cs="Arial" w:eastAsia="Arial" w:hAnsi="Arial"/>
                <w:sz w:val="20"/>
                <w:szCs w:val="20"/>
                <w:color w:val="00162F"/>
                <w:w w:val="95"/>
              </w:rPr>
              <w:t>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-3521075</wp:posOffset>
            </wp:positionV>
            <wp:extent cx="4979670" cy="1335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4979670" cy="133540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-1131570</wp:posOffset>
            </wp:positionV>
            <wp:extent cx="100965" cy="100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100965" cy="10096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-1131570</wp:posOffset>
            </wp:positionV>
            <wp:extent cx="100965" cy="100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100965" cy="10096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-577850</wp:posOffset>
            </wp:positionV>
            <wp:extent cx="405130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4051300" cy="2540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Purchases of Equity Securities by the Issuer and Affiliated Purchasers</w:t>
      </w:r>
    </w:p>
    <w:p>
      <w:pPr>
        <w:spacing w:after="0" w:line="97"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No repurchases of AAG common stock were made in 2025 or 2024. Any future determination to enter into a share repurchase program will be at the discretion of the Board of Directors, subject to applicable legal limitations, and will depend upon our results of operations, financial condition, contractual restrictions and other factors deemed relevant by the Board of Directors.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56</w:t>
      </w:r>
    </w:p>
    <w:p>
      <w:pPr>
        <w:sectPr>
          <w:pgSz w:w="11880" w:h="15480" w:orient="portrait"/>
          <w:cols w:equalWidth="0" w:num="1">
            <w:col w:w="10680"/>
          </w:cols>
          <w:pgMar w:left="600" w:top="992" w:right="60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00162F"/>
        </w:rPr>
        <w:t>Ownership Restrictions</w:t>
      </w:r>
    </w:p>
    <w:p>
      <w:pPr>
        <w:spacing w:after="0" w:line="97"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AAG’s Certificate of Incorporation, as amended, and Fifth Amended and Restated Bylaws (Bylaws) provide that, consistent with the requirements of Subtitle VII of Title 49 of the United States Code, as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 citizen), shall not, in the aggregate, own (beneficially or of record) and/or control more than (a) 24.9% of the aggregate votes of all of our outstanding equity securities or (b) 49.0% of our outstanding equity securities. Our Certificate of Incorporation and Bylaws further specify that it is the duty of each stockholder who is a non-citizen to register his, her or its equity securities on our foreign stock record and provide for remedies applicable to stockholders that exceed the voting and ownership caps described above.</w:t>
      </w:r>
    </w:p>
    <w:p>
      <w:pPr>
        <w:spacing w:after="0" w:line="143"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In addition, to reduce the risk of a potential adverse effect on our ability to use our NOL carryforwards and certain other tax attributes for federal income tax purposes, and in connection with the expiration in December 2021 of certain transfer restrictions applicable to substantial shareholders contained in our Certificate of Incorporation, the Board of Directors of AAG adopted the Tax Benefit Preservation Plan. The Tax Benefit Preservation Plan was subsequently ratified by our stockholders at the 2022 Annual Meeting of Stockholders of AAG. AAG entered into Amendment No. 1 to the Tax Benefit Preservation Plan to extend the expiration date to October 29, 2027 and the amendment was approved by stockholders at the 2025 Annual Meeting of Stockholders of AAG on June 11, 2025. The Tax Benefit Preservation Plan is designed to reduce the likelihood that we experience an "ownership change” for purposes of Section 382 by deterring certain acquisitions of AAG common stock. There is no assurance, however, that the deterrent mechanism will be effective, and such acquisitions may still occur. In addition, the Tax Benefit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152"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 xml:space="preserve">See Part I, Item 1A. Risk Factors – </w:t>
      </w:r>
      <w:r>
        <w:rPr>
          <w:rFonts w:ascii="Arial" w:cs="Arial" w:eastAsia="Arial" w:hAnsi="Arial"/>
          <w:sz w:val="20"/>
          <w:szCs w:val="20"/>
          <w:i w:val="1"/>
          <w:iCs w:val="1"/>
          <w:color w:val="00162F"/>
        </w:rPr>
        <w:t>“AAG’s Certificate of Incorporation, Bylaws and Tax Benefit Preservation Plan</w:t>
      </w:r>
      <w:r>
        <w:rPr>
          <w:rFonts w:ascii="Arial" w:cs="Arial" w:eastAsia="Arial" w:hAnsi="Arial"/>
          <w:sz w:val="20"/>
          <w:szCs w:val="20"/>
          <w:color w:val="00162F"/>
        </w:rPr>
        <w:t xml:space="preserve"> </w:t>
      </w:r>
      <w:r>
        <w:rPr>
          <w:rFonts w:ascii="Arial" w:cs="Arial" w:eastAsia="Arial" w:hAnsi="Arial"/>
          <w:sz w:val="20"/>
          <w:szCs w:val="20"/>
          <w:i w:val="1"/>
          <w:iCs w:val="1"/>
          <w:color w:val="00162F"/>
        </w:rPr>
        <w:t xml:space="preserve">include provisions that limit voting and acquisition and disposition of our equity interests and specify an exclusive forum for certain stockholder disputes” </w:t>
      </w:r>
      <w:r>
        <w:rPr>
          <w:rFonts w:ascii="Arial" w:cs="Arial" w:eastAsia="Arial" w:hAnsi="Arial"/>
          <w:sz w:val="20"/>
          <w:szCs w:val="20"/>
          <w:color w:val="00162F"/>
        </w:rPr>
        <w:t>and “</w:t>
      </w:r>
      <w:r>
        <w:rPr>
          <w:rFonts w:ascii="Arial" w:cs="Arial" w:eastAsia="Arial" w:hAnsi="Arial"/>
          <w:sz w:val="20"/>
          <w:szCs w:val="20"/>
          <w:i w:val="1"/>
          <w:iCs w:val="1"/>
          <w:color w:val="00162F"/>
        </w:rPr>
        <w:t xml:space="preserve">Our ability to utilize our NOLs and other carryforwards may be limited.” </w:t>
      </w:r>
      <w:r>
        <w:rPr>
          <w:rFonts w:ascii="Arial" w:cs="Arial" w:eastAsia="Arial" w:hAnsi="Arial"/>
          <w:sz w:val="20"/>
          <w:szCs w:val="20"/>
          <w:color w:val="00162F"/>
        </w:rPr>
        <w:t>Also see AAG’s</w:t>
      </w:r>
      <w:r>
        <w:rPr>
          <w:rFonts w:ascii="Arial" w:cs="Arial" w:eastAsia="Arial" w:hAnsi="Arial"/>
          <w:sz w:val="20"/>
          <w:szCs w:val="20"/>
          <w:i w:val="1"/>
          <w:iCs w:val="1"/>
          <w:color w:val="00162F"/>
        </w:rPr>
        <w:t xml:space="preserve"> </w:t>
      </w:r>
      <w:r>
        <w:rPr>
          <w:rFonts w:ascii="Arial" w:cs="Arial" w:eastAsia="Arial" w:hAnsi="Arial"/>
          <w:sz w:val="20"/>
          <w:szCs w:val="20"/>
          <w:color w:val="00162F"/>
        </w:rPr>
        <w:t>Certification of Incorporation and Bylaws, which are filed as Exhibits 3.1, 3.2 and 3.3 hereto, for the full text of the foregoing restrictions and AAG’s Description of the Registrants’ Securities Registered Pursuant to Section 12 of the Securities Exchange Act of 1934, which is filed as Exhibit 4.1 hereto, for a more detailed description.</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57</w:t>
      </w:r>
    </w:p>
    <w:p>
      <w:pPr>
        <w:sectPr>
          <w:pgSz w:w="11880" w:h="15480" w:orient="portrait"/>
          <w:cols w:equalWidth="0" w:num="1">
            <w:col w:w="10680"/>
          </w:cols>
          <w:pgMar w:left="600" w:top="992" w:right="600" w:bottom="0" w:gutter="0" w:footer="0" w:header="0"/>
          <w:type w:val="continuous"/>
        </w:sectPr>
      </w:pPr>
    </w:p>
    <w:bookmarkStart w:id="58" w:name="page59"/>
    <w:bookmarkEnd w:id="58"/>
    <w:p>
      <w:pPr>
        <w:ind w:left="5"/>
        <w:spacing w:after="0"/>
        <w:rPr>
          <w:sz w:val="20"/>
          <w:szCs w:val="20"/>
          <w:color w:val="auto"/>
        </w:rPr>
      </w:pPr>
      <w:r>
        <w:rPr>
          <w:rFonts w:ascii="Arial" w:cs="Arial" w:eastAsia="Arial" w:hAnsi="Arial"/>
          <w:sz w:val="20"/>
          <w:szCs w:val="20"/>
          <w:b w:val="1"/>
          <w:bCs w:val="1"/>
          <w:color w:val="00162F"/>
        </w:rPr>
        <w:t>ITEM 6. SELECTED CONSOLIDATED FINANCIAL DATA</w:t>
      </w:r>
    </w:p>
    <w:p>
      <w:pPr>
        <w:spacing w:after="0" w:line="97"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Selected Consolidated Financial Data of AAG</w:t>
      </w:r>
    </w:p>
    <w:p>
      <w:pPr>
        <w:spacing w:after="0" w:line="97"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The selected consolidated financial data presented below under the captions “Consolidated Statements of Operations data” and “Consolidated Balance Sheet data” for the years ended and as of December 31, 2025, 2024 and 2023, are derived from AAG’s audited consolidated financial statements.</w:t>
      </w:r>
    </w:p>
    <w:p>
      <w:pPr>
        <w:spacing w:after="0" w:line="214"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260" w:type="dxa"/>
            <w:vAlign w:val="bottom"/>
            <w:tcBorders>
              <w:bottom w:val="single" w:sz="8" w:color="00162F"/>
            </w:tcBorders>
          </w:tcPr>
          <w:p>
            <w:pPr>
              <w:spacing w:after="0"/>
              <w:rPr>
                <w:sz w:val="18"/>
                <w:szCs w:val="18"/>
                <w:color w:val="auto"/>
              </w:rPr>
            </w:pPr>
          </w:p>
        </w:tc>
        <w:tc>
          <w:tcPr>
            <w:tcW w:w="3120" w:type="dxa"/>
            <w:vAlign w:val="bottom"/>
            <w:tcBorders>
              <w:bottom w:val="single" w:sz="8" w:color="00162F"/>
            </w:tcBorders>
            <w:gridSpan w:val="6"/>
          </w:tcPr>
          <w:p>
            <w:pPr>
              <w:jc w:val="center"/>
              <w:ind w:left="725"/>
              <w:spacing w:after="0"/>
              <w:rPr>
                <w:sz w:val="20"/>
                <w:szCs w:val="20"/>
                <w:color w:val="auto"/>
              </w:rPr>
            </w:pPr>
            <w:r>
              <w:rPr>
                <w:rFonts w:ascii="Arial" w:cs="Arial" w:eastAsia="Arial" w:hAnsi="Arial"/>
                <w:sz w:val="16"/>
                <w:szCs w:val="16"/>
                <w:b w:val="1"/>
                <w:bCs w:val="1"/>
                <w:color w:val="00162F"/>
                <w:w w:val="98"/>
              </w:rPr>
              <w:t>Year Ended December 31,</w:t>
            </w:r>
          </w:p>
        </w:tc>
        <w:tc>
          <w:tcPr>
            <w:tcW w:w="1080" w:type="dxa"/>
            <w:vAlign w:val="bottom"/>
            <w:tcBorders>
              <w:bottom w:val="single" w:sz="8" w:color="00162F"/>
            </w:tcBorders>
          </w:tcPr>
          <w:p>
            <w:pPr>
              <w:spacing w:after="0"/>
              <w:rPr>
                <w:sz w:val="18"/>
                <w:szCs w:val="18"/>
                <w:color w:val="auto"/>
              </w:rPr>
            </w:pPr>
          </w:p>
        </w:tc>
      </w:tr>
      <w:tr>
        <w:trPr>
          <w:trHeight w:val="232"/>
        </w:trPr>
        <w:tc>
          <w:tcPr>
            <w:tcW w:w="6220" w:type="dxa"/>
            <w:vAlign w:val="bottom"/>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1180" w:type="dxa"/>
            <w:vAlign w:val="bottom"/>
            <w:tcBorders>
              <w:bottom w:val="single" w:sz="8" w:color="00162F"/>
            </w:tcBorders>
          </w:tcPr>
          <w:p>
            <w:pPr>
              <w:jc w:val="right"/>
              <w:ind w:right="445"/>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center"/>
              <w:ind w:right="262"/>
              <w:spacing w:after="0"/>
              <w:rPr>
                <w:sz w:val="20"/>
                <w:szCs w:val="20"/>
                <w:color w:val="auto"/>
              </w:rPr>
            </w:pPr>
            <w:r>
              <w:rPr>
                <w:rFonts w:ascii="Arial" w:cs="Arial" w:eastAsia="Arial" w:hAnsi="Arial"/>
                <w:sz w:val="16"/>
                <w:szCs w:val="16"/>
                <w:b w:val="1"/>
                <w:bCs w:val="1"/>
                <w:color w:val="00162F"/>
                <w:w w:val="95"/>
              </w:rPr>
              <w:t>2024</w:t>
            </w:r>
          </w:p>
        </w:tc>
        <w:tc>
          <w:tcPr>
            <w:tcW w:w="60" w:type="dxa"/>
            <w:vAlign w:val="bottom"/>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2"/>
              <w:spacing w:after="0"/>
              <w:rPr>
                <w:sz w:val="20"/>
                <w:szCs w:val="20"/>
                <w:color w:val="auto"/>
              </w:rPr>
            </w:pPr>
            <w:r>
              <w:rPr>
                <w:rFonts w:ascii="Arial" w:cs="Arial" w:eastAsia="Arial" w:hAnsi="Arial"/>
                <w:sz w:val="16"/>
                <w:szCs w:val="16"/>
                <w:b w:val="1"/>
                <w:bCs w:val="1"/>
                <w:color w:val="00162F"/>
              </w:rPr>
              <w:t>2023</w:t>
            </w:r>
          </w:p>
        </w:tc>
      </w:tr>
      <w:tr>
        <w:trPr>
          <w:trHeight w:val="240"/>
        </w:trPr>
        <w:tc>
          <w:tcPr>
            <w:tcW w:w="6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0" w:type="dxa"/>
            <w:vAlign w:val="bottom"/>
            <w:gridSpan w:val="7"/>
          </w:tcPr>
          <w:p>
            <w:pPr>
              <w:jc w:val="center"/>
              <w:ind w:right="162"/>
              <w:spacing w:after="0"/>
              <w:rPr>
                <w:sz w:val="20"/>
                <w:szCs w:val="20"/>
                <w:color w:val="auto"/>
              </w:rPr>
            </w:pPr>
            <w:r>
              <w:rPr>
                <w:rFonts w:ascii="Arial" w:cs="Arial" w:eastAsia="Arial" w:hAnsi="Arial"/>
                <w:sz w:val="16"/>
                <w:szCs w:val="16"/>
                <w:b w:val="1"/>
                <w:bCs w:val="1"/>
                <w:color w:val="00162F"/>
                <w:w w:val="99"/>
              </w:rPr>
              <w:t>(In millions, except share and per share amounts)</w:t>
            </w:r>
          </w:p>
        </w:tc>
      </w:tr>
      <w:tr>
        <w:trPr>
          <w:trHeight w:val="275"/>
        </w:trPr>
        <w:tc>
          <w:tcPr>
            <w:tcW w:w="6220" w:type="dxa"/>
            <w:vAlign w:val="bottom"/>
            <w:tcBorders>
              <w:bottom w:val="single" w:sz="8" w:color="00162F"/>
            </w:tcBorders>
            <w:shd w:val="clear" w:color="auto" w:fill="EDEDED"/>
          </w:tcPr>
          <w:p>
            <w:pPr>
              <w:ind w:left="40"/>
              <w:spacing w:after="0"/>
              <w:rPr>
                <w:sz w:val="20"/>
                <w:szCs w:val="20"/>
                <w:color w:val="auto"/>
              </w:rPr>
            </w:pPr>
            <w:r>
              <w:rPr>
                <w:rFonts w:ascii="Arial" w:cs="Arial" w:eastAsia="Arial" w:hAnsi="Arial"/>
                <w:sz w:val="20"/>
                <w:szCs w:val="20"/>
                <w:b w:val="1"/>
                <w:bCs w:val="1"/>
                <w:color w:val="00162F"/>
              </w:rPr>
              <w:t>Consolidated Statements of Operations data:</w:t>
            </w:r>
          </w:p>
        </w:tc>
        <w:tc>
          <w:tcPr>
            <w:tcW w:w="260" w:type="dxa"/>
            <w:vAlign w:val="bottom"/>
            <w:tcBorders>
              <w:bottom w:val="single" w:sz="8" w:color="EDEDED"/>
            </w:tcBorders>
            <w:shd w:val="clear" w:color="auto" w:fill="EDEDED"/>
          </w:tcPr>
          <w:p>
            <w:pPr>
              <w:spacing w:after="0"/>
              <w:rPr>
                <w:sz w:val="23"/>
                <w:szCs w:val="23"/>
                <w:color w:val="auto"/>
              </w:rPr>
            </w:pPr>
          </w:p>
        </w:tc>
        <w:tc>
          <w:tcPr>
            <w:tcW w:w="118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340" w:type="dxa"/>
            <w:vAlign w:val="bottom"/>
            <w:tcBorders>
              <w:bottom w:val="single" w:sz="8" w:color="EDEDED"/>
            </w:tcBorders>
            <w:shd w:val="clear" w:color="auto" w:fill="EDEDED"/>
          </w:tcPr>
          <w:p>
            <w:pPr>
              <w:spacing w:after="0"/>
              <w:rPr>
                <w:sz w:val="23"/>
                <w:szCs w:val="23"/>
                <w:color w:val="auto"/>
              </w:rPr>
            </w:pPr>
          </w:p>
        </w:tc>
        <w:tc>
          <w:tcPr>
            <w:tcW w:w="110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360" w:type="dxa"/>
            <w:vAlign w:val="bottom"/>
            <w:tcBorders>
              <w:bottom w:val="single" w:sz="8" w:color="EDEDED"/>
            </w:tcBorders>
            <w:shd w:val="clear" w:color="auto" w:fill="EDEDED"/>
          </w:tcPr>
          <w:p>
            <w:pPr>
              <w:spacing w:after="0"/>
              <w:rPr>
                <w:sz w:val="23"/>
                <w:szCs w:val="23"/>
                <w:color w:val="auto"/>
              </w:rPr>
            </w:pPr>
          </w:p>
        </w:tc>
        <w:tc>
          <w:tcPr>
            <w:tcW w:w="1080" w:type="dxa"/>
            <w:vAlign w:val="bottom"/>
            <w:tcBorders>
              <w:bottom w:val="single" w:sz="8" w:color="EDEDED"/>
            </w:tcBorders>
            <w:shd w:val="clear" w:color="auto" w:fill="EDEDED"/>
          </w:tcPr>
          <w:p>
            <w:pPr>
              <w:spacing w:after="0"/>
              <w:rPr>
                <w:sz w:val="23"/>
                <w:szCs w:val="23"/>
                <w:color w:val="auto"/>
              </w:rPr>
            </w:pPr>
          </w:p>
        </w:tc>
      </w:tr>
      <w:tr>
        <w:trPr>
          <w:trHeight w:val="283"/>
        </w:trPr>
        <w:tc>
          <w:tcPr>
            <w:tcW w:w="6220" w:type="dxa"/>
            <w:vAlign w:val="bottom"/>
          </w:tcPr>
          <w:p>
            <w:pPr>
              <w:ind w:left="40"/>
              <w:spacing w:after="0"/>
              <w:rPr>
                <w:sz w:val="20"/>
                <w:szCs w:val="20"/>
                <w:color w:val="auto"/>
              </w:rPr>
            </w:pPr>
            <w:r>
              <w:rPr>
                <w:rFonts w:ascii="Arial" w:cs="Arial" w:eastAsia="Arial" w:hAnsi="Arial"/>
                <w:sz w:val="20"/>
                <w:szCs w:val="20"/>
                <w:color w:val="00162F"/>
              </w:rPr>
              <w:t>Total operating revenues</w:t>
            </w:r>
          </w:p>
        </w:tc>
        <w:tc>
          <w:tcPr>
            <w:tcW w:w="260" w:type="dxa"/>
            <w:vAlign w:val="bottom"/>
          </w:tcPr>
          <w:p>
            <w:pPr>
              <w:jc w:val="right"/>
              <w:ind w:right="1"/>
              <w:spacing w:after="0"/>
              <w:rPr>
                <w:sz w:val="20"/>
                <w:szCs w:val="20"/>
                <w:color w:val="auto"/>
              </w:rPr>
            </w:pPr>
            <w:r>
              <w:rPr>
                <w:rFonts w:ascii="Arial" w:cs="Arial" w:eastAsia="Arial" w:hAnsi="Arial"/>
                <w:sz w:val="20"/>
                <w:szCs w:val="20"/>
                <w:color w:val="00162F"/>
              </w:rPr>
              <w:t>$</w:t>
            </w:r>
          </w:p>
        </w:tc>
        <w:tc>
          <w:tcPr>
            <w:tcW w:w="1180" w:type="dxa"/>
            <w:vAlign w:val="bottom"/>
          </w:tcPr>
          <w:p>
            <w:pPr>
              <w:jc w:val="right"/>
              <w:spacing w:after="0"/>
              <w:rPr>
                <w:sz w:val="20"/>
                <w:szCs w:val="20"/>
                <w:color w:val="auto"/>
              </w:rPr>
            </w:pPr>
            <w:r>
              <w:rPr>
                <w:rFonts w:ascii="Arial" w:cs="Arial" w:eastAsia="Arial" w:hAnsi="Arial"/>
                <w:sz w:val="20"/>
                <w:szCs w:val="20"/>
                <w:color w:val="00162F"/>
              </w:rPr>
              <w:t>54,633</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54,211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52,788</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Total operating expenses</w:t>
            </w:r>
          </w:p>
        </w:tc>
        <w:tc>
          <w:tcPr>
            <w:tcW w:w="26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53,166</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51,597</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49,754</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Operating income</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1,467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2,614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3,034</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Net income</w:t>
            </w:r>
          </w:p>
        </w:tc>
        <w:tc>
          <w:tcPr>
            <w:tcW w:w="26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111</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846</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822</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Earnings per common share:</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Basic</w:t>
            </w:r>
          </w:p>
        </w:tc>
        <w:tc>
          <w:tcPr>
            <w:tcW w:w="260" w:type="dxa"/>
            <w:vAlign w:val="bottom"/>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0.17</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1.29</w:t>
            </w:r>
          </w:p>
        </w:tc>
        <w:tc>
          <w:tcPr>
            <w:tcW w:w="420" w:type="dxa"/>
            <w:vAlign w:val="bottom"/>
            <w:gridSpan w:val="2"/>
            <w:shd w:val="clear" w:color="auto" w:fill="EDEDED"/>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1.26</w:t>
            </w:r>
          </w:p>
        </w:tc>
      </w:tr>
      <w:tr>
        <w:trPr>
          <w:trHeight w:val="293"/>
        </w:trPr>
        <w:tc>
          <w:tcPr>
            <w:tcW w:w="6220" w:type="dxa"/>
            <w:vAlign w:val="bottom"/>
          </w:tcPr>
          <w:p>
            <w:pPr>
              <w:ind w:left="180"/>
              <w:spacing w:after="0"/>
              <w:rPr>
                <w:sz w:val="20"/>
                <w:szCs w:val="20"/>
                <w:color w:val="auto"/>
              </w:rPr>
            </w:pPr>
            <w:r>
              <w:rPr>
                <w:rFonts w:ascii="Arial" w:cs="Arial" w:eastAsia="Arial" w:hAnsi="Arial"/>
                <w:sz w:val="20"/>
                <w:szCs w:val="20"/>
                <w:color w:val="00162F"/>
              </w:rPr>
              <w:t>Diluted</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0.17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1.24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1.21</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Weighted average shares outstanding (in thousands):</w:t>
            </w:r>
          </w:p>
        </w:tc>
        <w:tc>
          <w:tcPr>
            <w:tcW w:w="260" w:type="dxa"/>
            <w:vAlign w:val="bottom"/>
            <w:shd w:val="clear" w:color="auto" w:fill="EDEDED"/>
          </w:tcPr>
          <w:p>
            <w:pPr>
              <w:spacing w:after="0"/>
              <w:rPr>
                <w:sz w:val="24"/>
                <w:szCs w:val="24"/>
                <w:color w:val="auto"/>
              </w:rPr>
            </w:pPr>
          </w:p>
        </w:tc>
        <w:tc>
          <w:tcPr>
            <w:tcW w:w="11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r>
      <w:tr>
        <w:trPr>
          <w:trHeight w:val="293"/>
        </w:trPr>
        <w:tc>
          <w:tcPr>
            <w:tcW w:w="6220" w:type="dxa"/>
            <w:vAlign w:val="bottom"/>
          </w:tcPr>
          <w:p>
            <w:pPr>
              <w:ind w:left="180"/>
              <w:spacing w:after="0"/>
              <w:rPr>
                <w:sz w:val="20"/>
                <w:szCs w:val="20"/>
                <w:color w:val="auto"/>
              </w:rPr>
            </w:pPr>
            <w:r>
              <w:rPr>
                <w:rFonts w:ascii="Arial" w:cs="Arial" w:eastAsia="Arial" w:hAnsi="Arial"/>
                <w:sz w:val="20"/>
                <w:szCs w:val="20"/>
                <w:color w:val="00162F"/>
              </w:rPr>
              <w:t>Basic</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659,964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656,996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653,612</w:t>
            </w:r>
          </w:p>
        </w:tc>
      </w:tr>
      <w:tr>
        <w:trPr>
          <w:trHeight w:val="301"/>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Diluted</w:t>
            </w:r>
          </w:p>
        </w:tc>
        <w:tc>
          <w:tcPr>
            <w:tcW w:w="26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661,052</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721,300</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719,669</w:t>
            </w:r>
          </w:p>
        </w:tc>
      </w:tr>
      <w:tr>
        <w:trPr>
          <w:trHeight w:val="282"/>
        </w:trPr>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2"/>
        </w:trPr>
        <w:tc>
          <w:tcPr>
            <w:tcW w:w="6220" w:type="dxa"/>
            <w:vAlign w:val="bottom"/>
            <w:tcBorders>
              <w:bottom w:val="single" w:sz="8" w:color="00162F"/>
            </w:tcBorders>
            <w:shd w:val="clear" w:color="auto" w:fill="EDEDED"/>
          </w:tcPr>
          <w:p>
            <w:pPr>
              <w:ind w:left="40"/>
              <w:spacing w:after="0"/>
              <w:rPr>
                <w:sz w:val="20"/>
                <w:szCs w:val="20"/>
                <w:color w:val="auto"/>
              </w:rPr>
            </w:pPr>
            <w:r>
              <w:rPr>
                <w:rFonts w:ascii="Arial" w:cs="Arial" w:eastAsia="Arial" w:hAnsi="Arial"/>
                <w:sz w:val="20"/>
                <w:szCs w:val="20"/>
                <w:b w:val="1"/>
                <w:bCs w:val="1"/>
                <w:color w:val="00162F"/>
              </w:rPr>
              <w:t>Consolidated Balance Sheet data (at end of period):</w:t>
            </w:r>
          </w:p>
        </w:tc>
        <w:tc>
          <w:tcPr>
            <w:tcW w:w="260" w:type="dxa"/>
            <w:vAlign w:val="bottom"/>
            <w:tcBorders>
              <w:bottom w:val="single" w:sz="8" w:color="EDEDED"/>
            </w:tcBorders>
            <w:shd w:val="clear" w:color="auto" w:fill="EDEDED"/>
          </w:tcPr>
          <w:p>
            <w:pPr>
              <w:spacing w:after="0"/>
              <w:rPr>
                <w:sz w:val="23"/>
                <w:szCs w:val="23"/>
                <w:color w:val="auto"/>
              </w:rPr>
            </w:pPr>
          </w:p>
        </w:tc>
        <w:tc>
          <w:tcPr>
            <w:tcW w:w="118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340" w:type="dxa"/>
            <w:vAlign w:val="bottom"/>
            <w:tcBorders>
              <w:bottom w:val="single" w:sz="8" w:color="EDEDED"/>
            </w:tcBorders>
            <w:shd w:val="clear" w:color="auto" w:fill="EDEDED"/>
          </w:tcPr>
          <w:p>
            <w:pPr>
              <w:spacing w:after="0"/>
              <w:rPr>
                <w:sz w:val="23"/>
                <w:szCs w:val="23"/>
                <w:color w:val="auto"/>
              </w:rPr>
            </w:pPr>
          </w:p>
        </w:tc>
        <w:tc>
          <w:tcPr>
            <w:tcW w:w="110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360" w:type="dxa"/>
            <w:vAlign w:val="bottom"/>
            <w:tcBorders>
              <w:bottom w:val="single" w:sz="8" w:color="EDEDED"/>
            </w:tcBorders>
            <w:shd w:val="clear" w:color="auto" w:fill="EDEDED"/>
          </w:tcPr>
          <w:p>
            <w:pPr>
              <w:spacing w:after="0"/>
              <w:rPr>
                <w:sz w:val="23"/>
                <w:szCs w:val="23"/>
                <w:color w:val="auto"/>
              </w:rPr>
            </w:pPr>
          </w:p>
        </w:tc>
        <w:tc>
          <w:tcPr>
            <w:tcW w:w="1080" w:type="dxa"/>
            <w:vAlign w:val="bottom"/>
            <w:tcBorders>
              <w:bottom w:val="single" w:sz="8" w:color="EDEDED"/>
            </w:tcBorders>
            <w:shd w:val="clear" w:color="auto" w:fill="EDEDED"/>
          </w:tcPr>
          <w:p>
            <w:pPr>
              <w:spacing w:after="0"/>
              <w:rPr>
                <w:sz w:val="23"/>
                <w:szCs w:val="23"/>
                <w:color w:val="auto"/>
              </w:rPr>
            </w:pPr>
          </w:p>
        </w:tc>
      </w:tr>
      <w:tr>
        <w:trPr>
          <w:trHeight w:val="283"/>
        </w:trPr>
        <w:tc>
          <w:tcPr>
            <w:tcW w:w="6220" w:type="dxa"/>
            <w:vAlign w:val="bottom"/>
          </w:tcPr>
          <w:p>
            <w:pPr>
              <w:ind w:left="40"/>
              <w:spacing w:after="0"/>
              <w:rPr>
                <w:sz w:val="20"/>
                <w:szCs w:val="20"/>
                <w:color w:val="auto"/>
              </w:rPr>
            </w:pPr>
            <w:r>
              <w:rPr>
                <w:rFonts w:ascii="Arial" w:cs="Arial" w:eastAsia="Arial" w:hAnsi="Arial"/>
                <w:sz w:val="20"/>
                <w:szCs w:val="20"/>
                <w:color w:val="00162F"/>
              </w:rPr>
              <w:t>Total assets</w:t>
            </w:r>
          </w:p>
        </w:tc>
        <w:tc>
          <w:tcPr>
            <w:tcW w:w="260" w:type="dxa"/>
            <w:vAlign w:val="bottom"/>
          </w:tcPr>
          <w:p>
            <w:pPr>
              <w:jc w:val="right"/>
              <w:ind w:right="1"/>
              <w:spacing w:after="0"/>
              <w:rPr>
                <w:sz w:val="20"/>
                <w:szCs w:val="20"/>
                <w:color w:val="auto"/>
              </w:rPr>
            </w:pPr>
            <w:r>
              <w:rPr>
                <w:rFonts w:ascii="Arial" w:cs="Arial" w:eastAsia="Arial" w:hAnsi="Arial"/>
                <w:sz w:val="20"/>
                <w:szCs w:val="20"/>
                <w:color w:val="00162F"/>
              </w:rPr>
              <w:t>$</w:t>
            </w:r>
          </w:p>
        </w:tc>
        <w:tc>
          <w:tcPr>
            <w:tcW w:w="1180" w:type="dxa"/>
            <w:vAlign w:val="bottom"/>
          </w:tcPr>
          <w:p>
            <w:pPr>
              <w:jc w:val="right"/>
              <w:spacing w:after="0"/>
              <w:rPr>
                <w:sz w:val="20"/>
                <w:szCs w:val="20"/>
                <w:color w:val="auto"/>
              </w:rPr>
            </w:pPr>
            <w:r>
              <w:rPr>
                <w:rFonts w:ascii="Arial" w:cs="Arial" w:eastAsia="Arial" w:hAnsi="Arial"/>
                <w:sz w:val="20"/>
                <w:szCs w:val="20"/>
                <w:color w:val="00162F"/>
              </w:rPr>
              <w:t>61,774</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61,783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63,058</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Debt and finance leases</w:t>
            </w:r>
          </w:p>
        </w:tc>
        <w:tc>
          <w:tcPr>
            <w:tcW w:w="26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29,007</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30,476</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32,902</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 xml:space="preserve">Pension and postretirement obligations </w:t>
            </w:r>
            <w:r>
              <w:rPr>
                <w:rFonts w:ascii="Arial" w:cs="Arial" w:eastAsia="Arial" w:hAnsi="Arial"/>
                <w:sz w:val="12"/>
                <w:szCs w:val="12"/>
                <w:color w:val="00162F"/>
              </w:rPr>
              <w:t>(1)</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1,680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2,275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3,171</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Operating lease liabilities</w:t>
            </w:r>
          </w:p>
        </w:tc>
        <w:tc>
          <w:tcPr>
            <w:tcW w:w="26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6,963</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7,068</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7,761</w:t>
            </w:r>
          </w:p>
        </w:tc>
      </w:tr>
      <w:tr>
        <w:trPr>
          <w:trHeight w:val="290"/>
        </w:trPr>
        <w:tc>
          <w:tcPr>
            <w:tcW w:w="6220" w:type="dxa"/>
            <w:vAlign w:val="bottom"/>
          </w:tcPr>
          <w:p>
            <w:pPr>
              <w:ind w:left="40"/>
              <w:spacing w:after="0"/>
              <w:rPr>
                <w:sz w:val="20"/>
                <w:szCs w:val="20"/>
                <w:color w:val="auto"/>
              </w:rPr>
            </w:pPr>
            <w:r>
              <w:rPr>
                <w:rFonts w:ascii="Arial" w:cs="Arial" w:eastAsia="Arial" w:hAnsi="Arial"/>
                <w:sz w:val="20"/>
                <w:szCs w:val="20"/>
                <w:color w:val="00162F"/>
              </w:rPr>
              <w:t>Stockholders’ deficit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(3,727)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(3,977)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(5,202)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125412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04" w:lineRule="exact"/>
        <w:rPr>
          <w:sz w:val="20"/>
          <w:szCs w:val="20"/>
          <w:color w:val="auto"/>
        </w:rPr>
      </w:pPr>
    </w:p>
    <w:p>
      <w:pPr>
        <w:ind w:left="365" w:hanging="365"/>
        <w:spacing w:after="0" w:line="282" w:lineRule="auto"/>
        <w:tabs>
          <w:tab w:leader="none" w:pos="365" w:val="left"/>
        </w:tabs>
        <w:numPr>
          <w:ilvl w:val="0"/>
          <w:numId w:val="26"/>
        </w:numPr>
        <w:rPr>
          <w:rFonts w:ascii="Arial" w:cs="Arial" w:eastAsia="Arial" w:hAnsi="Arial"/>
          <w:sz w:val="13"/>
          <w:szCs w:val="13"/>
          <w:color w:val="00162F"/>
        </w:rPr>
      </w:pPr>
      <w:r>
        <w:rPr>
          <w:rFonts w:ascii="Arial" w:cs="Arial" w:eastAsia="Arial" w:hAnsi="Arial"/>
          <w:sz w:val="20"/>
          <w:szCs w:val="20"/>
          <w:color w:val="00162F"/>
        </w:rPr>
        <w:t>Substantially all defined benefit pension plans were frozen effective November 1, 2012. See Note 9 to AAG's Consolidated Financial Statements in Part II, Item 8A for further information on pension and postretirement benefits.</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Reconciliation of GAAP to Non-GAAP Financial Measures</w:t>
      </w:r>
    </w:p>
    <w:p>
      <w:pPr>
        <w:spacing w:after="0" w:line="97" w:lineRule="exact"/>
        <w:rPr>
          <w:sz w:val="20"/>
          <w:szCs w:val="20"/>
          <w:color w:val="auto"/>
        </w:rPr>
      </w:pPr>
    </w:p>
    <w:p>
      <w:pPr>
        <w:jc w:val="both"/>
        <w:ind w:left="5" w:firstLine="267"/>
        <w:spacing w:after="0" w:line="252" w:lineRule="auto"/>
        <w:rPr>
          <w:sz w:val="20"/>
          <w:szCs w:val="20"/>
          <w:color w:val="auto"/>
        </w:rPr>
      </w:pPr>
      <w:r>
        <w:rPr>
          <w:rFonts w:ascii="Arial" w:cs="Arial" w:eastAsia="Arial" w:hAnsi="Arial"/>
          <w:sz w:val="20"/>
          <w:szCs w:val="20"/>
          <w:color w:val="00162F"/>
        </w:rPr>
        <w:t>We sometimes use financial measures that are derived from the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ectPr>
          <w:pgSz w:w="11880" w:h="15480" w:orient="portrait"/>
          <w:cols w:equalWidth="0" w:num="1">
            <w:col w:w="10685"/>
          </w:cols>
          <w:pgMar w:left="595"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58</w:t>
      </w:r>
    </w:p>
    <w:p>
      <w:pPr>
        <w:sectPr>
          <w:pgSz w:w="11880" w:h="15480" w:orient="portrait"/>
          <w:cols w:equalWidth="0" w:num="1">
            <w:col w:w="10685"/>
          </w:cols>
          <w:pgMar w:left="595" w:top="992" w:right="600" w:bottom="0" w:gutter="0" w:footer="0" w:header="0"/>
          <w:type w:val="continuous"/>
        </w:sectPr>
      </w:pPr>
    </w:p>
    <w:bookmarkStart w:id="59" w:name="page60"/>
    <w:bookmarkEnd w:id="59"/>
    <w:p>
      <w:pPr>
        <w:jc w:val="both"/>
        <w:ind w:left="5" w:firstLine="267"/>
        <w:spacing w:after="0" w:line="254" w:lineRule="auto"/>
        <w:rPr>
          <w:sz w:val="20"/>
          <w:szCs w:val="20"/>
          <w:color w:val="auto"/>
        </w:rPr>
      </w:pPr>
      <w:r>
        <w:rPr>
          <w:rFonts w:ascii="Arial" w:cs="Arial" w:eastAsia="Arial" w:hAnsi="Arial"/>
          <w:sz w:val="20"/>
          <w:szCs w:val="20"/>
          <w:color w:val="00162F"/>
        </w:rPr>
        <w:t>The following table presents the components of our net special items and the reconciliation of pre-tax income and net income (GAAP measures) to pre-tax income excluding net special items and net income excluding net special items (non-GAAP measures). Management uses these non-GAAP financial measures to evaluate our current operating performance and to allow for period-to-period comparisons. As net special items may vary from period-to-period in nature and amount, the adjustment to exclude net special items provides management with an additional tool to understand our core operating performance.</w:t>
      </w:r>
    </w:p>
    <w:p>
      <w:pPr>
        <w:spacing w:after="0" w:line="205" w:lineRule="exact"/>
        <w:rPr>
          <w:sz w:val="20"/>
          <w:szCs w:val="20"/>
          <w:color w:val="auto"/>
        </w:rPr>
      </w:pPr>
    </w:p>
    <w:tbl>
      <w:tblPr>
        <w:tblLayout w:type="fixed"/>
        <w:tblInd w:w="5"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760" w:type="dxa"/>
            <w:vAlign w:val="bottom"/>
            <w:tcBorders>
              <w:bottom w:val="single" w:sz="8" w:color="00162F"/>
            </w:tcBorders>
            <w:gridSpan w:val="4"/>
          </w:tcPr>
          <w:p>
            <w:pPr>
              <w:jc w:val="right"/>
              <w:ind w:right="21"/>
              <w:spacing w:after="0"/>
              <w:rPr>
                <w:sz w:val="20"/>
                <w:szCs w:val="20"/>
                <w:color w:val="auto"/>
              </w:rPr>
            </w:pPr>
            <w:r>
              <w:rPr>
                <w:rFonts w:ascii="Arial" w:cs="Arial" w:eastAsia="Arial" w:hAnsi="Arial"/>
                <w:sz w:val="16"/>
                <w:szCs w:val="16"/>
                <w:b w:val="1"/>
                <w:bCs w:val="1"/>
                <w:color w:val="00162F"/>
              </w:rPr>
              <w:t>Year Ended December 31,</w:t>
            </w:r>
          </w:p>
        </w:tc>
        <w:tc>
          <w:tcPr>
            <w:tcW w:w="600" w:type="dxa"/>
            <w:vAlign w:val="bottom"/>
            <w:tcBorders>
              <w:bottom w:val="single" w:sz="8" w:color="00162F"/>
            </w:tcBorders>
          </w:tcPr>
          <w:p>
            <w:pPr>
              <w:spacing w:after="0"/>
              <w:rPr>
                <w:sz w:val="20"/>
                <w:szCs w:val="20"/>
                <w:color w:val="auto"/>
              </w:rPr>
            </w:pPr>
          </w:p>
        </w:tc>
      </w:tr>
      <w:tr>
        <w:trPr>
          <w:trHeight w:val="233"/>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20" w:type="dxa"/>
            <w:vAlign w:val="bottom"/>
            <w:tcBorders>
              <w:bottom w:val="single" w:sz="8" w:color="00162F"/>
            </w:tcBorders>
          </w:tcPr>
          <w:p>
            <w:pPr>
              <w:jc w:val="right"/>
              <w:ind w:right="26"/>
              <w:spacing w:after="0"/>
              <w:rPr>
                <w:sz w:val="20"/>
                <w:szCs w:val="20"/>
                <w:color w:val="auto"/>
              </w:rPr>
            </w:pPr>
            <w:r>
              <w:rPr>
                <w:rFonts w:ascii="Arial" w:cs="Arial" w:eastAsia="Arial" w:hAnsi="Arial"/>
                <w:sz w:val="16"/>
                <w:szCs w:val="16"/>
                <w:b w:val="1"/>
                <w:bCs w:val="1"/>
                <w:color w:val="00162F"/>
              </w:rPr>
              <w:t>2025</w:t>
            </w:r>
          </w:p>
        </w:tc>
        <w:tc>
          <w:tcPr>
            <w:tcW w:w="520" w:type="dxa"/>
            <w:vAlign w:val="bottom"/>
            <w:tcBorders>
              <w:bottom w:val="single" w:sz="8" w:color="00162F"/>
            </w:tcBorders>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2024</w:t>
            </w:r>
          </w:p>
        </w:tc>
        <w:tc>
          <w:tcPr>
            <w:tcW w:w="600" w:type="dxa"/>
            <w:vAlign w:val="bottom"/>
            <w:tcBorders>
              <w:bottom w:val="single" w:sz="8" w:color="00162F"/>
            </w:tcBorders>
          </w:tcPr>
          <w:p>
            <w:pPr>
              <w:spacing w:after="0"/>
              <w:rPr>
                <w:sz w:val="20"/>
                <w:szCs w:val="20"/>
                <w:color w:val="auto"/>
              </w:rPr>
            </w:pPr>
          </w:p>
        </w:tc>
      </w:tr>
      <w:tr>
        <w:trPr>
          <w:trHeight w:val="24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40" w:type="dxa"/>
            <w:vAlign w:val="bottom"/>
            <w:gridSpan w:val="3"/>
          </w:tcPr>
          <w:p>
            <w:pPr>
              <w:jc w:val="right"/>
              <w:ind w:right="561"/>
              <w:spacing w:after="0"/>
              <w:rPr>
                <w:sz w:val="20"/>
                <w:szCs w:val="20"/>
                <w:color w:val="auto"/>
              </w:rPr>
            </w:pPr>
            <w:r>
              <w:rPr>
                <w:rFonts w:ascii="Arial" w:cs="Arial" w:eastAsia="Arial" w:hAnsi="Arial"/>
                <w:sz w:val="16"/>
                <w:szCs w:val="16"/>
                <w:b w:val="1"/>
                <w:bCs w:val="1"/>
                <w:color w:val="00162F"/>
              </w:rPr>
              <w:t>(In millions)</w:t>
            </w:r>
          </w:p>
        </w:tc>
        <w:tc>
          <w:tcPr>
            <w:tcW w:w="600" w:type="dxa"/>
            <w:vAlign w:val="bottom"/>
          </w:tcPr>
          <w:p>
            <w:pPr>
              <w:spacing w:after="0"/>
              <w:rPr>
                <w:sz w:val="20"/>
                <w:szCs w:val="20"/>
                <w:color w:val="auto"/>
              </w:rPr>
            </w:pPr>
          </w:p>
        </w:tc>
      </w:tr>
      <w:tr>
        <w:trPr>
          <w:trHeight w:val="290"/>
        </w:trPr>
        <w:tc>
          <w:tcPr>
            <w:tcW w:w="40" w:type="dxa"/>
            <w:vAlign w:val="bottom"/>
            <w:tcBorders>
              <w:bottom w:val="single" w:sz="8" w:color="00162F"/>
            </w:tcBorders>
            <w:shd w:val="clear" w:color="auto" w:fill="EDEDED"/>
          </w:tcPr>
          <w:p>
            <w:pPr>
              <w:spacing w:after="0"/>
              <w:rPr>
                <w:sz w:val="24"/>
                <w:szCs w:val="24"/>
                <w:color w:val="auto"/>
              </w:rPr>
            </w:pPr>
          </w:p>
        </w:tc>
        <w:tc>
          <w:tcPr>
            <w:tcW w:w="7280" w:type="dxa"/>
            <w:vAlign w:val="bottom"/>
            <w:tcBorders>
              <w:bottom w:val="single" w:sz="8" w:color="00162F"/>
            </w:tcBorders>
            <w:gridSpan w:val="3"/>
            <w:shd w:val="clear" w:color="auto" w:fill="EDEDED"/>
          </w:tcPr>
          <w:p>
            <w:pPr>
              <w:spacing w:after="0"/>
              <w:rPr>
                <w:sz w:val="20"/>
                <w:szCs w:val="20"/>
                <w:color w:val="auto"/>
              </w:rPr>
            </w:pPr>
            <w:r>
              <w:rPr>
                <w:rFonts w:ascii="Arial" w:cs="Arial" w:eastAsia="Arial" w:hAnsi="Arial"/>
                <w:sz w:val="20"/>
                <w:szCs w:val="20"/>
                <w:b w:val="1"/>
                <w:bCs w:val="1"/>
                <w:color w:val="00162F"/>
              </w:rPr>
              <w:t xml:space="preserve">Components of Special Items, Net: </w:t>
            </w:r>
            <w:r>
              <w:rPr>
                <w:rFonts w:ascii="Arial" w:cs="Arial" w:eastAsia="Arial" w:hAnsi="Arial"/>
                <w:sz w:val="12"/>
                <w:szCs w:val="12"/>
                <w:b w:val="1"/>
                <w:bCs w:val="1"/>
                <w:color w:val="00162F"/>
              </w:rPr>
              <w:t>(1)</w:t>
            </w:r>
          </w:p>
        </w:tc>
        <w:tc>
          <w:tcPr>
            <w:tcW w:w="1120" w:type="dxa"/>
            <w:vAlign w:val="bottom"/>
            <w:tcBorders>
              <w:bottom w:val="single" w:sz="8" w:color="EDEDED"/>
            </w:tcBorders>
            <w:shd w:val="clear" w:color="auto" w:fill="EDEDED"/>
          </w:tcPr>
          <w:p>
            <w:pPr>
              <w:spacing w:after="0"/>
              <w:rPr>
                <w:sz w:val="24"/>
                <w:szCs w:val="24"/>
                <w:color w:val="auto"/>
              </w:rPr>
            </w:pPr>
          </w:p>
        </w:tc>
        <w:tc>
          <w:tcPr>
            <w:tcW w:w="5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600" w:type="dxa"/>
            <w:vAlign w:val="bottom"/>
            <w:tcBorders>
              <w:bottom w:val="single" w:sz="8" w:color="EDEDED"/>
            </w:tcBorders>
            <w:shd w:val="clear" w:color="auto" w:fill="EDEDED"/>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7280" w:type="dxa"/>
            <w:vAlign w:val="bottom"/>
            <w:gridSpan w:val="3"/>
          </w:tcPr>
          <w:p>
            <w:pPr>
              <w:spacing w:after="0"/>
              <w:rPr>
                <w:sz w:val="20"/>
                <w:szCs w:val="20"/>
                <w:color w:val="auto"/>
              </w:rPr>
            </w:pPr>
            <w:r>
              <w:rPr>
                <w:rFonts w:ascii="Arial" w:cs="Arial" w:eastAsia="Arial" w:hAnsi="Arial"/>
                <w:sz w:val="20"/>
                <w:szCs w:val="20"/>
                <w:color w:val="00162F"/>
              </w:rPr>
              <w:t>Litigation reserve adjustments</w:t>
            </w:r>
          </w:p>
        </w:tc>
        <w:tc>
          <w:tcPr>
            <w:tcW w:w="1120" w:type="dxa"/>
            <w:vAlign w:val="bottom"/>
          </w:tcPr>
          <w:p>
            <w:pPr>
              <w:jc w:val="right"/>
              <w:ind w:right="866"/>
              <w:spacing w:after="0"/>
              <w:rPr>
                <w:sz w:val="20"/>
                <w:szCs w:val="20"/>
                <w:color w:val="auto"/>
              </w:rPr>
            </w:pPr>
            <w:r>
              <w:rPr>
                <w:rFonts w:ascii="Arial" w:cs="Arial" w:eastAsia="Arial" w:hAnsi="Arial"/>
                <w:sz w:val="20"/>
                <w:szCs w:val="20"/>
                <w:color w:val="00162F"/>
              </w:rPr>
              <w:t>$</w:t>
            </w:r>
          </w:p>
        </w:tc>
        <w:tc>
          <w:tcPr>
            <w:tcW w:w="520" w:type="dxa"/>
            <w:vAlign w:val="bottom"/>
          </w:tcPr>
          <w:p>
            <w:pPr>
              <w:jc w:val="right"/>
              <w:spacing w:after="0"/>
              <w:rPr>
                <w:sz w:val="20"/>
                <w:szCs w:val="20"/>
                <w:color w:val="auto"/>
              </w:rPr>
            </w:pPr>
            <w:r>
              <w:rPr>
                <w:rFonts w:ascii="Arial" w:cs="Arial" w:eastAsia="Arial" w:hAnsi="Arial"/>
                <w:sz w:val="20"/>
                <w:szCs w:val="20"/>
                <w:color w:val="00162F"/>
              </w:rPr>
              <w:t>77</w:t>
            </w:r>
          </w:p>
        </w:tc>
        <w:tc>
          <w:tcPr>
            <w:tcW w:w="1120" w:type="dxa"/>
            <w:vAlign w:val="bottom"/>
            <w:gridSpan w:val="2"/>
          </w:tcPr>
          <w:p>
            <w:pPr>
              <w:jc w:val="right"/>
              <w:ind w:right="801"/>
              <w:spacing w:after="0"/>
              <w:rPr>
                <w:sz w:val="20"/>
                <w:szCs w:val="20"/>
                <w:color w:val="auto"/>
              </w:rPr>
            </w:pPr>
            <w:r>
              <w:rPr>
                <w:rFonts w:ascii="Arial" w:cs="Arial" w:eastAsia="Arial" w:hAnsi="Arial"/>
                <w:sz w:val="20"/>
                <w:szCs w:val="20"/>
                <w:color w:val="00162F"/>
              </w:rPr>
              <w:t>$</w:t>
            </w:r>
          </w:p>
        </w:tc>
        <w:tc>
          <w:tcPr>
            <w:tcW w:w="600" w:type="dxa"/>
            <w:vAlign w:val="bottom"/>
          </w:tcPr>
          <w:p>
            <w:pPr>
              <w:jc w:val="right"/>
              <w:spacing w:after="0"/>
              <w:rPr>
                <w:sz w:val="20"/>
                <w:szCs w:val="20"/>
                <w:color w:val="auto"/>
              </w:rPr>
            </w:pPr>
            <w:r>
              <w:rPr>
                <w:rFonts w:ascii="Arial" w:cs="Arial" w:eastAsia="Arial" w:hAnsi="Arial"/>
                <w:sz w:val="20"/>
                <w:szCs w:val="20"/>
                <w:color w:val="00162F"/>
              </w:rPr>
              <w:t>—</w:t>
            </w:r>
          </w:p>
        </w:tc>
      </w:tr>
      <w:tr>
        <w:trPr>
          <w:trHeight w:val="301"/>
        </w:trPr>
        <w:tc>
          <w:tcPr>
            <w:tcW w:w="40" w:type="dxa"/>
            <w:vAlign w:val="bottom"/>
            <w:shd w:val="clear" w:color="auto" w:fill="EDEDED"/>
          </w:tcPr>
          <w:p>
            <w:pPr>
              <w:spacing w:after="0"/>
              <w:rPr>
                <w:sz w:val="24"/>
                <w:szCs w:val="24"/>
                <w:color w:val="auto"/>
              </w:rPr>
            </w:pPr>
          </w:p>
        </w:tc>
        <w:tc>
          <w:tcPr>
            <w:tcW w:w="7280" w:type="dxa"/>
            <w:vAlign w:val="bottom"/>
            <w:gridSpan w:val="3"/>
            <w:shd w:val="clear" w:color="auto" w:fill="EDEDED"/>
          </w:tcPr>
          <w:p>
            <w:pPr>
              <w:spacing w:after="0"/>
              <w:rPr>
                <w:sz w:val="20"/>
                <w:szCs w:val="20"/>
                <w:color w:val="auto"/>
              </w:rPr>
            </w:pPr>
            <w:r>
              <w:rPr>
                <w:rFonts w:ascii="Arial" w:cs="Arial" w:eastAsia="Arial" w:hAnsi="Arial"/>
                <w:sz w:val="20"/>
                <w:szCs w:val="20"/>
                <w:color w:val="00162F"/>
              </w:rPr>
              <w:t xml:space="preserve">Labor contract expenses </w:t>
            </w:r>
            <w:r>
              <w:rPr>
                <w:rFonts w:ascii="Arial" w:cs="Arial" w:eastAsia="Arial" w:hAnsi="Arial"/>
                <w:sz w:val="12"/>
                <w:szCs w:val="12"/>
                <w:color w:val="00162F"/>
              </w:rPr>
              <w:t>(2)</w:t>
            </w:r>
          </w:p>
        </w:tc>
        <w:tc>
          <w:tcPr>
            <w:tcW w:w="112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31</w:t>
            </w:r>
          </w:p>
        </w:tc>
        <w:tc>
          <w:tcPr>
            <w:tcW w:w="8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605</w:t>
            </w:r>
          </w:p>
        </w:tc>
      </w:tr>
      <w:tr>
        <w:trPr>
          <w:trHeight w:val="293"/>
        </w:trPr>
        <w:tc>
          <w:tcPr>
            <w:tcW w:w="40" w:type="dxa"/>
            <w:vAlign w:val="bottom"/>
          </w:tcPr>
          <w:p>
            <w:pPr>
              <w:spacing w:after="0"/>
              <w:rPr>
                <w:sz w:val="24"/>
                <w:szCs w:val="24"/>
                <w:color w:val="auto"/>
              </w:rPr>
            </w:pPr>
          </w:p>
        </w:tc>
        <w:tc>
          <w:tcPr>
            <w:tcW w:w="7280" w:type="dxa"/>
            <w:vAlign w:val="bottom"/>
            <w:gridSpan w:val="3"/>
          </w:tcPr>
          <w:p>
            <w:pPr>
              <w:spacing w:after="0"/>
              <w:rPr>
                <w:sz w:val="20"/>
                <w:szCs w:val="20"/>
                <w:color w:val="auto"/>
              </w:rPr>
            </w:pPr>
            <w:r>
              <w:rPr>
                <w:rFonts w:ascii="Arial" w:cs="Arial" w:eastAsia="Arial" w:hAnsi="Arial"/>
                <w:sz w:val="20"/>
                <w:szCs w:val="20"/>
                <w:color w:val="00162F"/>
              </w:rPr>
              <w:t>Severance expenses</w:t>
            </w:r>
          </w:p>
        </w:tc>
        <w:tc>
          <w:tcPr>
            <w:tcW w:w="1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00162F"/>
              </w:rPr>
              <w:t>44</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0162F"/>
              </w:rPr>
              <w:t>13</w:t>
            </w:r>
          </w:p>
        </w:tc>
      </w:tr>
      <w:tr>
        <w:trPr>
          <w:trHeight w:val="301"/>
        </w:trPr>
        <w:tc>
          <w:tcPr>
            <w:tcW w:w="40" w:type="dxa"/>
            <w:vAlign w:val="bottom"/>
            <w:shd w:val="clear" w:color="auto" w:fill="EDEDED"/>
          </w:tcPr>
          <w:p>
            <w:pPr>
              <w:spacing w:after="0"/>
              <w:rPr>
                <w:sz w:val="24"/>
                <w:szCs w:val="24"/>
                <w:color w:val="auto"/>
              </w:rPr>
            </w:pPr>
          </w:p>
        </w:tc>
        <w:tc>
          <w:tcPr>
            <w:tcW w:w="7280" w:type="dxa"/>
            <w:vAlign w:val="bottom"/>
            <w:gridSpan w:val="3"/>
            <w:shd w:val="clear" w:color="auto" w:fill="EDEDED"/>
          </w:tcPr>
          <w:p>
            <w:pPr>
              <w:spacing w:after="0"/>
              <w:rPr>
                <w:sz w:val="20"/>
                <w:szCs w:val="20"/>
                <w:color w:val="auto"/>
              </w:rPr>
            </w:pPr>
            <w:r>
              <w:rPr>
                <w:rFonts w:ascii="Arial" w:cs="Arial" w:eastAsia="Arial" w:hAnsi="Arial"/>
                <w:sz w:val="20"/>
                <w:szCs w:val="20"/>
                <w:color w:val="00162F"/>
              </w:rPr>
              <w:t xml:space="preserve">A330 fleet-related adjustments </w:t>
            </w:r>
            <w:r>
              <w:rPr>
                <w:rFonts w:ascii="Arial" w:cs="Arial" w:eastAsia="Arial" w:hAnsi="Arial"/>
                <w:sz w:val="12"/>
                <w:szCs w:val="12"/>
                <w:color w:val="00162F"/>
              </w:rPr>
              <w:t>(3)</w:t>
            </w:r>
          </w:p>
        </w:tc>
        <w:tc>
          <w:tcPr>
            <w:tcW w:w="112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(42)</w:t>
            </w:r>
          </w:p>
        </w:tc>
      </w:tr>
      <w:tr>
        <w:trPr>
          <w:trHeight w:val="287"/>
        </w:trPr>
        <w:tc>
          <w:tcPr>
            <w:tcW w:w="40" w:type="dxa"/>
            <w:vAlign w:val="bottom"/>
            <w:tcBorders>
              <w:bottom w:val="single" w:sz="8" w:color="EDEDED"/>
            </w:tcBorders>
          </w:tcPr>
          <w:p>
            <w:pPr>
              <w:spacing w:after="0"/>
              <w:rPr>
                <w:sz w:val="24"/>
                <w:szCs w:val="24"/>
                <w:color w:val="auto"/>
              </w:rPr>
            </w:pPr>
          </w:p>
        </w:tc>
        <w:tc>
          <w:tcPr>
            <w:tcW w:w="7280" w:type="dxa"/>
            <w:vAlign w:val="bottom"/>
            <w:tcBorders>
              <w:bottom w:val="single" w:sz="8" w:color="EDEDED"/>
            </w:tcBorders>
            <w:gridSpan w:val="3"/>
          </w:tcPr>
          <w:p>
            <w:pPr>
              <w:spacing w:after="0"/>
              <w:rPr>
                <w:sz w:val="20"/>
                <w:szCs w:val="20"/>
                <w:color w:val="auto"/>
              </w:rPr>
            </w:pPr>
            <w:r>
              <w:rPr>
                <w:rFonts w:ascii="Arial" w:cs="Arial" w:eastAsia="Arial" w:hAnsi="Arial"/>
                <w:sz w:val="20"/>
                <w:szCs w:val="20"/>
                <w:color w:val="00162F"/>
              </w:rPr>
              <w:t>Other operating special items, net</w:t>
            </w:r>
          </w:p>
        </w:tc>
        <w:tc>
          <w:tcPr>
            <w:tcW w:w="1120" w:type="dxa"/>
            <w:vAlign w:val="bottom"/>
            <w:tcBorders>
              <w:bottom w:val="single" w:sz="8" w:color="00162F"/>
            </w:tcBorders>
          </w:tcPr>
          <w:p>
            <w:pPr>
              <w:spacing w:after="0"/>
              <w:rPr>
                <w:sz w:val="24"/>
                <w:szCs w:val="24"/>
                <w:color w:val="auto"/>
              </w:rPr>
            </w:pPr>
          </w:p>
        </w:tc>
        <w:tc>
          <w:tcPr>
            <w:tcW w:w="5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w:t>
            </w:r>
          </w:p>
        </w:tc>
        <w:tc>
          <w:tcPr>
            <w:tcW w:w="80" w:type="dxa"/>
            <w:vAlign w:val="bottom"/>
            <w:tcBorders>
              <w:bottom w:val="single" w:sz="8" w:color="EDEDED"/>
            </w:tcBorders>
          </w:tcPr>
          <w:p>
            <w:pPr>
              <w:spacing w:after="0"/>
              <w:rPr>
                <w:sz w:val="24"/>
                <w:szCs w:val="24"/>
                <w:color w:val="auto"/>
              </w:rPr>
            </w:pPr>
          </w:p>
        </w:tc>
        <w:tc>
          <w:tcPr>
            <w:tcW w:w="1040" w:type="dxa"/>
            <w:vAlign w:val="bottom"/>
            <w:tcBorders>
              <w:bottom w:val="single" w:sz="8" w:color="00162F"/>
            </w:tcBorders>
          </w:tcPr>
          <w:p>
            <w:pPr>
              <w:spacing w:after="0"/>
              <w:rPr>
                <w:sz w:val="24"/>
                <w:szCs w:val="24"/>
                <w:color w:val="auto"/>
              </w:rPr>
            </w:pPr>
          </w:p>
        </w:tc>
        <w:tc>
          <w:tcPr>
            <w:tcW w:w="6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34</w:t>
            </w:r>
          </w:p>
        </w:tc>
      </w:tr>
      <w:tr>
        <w:trPr>
          <w:trHeight w:val="287"/>
        </w:trPr>
        <w:tc>
          <w:tcPr>
            <w:tcW w:w="40" w:type="dxa"/>
            <w:vAlign w:val="bottom"/>
            <w:shd w:val="clear" w:color="auto" w:fill="EDEDED"/>
          </w:tcPr>
          <w:p>
            <w:pPr>
              <w:spacing w:after="0"/>
              <w:rPr>
                <w:sz w:val="24"/>
                <w:szCs w:val="24"/>
                <w:color w:val="auto"/>
              </w:rPr>
            </w:pPr>
          </w:p>
        </w:tc>
        <w:tc>
          <w:tcPr>
            <w:tcW w:w="7280" w:type="dxa"/>
            <w:vAlign w:val="bottom"/>
            <w:gridSpan w:val="3"/>
            <w:shd w:val="clear" w:color="auto" w:fill="EDEDED"/>
          </w:tcPr>
          <w:p>
            <w:pPr>
              <w:ind w:left="140"/>
              <w:spacing w:after="0"/>
              <w:rPr>
                <w:sz w:val="20"/>
                <w:szCs w:val="20"/>
                <w:color w:val="auto"/>
              </w:rPr>
            </w:pPr>
            <w:r>
              <w:rPr>
                <w:rFonts w:ascii="Arial" w:cs="Arial" w:eastAsia="Arial" w:hAnsi="Arial"/>
                <w:sz w:val="20"/>
                <w:szCs w:val="20"/>
                <w:color w:val="00162F"/>
              </w:rPr>
              <w:t>Mainline operating special items, net</w:t>
            </w:r>
          </w:p>
        </w:tc>
        <w:tc>
          <w:tcPr>
            <w:tcW w:w="112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159</w:t>
            </w:r>
          </w:p>
        </w:tc>
        <w:tc>
          <w:tcPr>
            <w:tcW w:w="8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610</w:t>
            </w:r>
          </w:p>
        </w:tc>
      </w:tr>
      <w:tr>
        <w:trPr>
          <w:trHeight w:val="287"/>
        </w:trPr>
        <w:tc>
          <w:tcPr>
            <w:tcW w:w="40" w:type="dxa"/>
            <w:vAlign w:val="bottom"/>
            <w:tcBorders>
              <w:bottom w:val="single" w:sz="8" w:color="EDEDED"/>
            </w:tcBorders>
          </w:tcPr>
          <w:p>
            <w:pPr>
              <w:spacing w:after="0"/>
              <w:rPr>
                <w:sz w:val="24"/>
                <w:szCs w:val="24"/>
                <w:color w:val="auto"/>
              </w:rPr>
            </w:pPr>
          </w:p>
        </w:tc>
        <w:tc>
          <w:tcPr>
            <w:tcW w:w="7280" w:type="dxa"/>
            <w:vAlign w:val="bottom"/>
            <w:tcBorders>
              <w:bottom w:val="single" w:sz="8" w:color="EDEDED"/>
            </w:tcBorders>
            <w:gridSpan w:val="3"/>
          </w:tcPr>
          <w:p>
            <w:pPr>
              <w:ind w:left="140"/>
              <w:spacing w:after="0"/>
              <w:rPr>
                <w:sz w:val="20"/>
                <w:szCs w:val="20"/>
                <w:color w:val="auto"/>
              </w:rPr>
            </w:pPr>
            <w:r>
              <w:rPr>
                <w:rFonts w:ascii="Arial" w:cs="Arial" w:eastAsia="Arial" w:hAnsi="Arial"/>
                <w:sz w:val="20"/>
                <w:szCs w:val="20"/>
                <w:color w:val="00162F"/>
              </w:rPr>
              <w:t xml:space="preserve">Regional operating special items, net </w:t>
            </w:r>
            <w:r>
              <w:rPr>
                <w:rFonts w:ascii="Arial" w:cs="Arial" w:eastAsia="Arial" w:hAnsi="Arial"/>
                <w:sz w:val="12"/>
                <w:szCs w:val="12"/>
                <w:color w:val="00162F"/>
              </w:rPr>
              <w:t>(4)</w:t>
            </w:r>
          </w:p>
        </w:tc>
        <w:tc>
          <w:tcPr>
            <w:tcW w:w="1120" w:type="dxa"/>
            <w:vAlign w:val="bottom"/>
            <w:tcBorders>
              <w:bottom w:val="single" w:sz="8" w:color="00162F"/>
            </w:tcBorders>
          </w:tcPr>
          <w:p>
            <w:pPr>
              <w:spacing w:after="0"/>
              <w:rPr>
                <w:sz w:val="24"/>
                <w:szCs w:val="24"/>
                <w:color w:val="auto"/>
              </w:rPr>
            </w:pPr>
          </w:p>
        </w:tc>
        <w:tc>
          <w:tcPr>
            <w:tcW w:w="5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w:t>
            </w:r>
          </w:p>
        </w:tc>
        <w:tc>
          <w:tcPr>
            <w:tcW w:w="80" w:type="dxa"/>
            <w:vAlign w:val="bottom"/>
            <w:tcBorders>
              <w:bottom w:val="single" w:sz="8" w:color="EDEDED"/>
            </w:tcBorders>
          </w:tcPr>
          <w:p>
            <w:pPr>
              <w:spacing w:after="0"/>
              <w:rPr>
                <w:sz w:val="24"/>
                <w:szCs w:val="24"/>
                <w:color w:val="auto"/>
              </w:rPr>
            </w:pPr>
          </w:p>
        </w:tc>
        <w:tc>
          <w:tcPr>
            <w:tcW w:w="1040" w:type="dxa"/>
            <w:vAlign w:val="bottom"/>
            <w:tcBorders>
              <w:bottom w:val="single" w:sz="8" w:color="00162F"/>
            </w:tcBorders>
          </w:tcPr>
          <w:p>
            <w:pPr>
              <w:spacing w:after="0"/>
              <w:rPr>
                <w:sz w:val="24"/>
                <w:szCs w:val="24"/>
                <w:color w:val="auto"/>
              </w:rPr>
            </w:pPr>
          </w:p>
        </w:tc>
        <w:tc>
          <w:tcPr>
            <w:tcW w:w="6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33</w:t>
            </w:r>
          </w:p>
        </w:tc>
      </w:tr>
      <w:tr>
        <w:trPr>
          <w:trHeight w:val="277"/>
        </w:trPr>
        <w:tc>
          <w:tcPr>
            <w:tcW w:w="40" w:type="dxa"/>
            <w:vAlign w:val="bottom"/>
            <w:tcBorders>
              <w:bottom w:val="single" w:sz="8" w:color="EDEDED"/>
            </w:tcBorders>
            <w:shd w:val="clear" w:color="auto" w:fill="EDEDED"/>
          </w:tcPr>
          <w:p>
            <w:pPr>
              <w:spacing w:after="0"/>
              <w:rPr>
                <w:sz w:val="24"/>
                <w:szCs w:val="24"/>
                <w:color w:val="auto"/>
              </w:rPr>
            </w:pPr>
          </w:p>
        </w:tc>
        <w:tc>
          <w:tcPr>
            <w:tcW w:w="7280" w:type="dxa"/>
            <w:vAlign w:val="bottom"/>
            <w:tcBorders>
              <w:bottom w:val="single" w:sz="8" w:color="EDEDED"/>
            </w:tcBorders>
            <w:gridSpan w:val="3"/>
            <w:shd w:val="clear" w:color="auto" w:fill="EDEDED"/>
          </w:tcPr>
          <w:p>
            <w:pPr>
              <w:ind w:left="360"/>
              <w:spacing w:after="0"/>
              <w:rPr>
                <w:sz w:val="20"/>
                <w:szCs w:val="20"/>
                <w:color w:val="auto"/>
              </w:rPr>
            </w:pPr>
            <w:r>
              <w:rPr>
                <w:rFonts w:ascii="Arial" w:cs="Arial" w:eastAsia="Arial" w:hAnsi="Arial"/>
                <w:sz w:val="20"/>
                <w:szCs w:val="20"/>
                <w:color w:val="00162F"/>
              </w:rPr>
              <w:t>Operating special items, net</w:t>
            </w:r>
          </w:p>
        </w:tc>
        <w:tc>
          <w:tcPr>
            <w:tcW w:w="1120" w:type="dxa"/>
            <w:vAlign w:val="bottom"/>
            <w:tcBorders>
              <w:bottom w:val="single" w:sz="8" w:color="00162F"/>
            </w:tcBorders>
            <w:shd w:val="clear" w:color="auto" w:fill="EDEDED"/>
          </w:tcPr>
          <w:p>
            <w:pPr>
              <w:spacing w:after="0"/>
              <w:rPr>
                <w:sz w:val="24"/>
                <w:szCs w:val="24"/>
                <w:color w:val="auto"/>
              </w:rPr>
            </w:pPr>
          </w:p>
        </w:tc>
        <w:tc>
          <w:tcPr>
            <w:tcW w:w="5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162</w:t>
            </w:r>
          </w:p>
        </w:tc>
        <w:tc>
          <w:tcPr>
            <w:tcW w:w="8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spacing w:after="0"/>
              <w:rPr>
                <w:sz w:val="24"/>
                <w:szCs w:val="24"/>
                <w:color w:val="auto"/>
              </w:rPr>
            </w:pPr>
          </w:p>
        </w:tc>
        <w:tc>
          <w:tcPr>
            <w:tcW w:w="6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643</w:t>
            </w:r>
          </w:p>
        </w:tc>
      </w:tr>
      <w:tr>
        <w:trPr>
          <w:trHeight w:val="287"/>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7"/>
        </w:trPr>
        <w:tc>
          <w:tcPr>
            <w:tcW w:w="40" w:type="dxa"/>
            <w:vAlign w:val="bottom"/>
            <w:shd w:val="clear" w:color="auto" w:fill="EDEDED"/>
          </w:tcPr>
          <w:p>
            <w:pPr>
              <w:spacing w:after="0"/>
              <w:rPr>
                <w:sz w:val="24"/>
                <w:szCs w:val="24"/>
                <w:color w:val="auto"/>
              </w:rPr>
            </w:pPr>
          </w:p>
        </w:tc>
        <w:tc>
          <w:tcPr>
            <w:tcW w:w="7280" w:type="dxa"/>
            <w:vAlign w:val="bottom"/>
            <w:gridSpan w:val="3"/>
            <w:shd w:val="clear" w:color="auto" w:fill="EDEDED"/>
          </w:tcPr>
          <w:p>
            <w:pPr>
              <w:spacing w:after="0"/>
              <w:rPr>
                <w:sz w:val="20"/>
                <w:szCs w:val="20"/>
                <w:color w:val="auto"/>
              </w:rPr>
            </w:pPr>
            <w:r>
              <w:rPr>
                <w:rFonts w:ascii="Arial" w:cs="Arial" w:eastAsia="Arial" w:hAnsi="Arial"/>
                <w:sz w:val="20"/>
                <w:szCs w:val="20"/>
                <w:color w:val="00162F"/>
              </w:rPr>
              <w:t xml:space="preserve">Mark-to-market adjustments on equity investments, net </w:t>
            </w:r>
            <w:r>
              <w:rPr>
                <w:rFonts w:ascii="Arial" w:cs="Arial" w:eastAsia="Arial" w:hAnsi="Arial"/>
                <w:sz w:val="12"/>
                <w:szCs w:val="12"/>
                <w:color w:val="00162F"/>
              </w:rPr>
              <w:t>(5)</w:t>
            </w:r>
          </w:p>
        </w:tc>
        <w:tc>
          <w:tcPr>
            <w:tcW w:w="112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(40)</w:t>
            </w:r>
          </w:p>
        </w:tc>
        <w:tc>
          <w:tcPr>
            <w:tcW w:w="8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w:t>
            </w:r>
          </w:p>
        </w:tc>
      </w:tr>
      <w:tr>
        <w:trPr>
          <w:trHeight w:val="293"/>
        </w:trPr>
        <w:tc>
          <w:tcPr>
            <w:tcW w:w="40" w:type="dxa"/>
            <w:vAlign w:val="bottom"/>
          </w:tcPr>
          <w:p>
            <w:pPr>
              <w:spacing w:after="0"/>
              <w:rPr>
                <w:sz w:val="24"/>
                <w:szCs w:val="24"/>
                <w:color w:val="auto"/>
              </w:rPr>
            </w:pPr>
          </w:p>
        </w:tc>
        <w:tc>
          <w:tcPr>
            <w:tcW w:w="7280" w:type="dxa"/>
            <w:vAlign w:val="bottom"/>
            <w:gridSpan w:val="3"/>
          </w:tcPr>
          <w:p>
            <w:pPr>
              <w:spacing w:after="0"/>
              <w:rPr>
                <w:sz w:val="20"/>
                <w:szCs w:val="20"/>
                <w:color w:val="auto"/>
              </w:rPr>
            </w:pPr>
            <w:r>
              <w:rPr>
                <w:rFonts w:ascii="Arial" w:cs="Arial" w:eastAsia="Arial" w:hAnsi="Arial"/>
                <w:sz w:val="20"/>
                <w:szCs w:val="20"/>
                <w:color w:val="00162F"/>
              </w:rPr>
              <w:t>Debt refinancing and extinguishment</w:t>
            </w:r>
          </w:p>
        </w:tc>
        <w:tc>
          <w:tcPr>
            <w:tcW w:w="1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00162F"/>
              </w:rPr>
              <w:t>22</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0162F"/>
              </w:rPr>
              <w:t>16</w:t>
            </w:r>
          </w:p>
        </w:tc>
      </w:tr>
      <w:tr>
        <w:trPr>
          <w:trHeight w:val="291"/>
        </w:trPr>
        <w:tc>
          <w:tcPr>
            <w:tcW w:w="40" w:type="dxa"/>
            <w:vAlign w:val="bottom"/>
            <w:tcBorders>
              <w:bottom w:val="single" w:sz="8" w:color="EDEDED"/>
            </w:tcBorders>
            <w:shd w:val="clear" w:color="auto" w:fill="EDEDED"/>
          </w:tcPr>
          <w:p>
            <w:pPr>
              <w:spacing w:after="0"/>
              <w:rPr>
                <w:sz w:val="24"/>
                <w:szCs w:val="24"/>
                <w:color w:val="auto"/>
              </w:rPr>
            </w:pPr>
          </w:p>
        </w:tc>
        <w:tc>
          <w:tcPr>
            <w:tcW w:w="7280" w:type="dxa"/>
            <w:vAlign w:val="bottom"/>
            <w:tcBorders>
              <w:bottom w:val="single" w:sz="8" w:color="EDEDED"/>
            </w:tcBorders>
            <w:gridSpan w:val="3"/>
            <w:shd w:val="clear" w:color="auto" w:fill="EDEDED"/>
          </w:tcPr>
          <w:p>
            <w:pPr>
              <w:spacing w:after="0"/>
              <w:rPr>
                <w:sz w:val="20"/>
                <w:szCs w:val="20"/>
                <w:color w:val="auto"/>
              </w:rPr>
            </w:pPr>
            <w:r>
              <w:rPr>
                <w:rFonts w:ascii="Arial" w:cs="Arial" w:eastAsia="Arial" w:hAnsi="Arial"/>
                <w:sz w:val="20"/>
                <w:szCs w:val="20"/>
                <w:color w:val="00162F"/>
              </w:rPr>
              <w:t>Other nonoperating special items, net</w:t>
            </w:r>
          </w:p>
        </w:tc>
        <w:tc>
          <w:tcPr>
            <w:tcW w:w="1120" w:type="dxa"/>
            <w:vAlign w:val="bottom"/>
            <w:tcBorders>
              <w:bottom w:val="single" w:sz="8" w:color="00162F"/>
            </w:tcBorders>
            <w:shd w:val="clear" w:color="auto" w:fill="EDEDED"/>
          </w:tcPr>
          <w:p>
            <w:pPr>
              <w:spacing w:after="0"/>
              <w:rPr>
                <w:sz w:val="24"/>
                <w:szCs w:val="24"/>
                <w:color w:val="auto"/>
              </w:rPr>
            </w:pPr>
          </w:p>
        </w:tc>
        <w:tc>
          <w:tcPr>
            <w:tcW w:w="5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18</w:t>
            </w:r>
          </w:p>
        </w:tc>
        <w:tc>
          <w:tcPr>
            <w:tcW w:w="8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spacing w:after="0"/>
              <w:rPr>
                <w:sz w:val="24"/>
                <w:szCs w:val="24"/>
                <w:color w:val="auto"/>
              </w:rPr>
            </w:pPr>
          </w:p>
        </w:tc>
        <w:tc>
          <w:tcPr>
            <w:tcW w:w="6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77"/>
        </w:trPr>
        <w:tc>
          <w:tcPr>
            <w:tcW w:w="40" w:type="dxa"/>
            <w:vAlign w:val="bottom"/>
            <w:tcBorders>
              <w:bottom w:val="single" w:sz="8" w:color="EDEDED"/>
            </w:tcBorders>
          </w:tcPr>
          <w:p>
            <w:pPr>
              <w:spacing w:after="0"/>
              <w:rPr>
                <w:sz w:val="24"/>
                <w:szCs w:val="24"/>
                <w:color w:val="auto"/>
              </w:rPr>
            </w:pPr>
          </w:p>
        </w:tc>
        <w:tc>
          <w:tcPr>
            <w:tcW w:w="7280" w:type="dxa"/>
            <w:vAlign w:val="bottom"/>
            <w:tcBorders>
              <w:bottom w:val="single" w:sz="8" w:color="EDEDED"/>
            </w:tcBorders>
            <w:gridSpan w:val="3"/>
          </w:tcPr>
          <w:p>
            <w:pPr>
              <w:ind w:left="260"/>
              <w:spacing w:after="0"/>
              <w:rPr>
                <w:sz w:val="20"/>
                <w:szCs w:val="20"/>
                <w:color w:val="auto"/>
              </w:rPr>
            </w:pPr>
            <w:r>
              <w:rPr>
                <w:rFonts w:ascii="Arial" w:cs="Arial" w:eastAsia="Arial" w:hAnsi="Arial"/>
                <w:sz w:val="20"/>
                <w:szCs w:val="20"/>
                <w:color w:val="00162F"/>
              </w:rPr>
              <w:t>Nonoperating special items, net</w:t>
            </w:r>
          </w:p>
        </w:tc>
        <w:tc>
          <w:tcPr>
            <w:tcW w:w="1120" w:type="dxa"/>
            <w:vAlign w:val="bottom"/>
            <w:tcBorders>
              <w:bottom w:val="single" w:sz="8" w:color="00162F"/>
            </w:tcBorders>
          </w:tcPr>
          <w:p>
            <w:pPr>
              <w:spacing w:after="0"/>
              <w:rPr>
                <w:sz w:val="24"/>
                <w:szCs w:val="24"/>
                <w:color w:val="auto"/>
              </w:rPr>
            </w:pPr>
          </w:p>
        </w:tc>
        <w:tc>
          <w:tcPr>
            <w:tcW w:w="5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1040" w:type="dxa"/>
            <w:vAlign w:val="bottom"/>
            <w:tcBorders>
              <w:bottom w:val="single" w:sz="8" w:color="00162F"/>
            </w:tcBorders>
          </w:tcPr>
          <w:p>
            <w:pPr>
              <w:spacing w:after="0"/>
              <w:rPr>
                <w:sz w:val="24"/>
                <w:szCs w:val="24"/>
                <w:color w:val="auto"/>
              </w:rPr>
            </w:pPr>
          </w:p>
        </w:tc>
        <w:tc>
          <w:tcPr>
            <w:tcW w:w="6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24</w:t>
            </w:r>
          </w:p>
        </w:tc>
      </w:tr>
      <w:tr>
        <w:trPr>
          <w:trHeight w:val="297"/>
        </w:trPr>
        <w:tc>
          <w:tcPr>
            <w:tcW w:w="40" w:type="dxa"/>
            <w:vAlign w:val="bottom"/>
            <w:shd w:val="clear" w:color="auto" w:fill="EDEDED"/>
          </w:tcPr>
          <w:p>
            <w:pPr>
              <w:spacing w:after="0"/>
              <w:rPr>
                <w:sz w:val="24"/>
                <w:szCs w:val="24"/>
                <w:color w:val="auto"/>
              </w:rPr>
            </w:pPr>
          </w:p>
        </w:tc>
        <w:tc>
          <w:tcPr>
            <w:tcW w:w="7280" w:type="dxa"/>
            <w:vAlign w:val="bottom"/>
            <w:gridSpan w:val="3"/>
            <w:shd w:val="clear" w:color="auto" w:fill="EDEDED"/>
          </w:tcPr>
          <w:p>
            <w:pPr>
              <w:ind w:left="480"/>
              <w:spacing w:after="0"/>
              <w:rPr>
                <w:sz w:val="20"/>
                <w:szCs w:val="20"/>
                <w:color w:val="auto"/>
              </w:rPr>
            </w:pPr>
            <w:r>
              <w:rPr>
                <w:rFonts w:ascii="Arial" w:cs="Arial" w:eastAsia="Arial" w:hAnsi="Arial"/>
                <w:sz w:val="20"/>
                <w:szCs w:val="20"/>
                <w:color w:val="00162F"/>
              </w:rPr>
              <w:t>Pre-tax special items, net</w:t>
            </w:r>
          </w:p>
        </w:tc>
        <w:tc>
          <w:tcPr>
            <w:tcW w:w="1120" w:type="dxa"/>
            <w:vAlign w:val="bottom"/>
            <w:shd w:val="clear" w:color="auto" w:fill="EDEDED"/>
          </w:tcPr>
          <w:p>
            <w:pPr>
              <w:jc w:val="right"/>
              <w:ind w:right="866"/>
              <w:spacing w:after="0"/>
              <w:rPr>
                <w:sz w:val="20"/>
                <w:szCs w:val="20"/>
                <w:color w:val="auto"/>
              </w:rPr>
            </w:pPr>
            <w:r>
              <w:rPr>
                <w:rFonts w:ascii="Arial" w:cs="Arial" w:eastAsia="Arial" w:hAnsi="Arial"/>
                <w:sz w:val="20"/>
                <w:szCs w:val="20"/>
                <w:color w:val="00162F"/>
              </w:rPr>
              <w:t>$</w:t>
            </w:r>
          </w:p>
        </w:tc>
        <w:tc>
          <w:tcPr>
            <w:tcW w:w="5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162</w:t>
            </w:r>
          </w:p>
        </w:tc>
        <w:tc>
          <w:tcPr>
            <w:tcW w:w="1120" w:type="dxa"/>
            <w:vAlign w:val="bottom"/>
            <w:gridSpan w:val="2"/>
            <w:shd w:val="clear" w:color="auto" w:fill="EDEDED"/>
          </w:tcPr>
          <w:p>
            <w:pPr>
              <w:jc w:val="right"/>
              <w:ind w:right="801"/>
              <w:spacing w:after="0"/>
              <w:rPr>
                <w:sz w:val="20"/>
                <w:szCs w:val="20"/>
                <w:color w:val="auto"/>
              </w:rPr>
            </w:pPr>
            <w:r>
              <w:rPr>
                <w:rFonts w:ascii="Arial" w:cs="Arial" w:eastAsia="Arial" w:hAnsi="Arial"/>
                <w:sz w:val="20"/>
                <w:szCs w:val="20"/>
                <w:color w:val="00162F"/>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667</w:t>
            </w:r>
          </w:p>
        </w:tc>
      </w:tr>
      <w:tr>
        <w:trPr>
          <w:trHeight w:val="302"/>
        </w:trPr>
        <w:tc>
          <w:tcPr>
            <w:tcW w:w="40" w:type="dxa"/>
            <w:vAlign w:val="bottom"/>
            <w:tcBorders>
              <w:top w:val="single" w:sz="8" w:color="EDEDED"/>
              <w:bottom w:val="single" w:sz="8" w:color="00162F"/>
            </w:tcBorders>
          </w:tcPr>
          <w:p>
            <w:pPr>
              <w:spacing w:after="0"/>
              <w:rPr>
                <w:sz w:val="24"/>
                <w:szCs w:val="24"/>
                <w:color w:val="auto"/>
              </w:rPr>
            </w:pPr>
          </w:p>
        </w:tc>
        <w:tc>
          <w:tcPr>
            <w:tcW w:w="7280" w:type="dxa"/>
            <w:vAlign w:val="bottom"/>
            <w:tcBorders>
              <w:top w:val="single" w:sz="8" w:color="EDEDED"/>
              <w:bottom w:val="single" w:sz="8" w:color="00162F"/>
            </w:tcBorders>
            <w:gridSpan w:val="3"/>
          </w:tcPr>
          <w:p>
            <w:pPr>
              <w:spacing w:after="0"/>
              <w:rPr>
                <w:sz w:val="20"/>
                <w:szCs w:val="20"/>
                <w:color w:val="auto"/>
              </w:rPr>
            </w:pPr>
            <w:r>
              <w:rPr>
                <w:rFonts w:ascii="Arial" w:cs="Arial" w:eastAsia="Arial" w:hAnsi="Arial"/>
                <w:sz w:val="20"/>
                <w:szCs w:val="20"/>
                <w:b w:val="1"/>
                <w:bCs w:val="1"/>
                <w:color w:val="00162F"/>
              </w:rPr>
              <w:t>Reconciliation of Pre-Tax Income Excluding Net Special Items:</w:t>
            </w:r>
          </w:p>
        </w:tc>
        <w:tc>
          <w:tcPr>
            <w:tcW w:w="1120" w:type="dxa"/>
            <w:vAlign w:val="bottom"/>
            <w:tcBorders>
              <w:top w:val="single" w:sz="8" w:color="00162F"/>
              <w:bottom w:val="single" w:sz="8" w:color="EDEDED"/>
            </w:tcBorders>
          </w:tcPr>
          <w:p>
            <w:pPr>
              <w:spacing w:after="0"/>
              <w:rPr>
                <w:sz w:val="24"/>
                <w:szCs w:val="24"/>
                <w:color w:val="auto"/>
              </w:rPr>
            </w:pPr>
          </w:p>
        </w:tc>
        <w:tc>
          <w:tcPr>
            <w:tcW w:w="520" w:type="dxa"/>
            <w:vAlign w:val="bottom"/>
            <w:tcBorders>
              <w:top w:val="single" w:sz="8" w:color="00162F"/>
              <w:bottom w:val="single" w:sz="8" w:color="EDEDED"/>
            </w:tcBorders>
          </w:tcPr>
          <w:p>
            <w:pPr>
              <w:spacing w:after="0"/>
              <w:rPr>
                <w:sz w:val="24"/>
                <w:szCs w:val="24"/>
                <w:color w:val="auto"/>
              </w:rPr>
            </w:pPr>
          </w:p>
        </w:tc>
        <w:tc>
          <w:tcPr>
            <w:tcW w:w="80" w:type="dxa"/>
            <w:vAlign w:val="bottom"/>
            <w:tcBorders>
              <w:top w:val="single" w:sz="8" w:color="EDEDED"/>
              <w:bottom w:val="single" w:sz="8" w:color="EDEDED"/>
            </w:tcBorders>
          </w:tcPr>
          <w:p>
            <w:pPr>
              <w:spacing w:after="0"/>
              <w:rPr>
                <w:sz w:val="24"/>
                <w:szCs w:val="24"/>
                <w:color w:val="auto"/>
              </w:rPr>
            </w:pPr>
          </w:p>
        </w:tc>
        <w:tc>
          <w:tcPr>
            <w:tcW w:w="1040" w:type="dxa"/>
            <w:vAlign w:val="bottom"/>
            <w:tcBorders>
              <w:top w:val="single" w:sz="8" w:color="00162F"/>
              <w:bottom w:val="single" w:sz="8" w:color="EDEDED"/>
            </w:tcBorders>
          </w:tcPr>
          <w:p>
            <w:pPr>
              <w:spacing w:after="0"/>
              <w:rPr>
                <w:sz w:val="24"/>
                <w:szCs w:val="24"/>
                <w:color w:val="auto"/>
              </w:rPr>
            </w:pPr>
          </w:p>
        </w:tc>
        <w:tc>
          <w:tcPr>
            <w:tcW w:w="600" w:type="dxa"/>
            <w:vAlign w:val="bottom"/>
            <w:tcBorders>
              <w:top w:val="single" w:sz="8" w:color="00162F"/>
              <w:bottom w:val="single" w:sz="8" w:color="EDEDED"/>
            </w:tcBorders>
          </w:tcPr>
          <w:p>
            <w:pPr>
              <w:spacing w:after="0"/>
              <w:rPr>
                <w:sz w:val="24"/>
                <w:szCs w:val="24"/>
                <w:color w:val="auto"/>
              </w:rPr>
            </w:pPr>
          </w:p>
        </w:tc>
      </w:tr>
      <w:tr>
        <w:trPr>
          <w:trHeight w:val="287"/>
        </w:trPr>
        <w:tc>
          <w:tcPr>
            <w:tcW w:w="40" w:type="dxa"/>
            <w:vAlign w:val="bottom"/>
            <w:shd w:val="clear" w:color="auto" w:fill="EDEDED"/>
          </w:tcPr>
          <w:p>
            <w:pPr>
              <w:spacing w:after="0"/>
              <w:rPr>
                <w:sz w:val="24"/>
                <w:szCs w:val="24"/>
                <w:color w:val="auto"/>
              </w:rPr>
            </w:pPr>
          </w:p>
        </w:tc>
        <w:tc>
          <w:tcPr>
            <w:tcW w:w="7280" w:type="dxa"/>
            <w:vAlign w:val="bottom"/>
            <w:gridSpan w:val="3"/>
            <w:shd w:val="clear" w:color="auto" w:fill="EDEDED"/>
          </w:tcPr>
          <w:p>
            <w:pPr>
              <w:spacing w:after="0"/>
              <w:rPr>
                <w:sz w:val="20"/>
                <w:szCs w:val="20"/>
                <w:color w:val="auto"/>
              </w:rPr>
            </w:pPr>
            <w:r>
              <w:rPr>
                <w:rFonts w:ascii="Arial" w:cs="Arial" w:eastAsia="Arial" w:hAnsi="Arial"/>
                <w:sz w:val="20"/>
                <w:szCs w:val="20"/>
                <w:color w:val="00162F"/>
              </w:rPr>
              <w:t>Pre-tax income – GAAP</w:t>
            </w:r>
          </w:p>
        </w:tc>
        <w:tc>
          <w:tcPr>
            <w:tcW w:w="1120" w:type="dxa"/>
            <w:vAlign w:val="bottom"/>
            <w:shd w:val="clear" w:color="auto" w:fill="EDEDED"/>
          </w:tcPr>
          <w:p>
            <w:pPr>
              <w:jc w:val="right"/>
              <w:ind w:right="866"/>
              <w:spacing w:after="0"/>
              <w:rPr>
                <w:sz w:val="20"/>
                <w:szCs w:val="20"/>
                <w:color w:val="auto"/>
              </w:rPr>
            </w:pPr>
            <w:r>
              <w:rPr>
                <w:rFonts w:ascii="Arial" w:cs="Arial" w:eastAsia="Arial" w:hAnsi="Arial"/>
                <w:sz w:val="20"/>
                <w:szCs w:val="20"/>
                <w:color w:val="00162F"/>
              </w:rPr>
              <w:t>$</w:t>
            </w:r>
          </w:p>
        </w:tc>
        <w:tc>
          <w:tcPr>
            <w:tcW w:w="5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190</w:t>
            </w:r>
          </w:p>
        </w:tc>
        <w:tc>
          <w:tcPr>
            <w:tcW w:w="1120" w:type="dxa"/>
            <w:vAlign w:val="bottom"/>
            <w:gridSpan w:val="2"/>
            <w:shd w:val="clear" w:color="auto" w:fill="EDEDED"/>
          </w:tcPr>
          <w:p>
            <w:pPr>
              <w:jc w:val="right"/>
              <w:ind w:right="801"/>
              <w:spacing w:after="0"/>
              <w:rPr>
                <w:sz w:val="20"/>
                <w:szCs w:val="20"/>
                <w:color w:val="auto"/>
              </w:rPr>
            </w:pPr>
            <w:r>
              <w:rPr>
                <w:rFonts w:ascii="Arial" w:cs="Arial" w:eastAsia="Arial" w:hAnsi="Arial"/>
                <w:sz w:val="20"/>
                <w:szCs w:val="20"/>
                <w:color w:val="00162F"/>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20"/>
                <w:szCs w:val="20"/>
                <w:color w:val="00162F"/>
                <w:w w:val="99"/>
              </w:rPr>
              <w:t>1,154</w:t>
            </w:r>
          </w:p>
        </w:tc>
      </w:tr>
      <w:tr>
        <w:trPr>
          <w:trHeight w:val="287"/>
        </w:trPr>
        <w:tc>
          <w:tcPr>
            <w:tcW w:w="40" w:type="dxa"/>
            <w:vAlign w:val="bottom"/>
            <w:tcBorders>
              <w:bottom w:val="single" w:sz="8" w:color="EDEDED"/>
            </w:tcBorders>
          </w:tcPr>
          <w:p>
            <w:pPr>
              <w:spacing w:after="0"/>
              <w:rPr>
                <w:sz w:val="24"/>
                <w:szCs w:val="24"/>
                <w:color w:val="auto"/>
              </w:rPr>
            </w:pPr>
          </w:p>
        </w:tc>
        <w:tc>
          <w:tcPr>
            <w:tcW w:w="7280" w:type="dxa"/>
            <w:vAlign w:val="bottom"/>
            <w:tcBorders>
              <w:bottom w:val="single" w:sz="8" w:color="EDEDED"/>
            </w:tcBorders>
            <w:gridSpan w:val="3"/>
          </w:tcPr>
          <w:p>
            <w:pPr>
              <w:ind w:left="140"/>
              <w:spacing w:after="0"/>
              <w:rPr>
                <w:sz w:val="20"/>
                <w:szCs w:val="20"/>
                <w:color w:val="auto"/>
              </w:rPr>
            </w:pPr>
            <w:r>
              <w:rPr>
                <w:rFonts w:ascii="Arial" w:cs="Arial" w:eastAsia="Arial" w:hAnsi="Arial"/>
                <w:sz w:val="20"/>
                <w:szCs w:val="20"/>
                <w:color w:val="00162F"/>
              </w:rPr>
              <w:t>Adjusted for: Pre-tax special items, net</w:t>
            </w:r>
          </w:p>
        </w:tc>
        <w:tc>
          <w:tcPr>
            <w:tcW w:w="1120" w:type="dxa"/>
            <w:vAlign w:val="bottom"/>
            <w:tcBorders>
              <w:bottom w:val="single" w:sz="8" w:color="00162F"/>
            </w:tcBorders>
          </w:tcPr>
          <w:p>
            <w:pPr>
              <w:spacing w:after="0"/>
              <w:rPr>
                <w:sz w:val="24"/>
                <w:szCs w:val="24"/>
                <w:color w:val="auto"/>
              </w:rPr>
            </w:pPr>
          </w:p>
        </w:tc>
        <w:tc>
          <w:tcPr>
            <w:tcW w:w="5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162</w:t>
            </w:r>
          </w:p>
        </w:tc>
        <w:tc>
          <w:tcPr>
            <w:tcW w:w="80" w:type="dxa"/>
            <w:vAlign w:val="bottom"/>
            <w:tcBorders>
              <w:bottom w:val="single" w:sz="8" w:color="EDEDED"/>
            </w:tcBorders>
          </w:tcPr>
          <w:p>
            <w:pPr>
              <w:spacing w:after="0"/>
              <w:rPr>
                <w:sz w:val="24"/>
                <w:szCs w:val="24"/>
                <w:color w:val="auto"/>
              </w:rPr>
            </w:pPr>
          </w:p>
        </w:tc>
        <w:tc>
          <w:tcPr>
            <w:tcW w:w="1040" w:type="dxa"/>
            <w:vAlign w:val="bottom"/>
            <w:tcBorders>
              <w:bottom w:val="single" w:sz="8" w:color="00162F"/>
            </w:tcBorders>
          </w:tcPr>
          <w:p>
            <w:pPr>
              <w:spacing w:after="0"/>
              <w:rPr>
                <w:sz w:val="24"/>
                <w:szCs w:val="24"/>
                <w:color w:val="auto"/>
              </w:rPr>
            </w:pPr>
          </w:p>
        </w:tc>
        <w:tc>
          <w:tcPr>
            <w:tcW w:w="6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667</w:t>
            </w:r>
          </w:p>
        </w:tc>
      </w:tr>
      <w:tr>
        <w:trPr>
          <w:trHeight w:val="297"/>
        </w:trPr>
        <w:tc>
          <w:tcPr>
            <w:tcW w:w="40" w:type="dxa"/>
            <w:vAlign w:val="bottom"/>
            <w:shd w:val="clear" w:color="auto" w:fill="EDEDED"/>
          </w:tcPr>
          <w:p>
            <w:pPr>
              <w:spacing w:after="0"/>
              <w:rPr>
                <w:sz w:val="24"/>
                <w:szCs w:val="24"/>
                <w:color w:val="auto"/>
              </w:rPr>
            </w:pPr>
          </w:p>
        </w:tc>
        <w:tc>
          <w:tcPr>
            <w:tcW w:w="7280" w:type="dxa"/>
            <w:vAlign w:val="bottom"/>
            <w:gridSpan w:val="3"/>
            <w:shd w:val="clear" w:color="auto" w:fill="EDEDED"/>
          </w:tcPr>
          <w:p>
            <w:pPr>
              <w:spacing w:after="0"/>
              <w:rPr>
                <w:sz w:val="20"/>
                <w:szCs w:val="20"/>
                <w:color w:val="auto"/>
              </w:rPr>
            </w:pPr>
            <w:r>
              <w:rPr>
                <w:rFonts w:ascii="Arial" w:cs="Arial" w:eastAsia="Arial" w:hAnsi="Arial"/>
                <w:sz w:val="20"/>
                <w:szCs w:val="20"/>
                <w:color w:val="00162F"/>
              </w:rPr>
              <w:t>Pre-tax income excluding net special items</w:t>
            </w:r>
          </w:p>
        </w:tc>
        <w:tc>
          <w:tcPr>
            <w:tcW w:w="1120" w:type="dxa"/>
            <w:vAlign w:val="bottom"/>
            <w:shd w:val="clear" w:color="auto" w:fill="EDEDED"/>
          </w:tcPr>
          <w:p>
            <w:pPr>
              <w:jc w:val="right"/>
              <w:ind w:right="866"/>
              <w:spacing w:after="0"/>
              <w:rPr>
                <w:sz w:val="20"/>
                <w:szCs w:val="20"/>
                <w:color w:val="auto"/>
              </w:rPr>
            </w:pPr>
            <w:r>
              <w:rPr>
                <w:rFonts w:ascii="Arial" w:cs="Arial" w:eastAsia="Arial" w:hAnsi="Arial"/>
                <w:sz w:val="20"/>
                <w:szCs w:val="20"/>
                <w:color w:val="00162F"/>
              </w:rPr>
              <w:t>$</w:t>
            </w:r>
          </w:p>
        </w:tc>
        <w:tc>
          <w:tcPr>
            <w:tcW w:w="5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352</w:t>
            </w:r>
          </w:p>
        </w:tc>
        <w:tc>
          <w:tcPr>
            <w:tcW w:w="1120" w:type="dxa"/>
            <w:vAlign w:val="bottom"/>
            <w:gridSpan w:val="2"/>
            <w:shd w:val="clear" w:color="auto" w:fill="EDEDED"/>
          </w:tcPr>
          <w:p>
            <w:pPr>
              <w:jc w:val="right"/>
              <w:ind w:right="801"/>
              <w:spacing w:after="0"/>
              <w:rPr>
                <w:sz w:val="20"/>
                <w:szCs w:val="20"/>
                <w:color w:val="auto"/>
              </w:rPr>
            </w:pPr>
            <w:r>
              <w:rPr>
                <w:rFonts w:ascii="Arial" w:cs="Arial" w:eastAsia="Arial" w:hAnsi="Arial"/>
                <w:sz w:val="20"/>
                <w:szCs w:val="20"/>
                <w:color w:val="00162F"/>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20"/>
                <w:szCs w:val="20"/>
                <w:color w:val="00162F"/>
                <w:w w:val="99"/>
              </w:rPr>
              <w:t>1,821</w:t>
            </w:r>
          </w:p>
        </w:tc>
      </w:tr>
      <w:tr>
        <w:trPr>
          <w:trHeight w:val="302"/>
        </w:trPr>
        <w:tc>
          <w:tcPr>
            <w:tcW w:w="40" w:type="dxa"/>
            <w:vAlign w:val="bottom"/>
            <w:tcBorders>
              <w:top w:val="single" w:sz="8" w:color="EDEDED"/>
              <w:bottom w:val="single" w:sz="8" w:color="00162F"/>
            </w:tcBorders>
          </w:tcPr>
          <w:p>
            <w:pPr>
              <w:spacing w:after="0"/>
              <w:rPr>
                <w:sz w:val="24"/>
                <w:szCs w:val="24"/>
                <w:color w:val="auto"/>
              </w:rPr>
            </w:pPr>
          </w:p>
        </w:tc>
        <w:tc>
          <w:tcPr>
            <w:tcW w:w="7280" w:type="dxa"/>
            <w:vAlign w:val="bottom"/>
            <w:tcBorders>
              <w:top w:val="single" w:sz="8" w:color="EDEDED"/>
              <w:bottom w:val="single" w:sz="8" w:color="00162F"/>
            </w:tcBorders>
            <w:gridSpan w:val="3"/>
          </w:tcPr>
          <w:p>
            <w:pPr>
              <w:spacing w:after="0"/>
              <w:rPr>
                <w:sz w:val="20"/>
                <w:szCs w:val="20"/>
                <w:color w:val="auto"/>
              </w:rPr>
            </w:pPr>
            <w:r>
              <w:rPr>
                <w:rFonts w:ascii="Arial" w:cs="Arial" w:eastAsia="Arial" w:hAnsi="Arial"/>
                <w:sz w:val="20"/>
                <w:szCs w:val="20"/>
                <w:b w:val="1"/>
                <w:bCs w:val="1"/>
                <w:color w:val="00162F"/>
              </w:rPr>
              <w:t>Reconciliation of Net Income Excluding Net Special Items:</w:t>
            </w:r>
          </w:p>
        </w:tc>
        <w:tc>
          <w:tcPr>
            <w:tcW w:w="1120" w:type="dxa"/>
            <w:vAlign w:val="bottom"/>
            <w:tcBorders>
              <w:top w:val="single" w:sz="8" w:color="00162F"/>
              <w:bottom w:val="single" w:sz="8" w:color="EDEDED"/>
            </w:tcBorders>
          </w:tcPr>
          <w:p>
            <w:pPr>
              <w:spacing w:after="0"/>
              <w:rPr>
                <w:sz w:val="24"/>
                <w:szCs w:val="24"/>
                <w:color w:val="auto"/>
              </w:rPr>
            </w:pPr>
          </w:p>
        </w:tc>
        <w:tc>
          <w:tcPr>
            <w:tcW w:w="520" w:type="dxa"/>
            <w:vAlign w:val="bottom"/>
            <w:tcBorders>
              <w:top w:val="single" w:sz="8" w:color="00162F"/>
              <w:bottom w:val="single" w:sz="8" w:color="EDEDED"/>
            </w:tcBorders>
          </w:tcPr>
          <w:p>
            <w:pPr>
              <w:spacing w:after="0"/>
              <w:rPr>
                <w:sz w:val="24"/>
                <w:szCs w:val="24"/>
                <w:color w:val="auto"/>
              </w:rPr>
            </w:pPr>
          </w:p>
        </w:tc>
        <w:tc>
          <w:tcPr>
            <w:tcW w:w="80" w:type="dxa"/>
            <w:vAlign w:val="bottom"/>
            <w:tcBorders>
              <w:top w:val="single" w:sz="8" w:color="EDEDED"/>
              <w:bottom w:val="single" w:sz="8" w:color="EDEDED"/>
            </w:tcBorders>
          </w:tcPr>
          <w:p>
            <w:pPr>
              <w:spacing w:after="0"/>
              <w:rPr>
                <w:sz w:val="24"/>
                <w:szCs w:val="24"/>
                <w:color w:val="auto"/>
              </w:rPr>
            </w:pPr>
          </w:p>
        </w:tc>
        <w:tc>
          <w:tcPr>
            <w:tcW w:w="1040" w:type="dxa"/>
            <w:vAlign w:val="bottom"/>
            <w:tcBorders>
              <w:top w:val="single" w:sz="8" w:color="00162F"/>
              <w:bottom w:val="single" w:sz="8" w:color="EDEDED"/>
            </w:tcBorders>
          </w:tcPr>
          <w:p>
            <w:pPr>
              <w:spacing w:after="0"/>
              <w:rPr>
                <w:sz w:val="24"/>
                <w:szCs w:val="24"/>
                <w:color w:val="auto"/>
              </w:rPr>
            </w:pPr>
          </w:p>
        </w:tc>
        <w:tc>
          <w:tcPr>
            <w:tcW w:w="600" w:type="dxa"/>
            <w:vAlign w:val="bottom"/>
            <w:tcBorders>
              <w:top w:val="single" w:sz="8" w:color="00162F"/>
              <w:bottom w:val="single" w:sz="8" w:color="EDEDED"/>
            </w:tcBorders>
          </w:tcPr>
          <w:p>
            <w:pPr>
              <w:spacing w:after="0"/>
              <w:rPr>
                <w:sz w:val="24"/>
                <w:szCs w:val="24"/>
                <w:color w:val="auto"/>
              </w:rPr>
            </w:pPr>
          </w:p>
        </w:tc>
      </w:tr>
      <w:tr>
        <w:trPr>
          <w:trHeight w:val="287"/>
        </w:trPr>
        <w:tc>
          <w:tcPr>
            <w:tcW w:w="40" w:type="dxa"/>
            <w:vAlign w:val="bottom"/>
            <w:shd w:val="clear" w:color="auto" w:fill="EDEDED"/>
          </w:tcPr>
          <w:p>
            <w:pPr>
              <w:spacing w:after="0"/>
              <w:rPr>
                <w:sz w:val="24"/>
                <w:szCs w:val="24"/>
                <w:color w:val="auto"/>
              </w:rPr>
            </w:pPr>
          </w:p>
        </w:tc>
        <w:tc>
          <w:tcPr>
            <w:tcW w:w="7280" w:type="dxa"/>
            <w:vAlign w:val="bottom"/>
            <w:gridSpan w:val="3"/>
            <w:shd w:val="clear" w:color="auto" w:fill="EDEDED"/>
          </w:tcPr>
          <w:p>
            <w:pPr>
              <w:spacing w:after="0"/>
              <w:rPr>
                <w:sz w:val="20"/>
                <w:szCs w:val="20"/>
                <w:color w:val="auto"/>
              </w:rPr>
            </w:pPr>
            <w:r>
              <w:rPr>
                <w:rFonts w:ascii="Arial" w:cs="Arial" w:eastAsia="Arial" w:hAnsi="Arial"/>
                <w:sz w:val="20"/>
                <w:szCs w:val="20"/>
                <w:color w:val="00162F"/>
              </w:rPr>
              <w:t>Net income – GAAP</w:t>
            </w:r>
          </w:p>
        </w:tc>
        <w:tc>
          <w:tcPr>
            <w:tcW w:w="1120" w:type="dxa"/>
            <w:vAlign w:val="bottom"/>
            <w:shd w:val="clear" w:color="auto" w:fill="EDEDED"/>
          </w:tcPr>
          <w:p>
            <w:pPr>
              <w:jc w:val="right"/>
              <w:ind w:right="866"/>
              <w:spacing w:after="0"/>
              <w:rPr>
                <w:sz w:val="20"/>
                <w:szCs w:val="20"/>
                <w:color w:val="auto"/>
              </w:rPr>
            </w:pPr>
            <w:r>
              <w:rPr>
                <w:rFonts w:ascii="Arial" w:cs="Arial" w:eastAsia="Arial" w:hAnsi="Arial"/>
                <w:sz w:val="20"/>
                <w:szCs w:val="20"/>
                <w:color w:val="00162F"/>
              </w:rPr>
              <w:t>$</w:t>
            </w:r>
          </w:p>
        </w:tc>
        <w:tc>
          <w:tcPr>
            <w:tcW w:w="5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111</w:t>
            </w:r>
          </w:p>
        </w:tc>
        <w:tc>
          <w:tcPr>
            <w:tcW w:w="1120" w:type="dxa"/>
            <w:vAlign w:val="bottom"/>
            <w:gridSpan w:val="2"/>
            <w:shd w:val="clear" w:color="auto" w:fill="EDEDED"/>
          </w:tcPr>
          <w:p>
            <w:pPr>
              <w:jc w:val="right"/>
              <w:ind w:right="801"/>
              <w:spacing w:after="0"/>
              <w:rPr>
                <w:sz w:val="20"/>
                <w:szCs w:val="20"/>
                <w:color w:val="auto"/>
              </w:rPr>
            </w:pPr>
            <w:r>
              <w:rPr>
                <w:rFonts w:ascii="Arial" w:cs="Arial" w:eastAsia="Arial" w:hAnsi="Arial"/>
                <w:sz w:val="20"/>
                <w:szCs w:val="20"/>
                <w:color w:val="00162F"/>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846</w:t>
            </w:r>
          </w:p>
        </w:tc>
      </w:tr>
      <w:tr>
        <w:trPr>
          <w:trHeight w:val="293"/>
        </w:trPr>
        <w:tc>
          <w:tcPr>
            <w:tcW w:w="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20"/>
                <w:szCs w:val="20"/>
                <w:color w:val="00162F"/>
              </w:rPr>
              <w:t>Adjusted for: Pre-tax special items, net</w:t>
            </w:r>
          </w:p>
        </w:tc>
        <w:tc>
          <w:tcPr>
            <w:tcW w:w="1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00162F"/>
              </w:rPr>
              <w:t>162</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0162F"/>
              </w:rPr>
              <w:t>667</w:t>
            </w:r>
          </w:p>
        </w:tc>
      </w:tr>
      <w:tr>
        <w:trPr>
          <w:trHeight w:val="291"/>
        </w:trPr>
        <w:tc>
          <w:tcPr>
            <w:tcW w:w="40" w:type="dxa"/>
            <w:vAlign w:val="bottom"/>
            <w:tcBorders>
              <w:bottom w:val="single" w:sz="8" w:color="EDEDED"/>
            </w:tcBorders>
            <w:shd w:val="clear" w:color="auto" w:fill="EDEDED"/>
          </w:tcPr>
          <w:p>
            <w:pPr>
              <w:spacing w:after="0"/>
              <w:rPr>
                <w:sz w:val="24"/>
                <w:szCs w:val="24"/>
                <w:color w:val="auto"/>
              </w:rPr>
            </w:pPr>
          </w:p>
        </w:tc>
        <w:tc>
          <w:tcPr>
            <w:tcW w:w="7280" w:type="dxa"/>
            <w:vAlign w:val="bottom"/>
            <w:tcBorders>
              <w:bottom w:val="single" w:sz="8" w:color="EDEDED"/>
            </w:tcBorders>
            <w:gridSpan w:val="3"/>
            <w:shd w:val="clear" w:color="auto" w:fill="EDEDED"/>
          </w:tcPr>
          <w:p>
            <w:pPr>
              <w:ind w:left="140"/>
              <w:spacing w:after="0"/>
              <w:rPr>
                <w:sz w:val="20"/>
                <w:szCs w:val="20"/>
                <w:color w:val="auto"/>
              </w:rPr>
            </w:pPr>
            <w:r>
              <w:rPr>
                <w:rFonts w:ascii="Arial" w:cs="Arial" w:eastAsia="Arial" w:hAnsi="Arial"/>
                <w:sz w:val="20"/>
                <w:szCs w:val="20"/>
                <w:color w:val="00162F"/>
              </w:rPr>
              <w:t>Adjusted for: Net tax effect of net special items</w:t>
            </w:r>
          </w:p>
        </w:tc>
        <w:tc>
          <w:tcPr>
            <w:tcW w:w="1120" w:type="dxa"/>
            <w:vAlign w:val="bottom"/>
            <w:tcBorders>
              <w:bottom w:val="single" w:sz="8" w:color="00162F"/>
            </w:tcBorders>
            <w:shd w:val="clear" w:color="auto" w:fill="EDEDED"/>
          </w:tcPr>
          <w:p>
            <w:pPr>
              <w:spacing w:after="0"/>
              <w:rPr>
                <w:sz w:val="24"/>
                <w:szCs w:val="24"/>
                <w:color w:val="auto"/>
              </w:rPr>
            </w:pPr>
          </w:p>
        </w:tc>
        <w:tc>
          <w:tcPr>
            <w:tcW w:w="5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(36)</w:t>
            </w:r>
          </w:p>
        </w:tc>
        <w:tc>
          <w:tcPr>
            <w:tcW w:w="8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spacing w:after="0"/>
              <w:rPr>
                <w:sz w:val="24"/>
                <w:szCs w:val="24"/>
                <w:color w:val="auto"/>
              </w:rPr>
            </w:pPr>
          </w:p>
        </w:tc>
        <w:tc>
          <w:tcPr>
            <w:tcW w:w="6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(151)</w:t>
            </w:r>
          </w:p>
        </w:tc>
      </w:tr>
      <w:tr>
        <w:trPr>
          <w:trHeight w:val="257"/>
        </w:trPr>
        <w:tc>
          <w:tcPr>
            <w:tcW w:w="40" w:type="dxa"/>
            <w:vAlign w:val="bottom"/>
          </w:tcPr>
          <w:p>
            <w:pPr>
              <w:spacing w:after="0"/>
              <w:rPr>
                <w:sz w:val="22"/>
                <w:szCs w:val="22"/>
                <w:color w:val="auto"/>
              </w:rPr>
            </w:pPr>
          </w:p>
        </w:tc>
        <w:tc>
          <w:tcPr>
            <w:tcW w:w="7280" w:type="dxa"/>
            <w:vAlign w:val="bottom"/>
            <w:gridSpan w:val="3"/>
          </w:tcPr>
          <w:p>
            <w:pPr>
              <w:spacing w:after="0"/>
              <w:rPr>
                <w:sz w:val="20"/>
                <w:szCs w:val="20"/>
                <w:color w:val="auto"/>
              </w:rPr>
            </w:pPr>
            <w:r>
              <w:rPr>
                <w:rFonts w:ascii="Arial" w:cs="Arial" w:eastAsia="Arial" w:hAnsi="Arial"/>
                <w:sz w:val="20"/>
                <w:szCs w:val="20"/>
                <w:color w:val="00162F"/>
              </w:rPr>
              <w:t>Net income excluding net special items</w:t>
            </w:r>
          </w:p>
        </w:tc>
        <w:tc>
          <w:tcPr>
            <w:tcW w:w="1120" w:type="dxa"/>
            <w:vAlign w:val="bottom"/>
          </w:tcPr>
          <w:p>
            <w:pPr>
              <w:jc w:val="right"/>
              <w:ind w:right="866"/>
              <w:spacing w:after="0"/>
              <w:rPr>
                <w:sz w:val="20"/>
                <w:szCs w:val="20"/>
                <w:color w:val="auto"/>
              </w:rPr>
            </w:pPr>
            <w:r>
              <w:rPr>
                <w:rFonts w:ascii="Arial" w:cs="Arial" w:eastAsia="Arial" w:hAnsi="Arial"/>
                <w:sz w:val="20"/>
                <w:szCs w:val="20"/>
                <w:color w:val="00162F"/>
              </w:rPr>
              <w:t>$</w:t>
            </w:r>
          </w:p>
        </w:tc>
        <w:tc>
          <w:tcPr>
            <w:tcW w:w="520" w:type="dxa"/>
            <w:vAlign w:val="bottom"/>
          </w:tcPr>
          <w:p>
            <w:pPr>
              <w:jc w:val="right"/>
              <w:spacing w:after="0"/>
              <w:rPr>
                <w:sz w:val="20"/>
                <w:szCs w:val="20"/>
                <w:color w:val="auto"/>
              </w:rPr>
            </w:pPr>
            <w:r>
              <w:rPr>
                <w:rFonts w:ascii="Arial" w:cs="Arial" w:eastAsia="Arial" w:hAnsi="Arial"/>
                <w:sz w:val="20"/>
                <w:szCs w:val="20"/>
                <w:color w:val="00162F"/>
              </w:rPr>
              <w:t>237</w:t>
            </w:r>
          </w:p>
        </w:tc>
        <w:tc>
          <w:tcPr>
            <w:tcW w:w="1120" w:type="dxa"/>
            <w:vAlign w:val="bottom"/>
            <w:gridSpan w:val="2"/>
          </w:tcPr>
          <w:p>
            <w:pPr>
              <w:jc w:val="right"/>
              <w:ind w:right="801"/>
              <w:spacing w:after="0"/>
              <w:rPr>
                <w:sz w:val="20"/>
                <w:szCs w:val="20"/>
                <w:color w:val="auto"/>
              </w:rPr>
            </w:pPr>
            <w:r>
              <w:rPr>
                <w:rFonts w:ascii="Arial" w:cs="Arial" w:eastAsia="Arial" w:hAnsi="Arial"/>
                <w:sz w:val="20"/>
                <w:szCs w:val="20"/>
                <w:color w:val="00162F"/>
              </w:rPr>
              <w:t>$</w:t>
            </w:r>
          </w:p>
        </w:tc>
        <w:tc>
          <w:tcPr>
            <w:tcW w:w="600" w:type="dxa"/>
            <w:vAlign w:val="bottom"/>
          </w:tcPr>
          <w:p>
            <w:pPr>
              <w:jc w:val="right"/>
              <w:spacing w:after="0"/>
              <w:rPr>
                <w:sz w:val="20"/>
                <w:szCs w:val="20"/>
                <w:color w:val="auto"/>
              </w:rPr>
            </w:pPr>
            <w:r>
              <w:rPr>
                <w:rFonts w:ascii="Arial" w:cs="Arial" w:eastAsia="Arial" w:hAnsi="Arial"/>
                <w:sz w:val="20"/>
                <w:szCs w:val="20"/>
                <w:color w:val="00162F"/>
                <w:w w:val="99"/>
              </w:rPr>
              <w:t>1,362</w:t>
            </w: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20" w:type="dxa"/>
            <w:vAlign w:val="bottom"/>
            <w:tcBorders>
              <w:top w:val="single" w:sz="8" w:color="00162F"/>
              <w:bottom w:val="single" w:sz="8" w:color="00162F"/>
            </w:tcBorders>
          </w:tcPr>
          <w:p>
            <w:pPr>
              <w:spacing w:after="0" w:line="20" w:lineRule="exact"/>
              <w:rPr>
                <w:sz w:val="1"/>
                <w:szCs w:val="1"/>
                <w:color w:val="auto"/>
              </w:rPr>
            </w:pPr>
          </w:p>
        </w:tc>
        <w:tc>
          <w:tcPr>
            <w:tcW w:w="52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00162F"/>
              <w:bottom w:val="single" w:sz="8" w:color="00162F"/>
            </w:tcBorders>
          </w:tcPr>
          <w:p>
            <w:pPr>
              <w:spacing w:after="0" w:line="20" w:lineRule="exact"/>
              <w:rPr>
                <w:sz w:val="1"/>
                <w:szCs w:val="1"/>
                <w:color w:val="auto"/>
              </w:rPr>
            </w:pPr>
          </w:p>
        </w:tc>
        <w:tc>
          <w:tcPr>
            <w:tcW w:w="600" w:type="dxa"/>
            <w:vAlign w:val="bottom"/>
            <w:tcBorders>
              <w:top w:val="single" w:sz="8" w:color="00162F"/>
              <w:bottom w:val="single" w:sz="8" w:color="00162F"/>
            </w:tcBorders>
          </w:tcPr>
          <w:p>
            <w:pPr>
              <w:spacing w:after="0" w:line="20" w:lineRule="exact"/>
              <w:rPr>
                <w:sz w:val="1"/>
                <w:szCs w:val="1"/>
                <w:color w:val="auto"/>
              </w:rPr>
            </w:pPr>
          </w:p>
        </w:tc>
      </w:tr>
      <w:tr>
        <w:trPr>
          <w:trHeight w:val="133"/>
        </w:trPr>
        <w:tc>
          <w:tcPr>
            <w:tcW w:w="40" w:type="dxa"/>
            <w:vAlign w:val="bottom"/>
            <w:tcBorders>
              <w:bottom w:val="single" w:sz="8" w:color="00162F"/>
            </w:tcBorders>
          </w:tcPr>
          <w:p>
            <w:pPr>
              <w:spacing w:after="0"/>
              <w:rPr>
                <w:sz w:val="11"/>
                <w:szCs w:val="11"/>
                <w:color w:val="auto"/>
              </w:rPr>
            </w:pPr>
          </w:p>
        </w:tc>
        <w:tc>
          <w:tcPr>
            <w:tcW w:w="1920" w:type="dxa"/>
            <w:vAlign w:val="bottom"/>
            <w:tcBorders>
              <w:bottom w:val="single" w:sz="8" w:color="00162F"/>
            </w:tcBorders>
          </w:tcPr>
          <w:p>
            <w:pPr>
              <w:spacing w:after="0"/>
              <w:rPr>
                <w:sz w:val="11"/>
                <w:szCs w:val="11"/>
                <w:color w:val="auto"/>
              </w:rPr>
            </w:pPr>
          </w:p>
        </w:tc>
        <w:tc>
          <w:tcPr>
            <w:tcW w:w="13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4622800</wp:posOffset>
            </wp:positionH>
            <wp:positionV relativeFrom="paragraph">
              <wp:posOffset>-3591560</wp:posOffset>
            </wp:positionV>
            <wp:extent cx="1118870" cy="5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1118870" cy="5016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-3214370</wp:posOffset>
            </wp:positionV>
            <wp:extent cx="1118870" cy="5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1118870" cy="5016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-3025775</wp:posOffset>
            </wp:positionV>
            <wp:extent cx="1118870" cy="50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1118870" cy="5016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-2271395</wp:posOffset>
            </wp:positionV>
            <wp:extent cx="1118870" cy="5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1118870" cy="5016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-2082800</wp:posOffset>
            </wp:positionV>
            <wp:extent cx="1118870" cy="50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1118870" cy="5016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-1906905</wp:posOffset>
            </wp:positionV>
            <wp:extent cx="2190750" cy="75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2190750" cy="7556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-1300480</wp:posOffset>
            </wp:positionV>
            <wp:extent cx="1118870" cy="50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1118870" cy="5016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-1124585</wp:posOffset>
            </wp:positionV>
            <wp:extent cx="2190750" cy="755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2190750" cy="7556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-329565</wp:posOffset>
            </wp:positionV>
            <wp:extent cx="1118870" cy="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1118870" cy="5016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-153670</wp:posOffset>
            </wp:positionV>
            <wp:extent cx="1096645" cy="75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1096645" cy="75565"/>
                    </a:xfrm>
                    <a:prstGeom prst="rect">
                      <a:avLst/>
                    </a:prstGeom>
                    <a:noFill/>
                  </pic:spPr>
                </pic:pic>
              </a:graphicData>
            </a:graphic>
          </wp:anchor>
        </w:drawing>
      </w:r>
    </w:p>
    <w:p>
      <w:pPr>
        <w:spacing w:after="0" w:line="14" w:lineRule="exact"/>
        <w:rPr>
          <w:sz w:val="20"/>
          <w:szCs w:val="20"/>
          <w:color w:val="auto"/>
        </w:rPr>
      </w:pPr>
    </w:p>
    <w:p>
      <w:pPr>
        <w:ind w:left="365" w:hanging="365"/>
        <w:spacing w:after="0"/>
        <w:tabs>
          <w:tab w:leader="none" w:pos="365" w:val="left"/>
        </w:tabs>
        <w:numPr>
          <w:ilvl w:val="0"/>
          <w:numId w:val="27"/>
        </w:numPr>
        <w:rPr>
          <w:rFonts w:ascii="Arial" w:cs="Arial" w:eastAsia="Arial" w:hAnsi="Arial"/>
          <w:sz w:val="12"/>
          <w:szCs w:val="12"/>
          <w:color w:val="00162F"/>
        </w:rPr>
      </w:pPr>
      <w:r>
        <w:rPr>
          <w:rFonts w:ascii="Arial" w:cs="Arial" w:eastAsia="Arial" w:hAnsi="Arial"/>
          <w:sz w:val="19"/>
          <w:szCs w:val="19"/>
          <w:color w:val="00162F"/>
        </w:rPr>
        <w:t>See Note 2 to AAG’s Consolidated Financial Statements in Part II, Item 8A for further information on net special items.</w:t>
      </w:r>
    </w:p>
    <w:p>
      <w:pPr>
        <w:spacing w:after="0" w:line="197" w:lineRule="exact"/>
        <w:rPr>
          <w:rFonts w:ascii="Arial" w:cs="Arial" w:eastAsia="Arial" w:hAnsi="Arial"/>
          <w:sz w:val="12"/>
          <w:szCs w:val="12"/>
          <w:color w:val="00162F"/>
        </w:rPr>
      </w:pPr>
    </w:p>
    <w:p>
      <w:pPr>
        <w:jc w:val="both"/>
        <w:ind w:left="365" w:hanging="365"/>
        <w:spacing w:after="0" w:line="265" w:lineRule="auto"/>
        <w:tabs>
          <w:tab w:leader="none" w:pos="365" w:val="left"/>
        </w:tabs>
        <w:numPr>
          <w:ilvl w:val="0"/>
          <w:numId w:val="27"/>
        </w:numPr>
        <w:rPr>
          <w:rFonts w:ascii="Arial" w:cs="Arial" w:eastAsia="Arial" w:hAnsi="Arial"/>
          <w:sz w:val="13"/>
          <w:szCs w:val="13"/>
          <w:color w:val="00162F"/>
        </w:rPr>
      </w:pPr>
      <w:r>
        <w:rPr>
          <w:rFonts w:ascii="Arial" w:cs="Arial" w:eastAsia="Arial" w:hAnsi="Arial"/>
          <w:sz w:val="20"/>
          <w:szCs w:val="20"/>
          <w:color w:val="00162F"/>
        </w:rPr>
        <w:t>Labor contract expenses for 2025 included a one-time charge resulting from adjustments to vacation accruals due to pay rate increases effective January 1, 2025, following the ratification of the contract extension in the fourth quarter of 2024 with our mainline maintenance and fleet service team members.</w:t>
      </w:r>
    </w:p>
    <w:p>
      <w:pPr>
        <w:spacing w:after="0" w:line="129" w:lineRule="exact"/>
        <w:rPr>
          <w:rFonts w:ascii="Arial" w:cs="Arial" w:eastAsia="Arial" w:hAnsi="Arial"/>
          <w:sz w:val="13"/>
          <w:szCs w:val="13"/>
          <w:color w:val="00162F"/>
        </w:rPr>
      </w:pPr>
    </w:p>
    <w:p>
      <w:pPr>
        <w:jc w:val="both"/>
        <w:ind w:left="365"/>
        <w:spacing w:after="0" w:line="265" w:lineRule="auto"/>
        <w:rPr>
          <w:rFonts w:ascii="Arial" w:cs="Arial" w:eastAsia="Arial" w:hAnsi="Arial"/>
          <w:sz w:val="13"/>
          <w:szCs w:val="13"/>
          <w:color w:val="00162F"/>
        </w:rPr>
      </w:pPr>
      <w:r>
        <w:rPr>
          <w:rFonts w:ascii="Arial" w:cs="Arial" w:eastAsia="Arial" w:hAnsi="Arial"/>
          <w:sz w:val="20"/>
          <w:szCs w:val="20"/>
          <w:color w:val="00162F"/>
        </w:rPr>
        <w:t>Labor contract expenses for 2024 included one-time charges resulting from the ratifications of new CBAs with our mainline flight attendants and passenger service team members, including one-time payments and adjustments to vacation accruals resulting from pay rate increases.</w:t>
      </w:r>
    </w:p>
    <w:p>
      <w:pPr>
        <w:spacing w:after="0" w:line="129" w:lineRule="exact"/>
        <w:rPr>
          <w:rFonts w:ascii="Arial" w:cs="Arial" w:eastAsia="Arial" w:hAnsi="Arial"/>
          <w:sz w:val="13"/>
          <w:szCs w:val="13"/>
          <w:color w:val="00162F"/>
        </w:rPr>
      </w:pPr>
    </w:p>
    <w:p>
      <w:pPr>
        <w:jc w:val="both"/>
        <w:ind w:left="365" w:hanging="365"/>
        <w:spacing w:after="0" w:line="265" w:lineRule="auto"/>
        <w:tabs>
          <w:tab w:leader="none" w:pos="365" w:val="left"/>
        </w:tabs>
        <w:numPr>
          <w:ilvl w:val="0"/>
          <w:numId w:val="27"/>
        </w:numPr>
        <w:rPr>
          <w:rFonts w:ascii="Arial" w:cs="Arial" w:eastAsia="Arial" w:hAnsi="Arial"/>
          <w:sz w:val="13"/>
          <w:szCs w:val="13"/>
          <w:color w:val="00162F"/>
        </w:rPr>
      </w:pPr>
      <w:r>
        <w:rPr>
          <w:rFonts w:ascii="Arial" w:cs="Arial" w:eastAsia="Arial" w:hAnsi="Arial"/>
          <w:sz w:val="20"/>
          <w:szCs w:val="20"/>
          <w:color w:val="00162F"/>
        </w:rPr>
        <w:t>In 2024, we entered into a sales agreement for certain Airbus A330 aircraft, resulting in a $42 million gain. These aircraft were previously retired in 2020 as a result of the decline in demand for air travel due to the COVID-19 pandemic.</w:t>
      </w:r>
    </w:p>
    <w:p>
      <w:pPr>
        <w:spacing w:after="0" w:line="129"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27"/>
        </w:numPr>
        <w:rPr>
          <w:rFonts w:ascii="Arial" w:cs="Arial" w:eastAsia="Arial" w:hAnsi="Arial"/>
          <w:sz w:val="13"/>
          <w:szCs w:val="13"/>
          <w:color w:val="00162F"/>
        </w:rPr>
      </w:pPr>
      <w:r>
        <w:rPr>
          <w:rFonts w:ascii="Arial" w:cs="Arial" w:eastAsia="Arial" w:hAnsi="Arial"/>
          <w:sz w:val="20"/>
          <w:szCs w:val="20"/>
          <w:color w:val="00162F"/>
        </w:rPr>
        <w:t>Regional operating special items, net for 2024 included a $33 million non-cash write down of regional aircraft resulting from the decision to permanently park 43 Embraer ERJ145 aircraft.</w:t>
      </w:r>
    </w:p>
    <w:p>
      <w:pPr>
        <w:sectPr>
          <w:pgSz w:w="11880" w:h="15480" w:orient="portrait"/>
          <w:cols w:equalWidth="0" w:num="1">
            <w:col w:w="10685"/>
          </w:cols>
          <w:pgMar w:left="595" w:top="992" w:right="60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59</w:t>
      </w:r>
    </w:p>
    <w:p>
      <w:pPr>
        <w:sectPr>
          <w:pgSz w:w="11880" w:h="15480" w:orient="portrait"/>
          <w:cols w:equalWidth="0" w:num="1">
            <w:col w:w="10685"/>
          </w:cols>
          <w:pgMar w:left="595" w:top="992" w:right="600" w:bottom="0" w:gutter="0" w:footer="0" w:header="0"/>
          <w:type w:val="continuous"/>
        </w:sectPr>
      </w:pPr>
    </w:p>
    <w:bookmarkStart w:id="60" w:name="page61"/>
    <w:bookmarkEnd w:id="60"/>
    <w:p>
      <w:pPr>
        <w:jc w:val="both"/>
        <w:ind w:left="365" w:hanging="365"/>
        <w:spacing w:after="0" w:line="265" w:lineRule="auto"/>
        <w:tabs>
          <w:tab w:leader="none" w:pos="365" w:val="left"/>
        </w:tabs>
        <w:numPr>
          <w:ilvl w:val="0"/>
          <w:numId w:val="28"/>
        </w:numPr>
        <w:rPr>
          <w:rFonts w:ascii="Arial" w:cs="Arial" w:eastAsia="Arial" w:hAnsi="Arial"/>
          <w:sz w:val="13"/>
          <w:szCs w:val="13"/>
          <w:color w:val="00162F"/>
        </w:rPr>
      </w:pPr>
      <w:r>
        <w:rPr>
          <w:rFonts w:ascii="Arial" w:cs="Arial" w:eastAsia="Arial" w:hAnsi="Arial"/>
          <w:sz w:val="20"/>
          <w:szCs w:val="20"/>
          <w:color w:val="00162F"/>
        </w:rPr>
        <w:t>Mark-to-market adjustments on equity investments, net included net unrealized gains and losses associated with certain equity investments. See Note 8 to AAG’s Consolidated Financial Statements in Part II, Item 8A for further information related to our equity investments.</w:t>
      </w:r>
    </w:p>
    <w:p>
      <w:pPr>
        <w:spacing w:after="0" w:line="129" w:lineRule="exact"/>
        <w:rPr>
          <w:sz w:val="20"/>
          <w:szCs w:val="20"/>
          <w:color w:val="auto"/>
        </w:rPr>
      </w:pPr>
    </w:p>
    <w:p>
      <w:pPr>
        <w:jc w:val="both"/>
        <w:ind w:left="5" w:firstLine="267"/>
        <w:spacing w:after="0" w:line="252" w:lineRule="auto"/>
        <w:rPr>
          <w:sz w:val="20"/>
          <w:szCs w:val="20"/>
          <w:color w:val="auto"/>
        </w:rPr>
      </w:pPr>
      <w:r>
        <w:rPr>
          <w:rFonts w:ascii="Arial" w:cs="Arial" w:eastAsia="Arial" w:hAnsi="Arial"/>
          <w:sz w:val="20"/>
          <w:szCs w:val="20"/>
          <w:color w:val="00162F"/>
        </w:rPr>
        <w:t>Additionally, the table below presents the reconciliation of total operating costs (GAAP measure) to total operating costs excluding net special items and fuel (non-GAAP measure) and total operating cost per available seat mile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net special items and fuel provides management with an additional tool to understand and analyze our non-fuel costs and core operating performance. Amounts may not recalculate due to rounding.</w:t>
      </w:r>
    </w:p>
    <w:p>
      <w:pPr>
        <w:spacing w:after="0" w:line="209" w:lineRule="exact"/>
        <w:rPr>
          <w:sz w:val="20"/>
          <w:szCs w:val="20"/>
          <w:color w:val="auto"/>
        </w:rPr>
      </w:pPr>
    </w:p>
    <w:tbl>
      <w:tblPr>
        <w:tblLayout w:type="fixed"/>
        <w:tblInd w:w="5" w:type="dxa"/>
        <w:tblCellMar>
          <w:top w:w="0" w:type="dxa"/>
          <w:left w:w="0" w:type="dxa"/>
          <w:bottom w:w="0" w:type="dxa"/>
          <w:right w:w="0" w:type="dxa"/>
        </w:tblCellMar>
      </w:tblPr>
      <w:tr>
        <w:trPr>
          <w:trHeight w:val="235"/>
        </w:trPr>
        <w:tc>
          <w:tcPr>
            <w:tcW w:w="19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00" w:type="dxa"/>
            <w:vAlign w:val="bottom"/>
            <w:tcBorders>
              <w:bottom w:val="single" w:sz="8" w:color="00162F"/>
            </w:tcBorders>
          </w:tcPr>
          <w:p>
            <w:pPr>
              <w:spacing w:after="0"/>
              <w:rPr>
                <w:sz w:val="20"/>
                <w:szCs w:val="20"/>
                <w:color w:val="auto"/>
              </w:rPr>
            </w:pPr>
          </w:p>
        </w:tc>
        <w:tc>
          <w:tcPr>
            <w:tcW w:w="2960" w:type="dxa"/>
            <w:vAlign w:val="bottom"/>
            <w:tcBorders>
              <w:bottom w:val="single" w:sz="8" w:color="00162F"/>
            </w:tcBorders>
            <w:gridSpan w:val="4"/>
          </w:tcPr>
          <w:p>
            <w:pPr>
              <w:jc w:val="right"/>
              <w:ind w:right="603"/>
              <w:spacing w:after="0"/>
              <w:rPr>
                <w:sz w:val="20"/>
                <w:szCs w:val="20"/>
                <w:color w:val="auto"/>
              </w:rPr>
            </w:pPr>
            <w:r>
              <w:rPr>
                <w:rFonts w:ascii="Arial" w:cs="Arial" w:eastAsia="Arial" w:hAnsi="Arial"/>
                <w:sz w:val="16"/>
                <w:szCs w:val="16"/>
                <w:b w:val="1"/>
                <w:bCs w:val="1"/>
                <w:color w:val="00162F"/>
              </w:rPr>
              <w:t>Year Ended December 31,</w:t>
            </w:r>
          </w:p>
        </w:tc>
      </w:tr>
      <w:tr>
        <w:trPr>
          <w:trHeight w:val="232"/>
        </w:trPr>
        <w:tc>
          <w:tcPr>
            <w:tcW w:w="1960" w:type="dxa"/>
            <w:vAlign w:val="bottom"/>
            <w:tcBorders>
              <w:bottom w:val="single" w:sz="8" w:color="EDEDED"/>
            </w:tcBorders>
          </w:tcPr>
          <w:p>
            <w:pPr>
              <w:spacing w:after="0"/>
              <w:rPr>
                <w:sz w:val="20"/>
                <w:szCs w:val="20"/>
                <w:color w:val="auto"/>
              </w:rPr>
            </w:pPr>
          </w:p>
        </w:tc>
        <w:tc>
          <w:tcPr>
            <w:tcW w:w="5360" w:type="dxa"/>
            <w:vAlign w:val="bottom"/>
            <w:tcBorders>
              <w:bottom w:val="single" w:sz="8" w:color="EDEDED"/>
            </w:tcBorders>
          </w:tcPr>
          <w:p>
            <w:pPr>
              <w:spacing w:after="0"/>
              <w:rPr>
                <w:sz w:val="20"/>
                <w:szCs w:val="20"/>
                <w:color w:val="auto"/>
              </w:rPr>
            </w:pPr>
          </w:p>
        </w:tc>
        <w:tc>
          <w:tcPr>
            <w:tcW w:w="400" w:type="dxa"/>
            <w:vAlign w:val="bottom"/>
            <w:tcBorders>
              <w:bottom w:val="single" w:sz="8" w:color="00162F"/>
            </w:tcBorders>
          </w:tcPr>
          <w:p>
            <w:pPr>
              <w:spacing w:after="0"/>
              <w:rPr>
                <w:sz w:val="20"/>
                <w:szCs w:val="20"/>
                <w:color w:val="auto"/>
              </w:rPr>
            </w:pPr>
          </w:p>
        </w:tc>
        <w:tc>
          <w:tcPr>
            <w:tcW w:w="1240" w:type="dxa"/>
            <w:vAlign w:val="bottom"/>
            <w:tcBorders>
              <w:bottom w:val="single" w:sz="8" w:color="00162F"/>
            </w:tcBorders>
          </w:tcPr>
          <w:p>
            <w:pPr>
              <w:jc w:val="right"/>
              <w:ind w:right="544"/>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400" w:type="dxa"/>
            <w:vAlign w:val="bottom"/>
            <w:tcBorders>
              <w:bottom w:val="single" w:sz="8" w:color="00162F"/>
            </w:tcBorders>
          </w:tcPr>
          <w:p>
            <w:pPr>
              <w:spacing w:after="0"/>
              <w:rPr>
                <w:sz w:val="20"/>
                <w:szCs w:val="20"/>
                <w:color w:val="auto"/>
              </w:rPr>
            </w:pPr>
          </w:p>
        </w:tc>
        <w:tc>
          <w:tcPr>
            <w:tcW w:w="1240" w:type="dxa"/>
            <w:vAlign w:val="bottom"/>
            <w:tcBorders>
              <w:bottom w:val="single" w:sz="8" w:color="00162F"/>
            </w:tcBorders>
          </w:tcPr>
          <w:p>
            <w:pPr>
              <w:jc w:val="right"/>
              <w:ind w:right="543"/>
              <w:spacing w:after="0"/>
              <w:rPr>
                <w:sz w:val="20"/>
                <w:szCs w:val="20"/>
                <w:color w:val="auto"/>
              </w:rPr>
            </w:pPr>
            <w:r>
              <w:rPr>
                <w:rFonts w:ascii="Arial" w:cs="Arial" w:eastAsia="Arial" w:hAnsi="Arial"/>
                <w:sz w:val="16"/>
                <w:szCs w:val="16"/>
                <w:b w:val="1"/>
                <w:bCs w:val="1"/>
                <w:color w:val="00162F"/>
              </w:rPr>
              <w:t>2024</w:t>
            </w:r>
          </w:p>
        </w:tc>
      </w:tr>
      <w:tr>
        <w:trPr>
          <w:trHeight w:val="262"/>
        </w:trPr>
        <w:tc>
          <w:tcPr>
            <w:tcW w:w="7320" w:type="dxa"/>
            <w:vAlign w:val="bottom"/>
            <w:tcBorders>
              <w:bottom w:val="single" w:sz="8" w:color="00162F"/>
            </w:tcBorders>
            <w:gridSpan w:val="2"/>
            <w:shd w:val="clear" w:color="auto" w:fill="EDEDED"/>
          </w:tcPr>
          <w:p>
            <w:pPr>
              <w:ind w:left="40"/>
              <w:spacing w:after="0"/>
              <w:rPr>
                <w:sz w:val="20"/>
                <w:szCs w:val="20"/>
                <w:color w:val="auto"/>
              </w:rPr>
            </w:pPr>
            <w:r>
              <w:rPr>
                <w:rFonts w:ascii="Arial" w:cs="Arial" w:eastAsia="Arial" w:hAnsi="Arial"/>
                <w:sz w:val="20"/>
                <w:szCs w:val="20"/>
                <w:b w:val="1"/>
                <w:bCs w:val="1"/>
                <w:color w:val="00162F"/>
              </w:rPr>
              <w:t>Reconciliation of CASM Excluding Net Special Items and Fuel:</w:t>
            </w:r>
          </w:p>
        </w:tc>
        <w:tc>
          <w:tcPr>
            <w:tcW w:w="400" w:type="dxa"/>
            <w:vAlign w:val="bottom"/>
            <w:tcBorders>
              <w:bottom w:val="single" w:sz="8" w:color="EDEDED"/>
            </w:tcBorders>
            <w:shd w:val="clear" w:color="auto" w:fill="EDEDED"/>
          </w:tcPr>
          <w:p>
            <w:pPr>
              <w:spacing w:after="0"/>
              <w:rPr>
                <w:sz w:val="22"/>
                <w:szCs w:val="22"/>
                <w:color w:val="auto"/>
              </w:rPr>
            </w:pPr>
          </w:p>
        </w:tc>
        <w:tc>
          <w:tcPr>
            <w:tcW w:w="1240" w:type="dxa"/>
            <w:vAlign w:val="bottom"/>
            <w:tcBorders>
              <w:bottom w:val="single" w:sz="8" w:color="EDEDED"/>
            </w:tcBorders>
            <w:shd w:val="clear" w:color="auto" w:fill="EDEDED"/>
          </w:tcPr>
          <w:p>
            <w:pPr>
              <w:spacing w:after="0"/>
              <w:rPr>
                <w:sz w:val="22"/>
                <w:szCs w:val="22"/>
                <w:color w:val="auto"/>
              </w:rPr>
            </w:pPr>
          </w:p>
        </w:tc>
        <w:tc>
          <w:tcPr>
            <w:tcW w:w="80" w:type="dxa"/>
            <w:vAlign w:val="bottom"/>
            <w:tcBorders>
              <w:bottom w:val="single" w:sz="8" w:color="EDEDED"/>
            </w:tcBorders>
            <w:shd w:val="clear" w:color="auto" w:fill="EDEDED"/>
          </w:tcPr>
          <w:p>
            <w:pPr>
              <w:spacing w:after="0"/>
              <w:rPr>
                <w:sz w:val="22"/>
                <w:szCs w:val="22"/>
                <w:color w:val="auto"/>
              </w:rPr>
            </w:pPr>
          </w:p>
        </w:tc>
        <w:tc>
          <w:tcPr>
            <w:tcW w:w="400" w:type="dxa"/>
            <w:vAlign w:val="bottom"/>
            <w:tcBorders>
              <w:bottom w:val="single" w:sz="8" w:color="EDEDED"/>
            </w:tcBorders>
            <w:shd w:val="clear" w:color="auto" w:fill="EDEDED"/>
          </w:tcPr>
          <w:p>
            <w:pPr>
              <w:spacing w:after="0"/>
              <w:rPr>
                <w:sz w:val="22"/>
                <w:szCs w:val="22"/>
                <w:color w:val="auto"/>
              </w:rPr>
            </w:pPr>
          </w:p>
        </w:tc>
        <w:tc>
          <w:tcPr>
            <w:tcW w:w="1240" w:type="dxa"/>
            <w:vAlign w:val="bottom"/>
            <w:tcBorders>
              <w:bottom w:val="single" w:sz="8" w:color="EDEDED"/>
            </w:tcBorders>
            <w:shd w:val="clear" w:color="auto" w:fill="EDEDED"/>
          </w:tcPr>
          <w:p>
            <w:pPr>
              <w:spacing w:after="0"/>
              <w:rPr>
                <w:sz w:val="22"/>
                <w:szCs w:val="22"/>
                <w:color w:val="auto"/>
              </w:rPr>
            </w:pPr>
          </w:p>
        </w:tc>
      </w:tr>
      <w:tr>
        <w:trPr>
          <w:trHeight w:val="240"/>
        </w:trPr>
        <w:tc>
          <w:tcPr>
            <w:tcW w:w="7320" w:type="dxa"/>
            <w:vAlign w:val="bottom"/>
            <w:gridSpan w:val="2"/>
          </w:tcPr>
          <w:p>
            <w:pPr>
              <w:ind w:left="40"/>
              <w:spacing w:after="0"/>
              <w:rPr>
                <w:sz w:val="20"/>
                <w:szCs w:val="20"/>
                <w:color w:val="auto"/>
              </w:rPr>
            </w:pPr>
            <w:r>
              <w:rPr>
                <w:rFonts w:ascii="Arial" w:cs="Arial" w:eastAsia="Arial" w:hAnsi="Arial"/>
                <w:sz w:val="16"/>
                <w:szCs w:val="16"/>
                <w:b w:val="1"/>
                <w:bCs w:val="1"/>
                <w:color w:val="00162F"/>
              </w:rPr>
              <w:t>(In millions)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9"/>
        </w:trPr>
        <w:tc>
          <w:tcPr>
            <w:tcW w:w="73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Total operating expenses – GAAP</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53,166</w:t>
            </w:r>
          </w:p>
        </w:tc>
        <w:tc>
          <w:tcPr>
            <w:tcW w:w="480" w:type="dxa"/>
            <w:vAlign w:val="bottom"/>
            <w:gridSpan w:val="2"/>
            <w:shd w:val="clear" w:color="auto" w:fill="EDEDED"/>
          </w:tcPr>
          <w:p>
            <w:pPr>
              <w:jc w:val="right"/>
              <w:ind w:right="240"/>
              <w:spacing w:after="0"/>
              <w:rPr>
                <w:sz w:val="20"/>
                <w:szCs w:val="20"/>
                <w:color w:val="auto"/>
              </w:rPr>
            </w:pPr>
            <w:r>
              <w:rPr>
                <w:rFonts w:ascii="Arial" w:cs="Arial" w:eastAsia="Arial" w:hAnsi="Arial"/>
                <w:sz w:val="20"/>
                <w:szCs w:val="20"/>
                <w:color w:val="00162F"/>
              </w:rPr>
              <w:t>$</w:t>
            </w:r>
          </w:p>
        </w:tc>
        <w:tc>
          <w:tcPr>
            <w:tcW w:w="1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51,597</w:t>
            </w:r>
          </w:p>
        </w:tc>
      </w:tr>
      <w:tr>
        <w:trPr>
          <w:trHeight w:val="293"/>
        </w:trPr>
        <w:tc>
          <w:tcPr>
            <w:tcW w:w="7320" w:type="dxa"/>
            <w:vAlign w:val="bottom"/>
            <w:gridSpan w:val="2"/>
          </w:tcPr>
          <w:p>
            <w:pPr>
              <w:ind w:left="40"/>
              <w:spacing w:after="0"/>
              <w:rPr>
                <w:sz w:val="20"/>
                <w:szCs w:val="20"/>
                <w:color w:val="auto"/>
              </w:rPr>
            </w:pPr>
            <w:r>
              <w:rPr>
                <w:rFonts w:ascii="Arial" w:cs="Arial" w:eastAsia="Arial" w:hAnsi="Arial"/>
                <w:sz w:val="20"/>
                <w:szCs w:val="20"/>
                <w:color w:val="00162F"/>
              </w:rPr>
              <w:t xml:space="preserve">Operating net special items </w:t>
            </w:r>
            <w:r>
              <w:rPr>
                <w:rFonts w:ascii="Arial" w:cs="Arial" w:eastAsia="Arial" w:hAnsi="Arial"/>
                <w:sz w:val="12"/>
                <w:szCs w:val="12"/>
                <w:color w:val="00162F"/>
              </w:rPr>
              <w:t>(1)</w:t>
            </w:r>
            <w:r>
              <w:rPr>
                <w:rFonts w:ascii="Arial" w:cs="Arial" w:eastAsia="Arial" w:hAnsi="Arial"/>
                <w:sz w:val="20"/>
                <w:szCs w:val="20"/>
                <w:color w:val="00162F"/>
              </w:rPr>
              <w:t>:</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1"/>
        </w:trPr>
        <w:tc>
          <w:tcPr>
            <w:tcW w:w="7320" w:type="dxa"/>
            <w:vAlign w:val="bottom"/>
            <w:gridSpan w:val="2"/>
            <w:shd w:val="clear" w:color="auto" w:fill="EDEDED"/>
          </w:tcPr>
          <w:p>
            <w:pPr>
              <w:jc w:val="center"/>
              <w:ind w:right="3240"/>
              <w:spacing w:after="0"/>
              <w:rPr>
                <w:sz w:val="20"/>
                <w:szCs w:val="20"/>
                <w:color w:val="auto"/>
              </w:rPr>
            </w:pPr>
            <w:r>
              <w:rPr>
                <w:rFonts w:ascii="Arial" w:cs="Arial" w:eastAsia="Arial" w:hAnsi="Arial"/>
                <w:sz w:val="20"/>
                <w:szCs w:val="20"/>
                <w:color w:val="00162F"/>
                <w:w w:val="98"/>
              </w:rPr>
              <w:t>Mainline operating special items, net</w:t>
            </w:r>
          </w:p>
        </w:tc>
        <w:tc>
          <w:tcPr>
            <w:tcW w:w="40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(159)</w:t>
            </w:r>
          </w:p>
        </w:tc>
        <w:tc>
          <w:tcPr>
            <w:tcW w:w="8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(610)</w:t>
            </w:r>
          </w:p>
        </w:tc>
      </w:tr>
      <w:tr>
        <w:trPr>
          <w:trHeight w:val="293"/>
        </w:trPr>
        <w:tc>
          <w:tcPr>
            <w:tcW w:w="7320" w:type="dxa"/>
            <w:vAlign w:val="bottom"/>
            <w:gridSpan w:val="2"/>
          </w:tcPr>
          <w:p>
            <w:pPr>
              <w:jc w:val="center"/>
              <w:ind w:right="3180"/>
              <w:spacing w:after="0"/>
              <w:rPr>
                <w:sz w:val="20"/>
                <w:szCs w:val="20"/>
                <w:color w:val="auto"/>
              </w:rPr>
            </w:pPr>
            <w:r>
              <w:rPr>
                <w:rFonts w:ascii="Arial" w:cs="Arial" w:eastAsia="Arial" w:hAnsi="Arial"/>
                <w:sz w:val="20"/>
                <w:szCs w:val="20"/>
                <w:color w:val="00162F"/>
                <w:w w:val="99"/>
              </w:rPr>
              <w:t>Regional operating special items, net</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(33)</w:t>
            </w:r>
          </w:p>
        </w:tc>
      </w:tr>
      <w:tr>
        <w:trPr>
          <w:trHeight w:val="291"/>
        </w:trPr>
        <w:tc>
          <w:tcPr>
            <w:tcW w:w="732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Aircraft fuel and related taxes</w:t>
            </w:r>
          </w:p>
        </w:tc>
        <w:tc>
          <w:tcPr>
            <w:tcW w:w="400" w:type="dxa"/>
            <w:vAlign w:val="bottom"/>
            <w:tcBorders>
              <w:bottom w:val="single" w:sz="8" w:color="00162F"/>
            </w:tcBorders>
            <w:shd w:val="clear" w:color="auto" w:fill="EDEDED"/>
          </w:tcPr>
          <w:p>
            <w:pPr>
              <w:spacing w:after="0"/>
              <w:rPr>
                <w:sz w:val="24"/>
                <w:szCs w:val="24"/>
                <w:color w:val="auto"/>
              </w:rPr>
            </w:pPr>
          </w:p>
        </w:tc>
        <w:tc>
          <w:tcPr>
            <w:tcW w:w="12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(10,718)</w:t>
            </w:r>
          </w:p>
        </w:tc>
        <w:tc>
          <w:tcPr>
            <w:tcW w:w="80" w:type="dxa"/>
            <w:vAlign w:val="bottom"/>
            <w:tcBorders>
              <w:bottom w:val="single" w:sz="8" w:color="EDEDED"/>
            </w:tcBorders>
            <w:shd w:val="clear" w:color="auto" w:fill="EDEDED"/>
          </w:tcPr>
          <w:p>
            <w:pPr>
              <w:spacing w:after="0"/>
              <w:rPr>
                <w:sz w:val="24"/>
                <w:szCs w:val="24"/>
                <w:color w:val="auto"/>
              </w:rPr>
            </w:pPr>
          </w:p>
        </w:tc>
        <w:tc>
          <w:tcPr>
            <w:tcW w:w="400" w:type="dxa"/>
            <w:vAlign w:val="bottom"/>
            <w:tcBorders>
              <w:bottom w:val="single" w:sz="8" w:color="00162F"/>
            </w:tcBorders>
            <w:shd w:val="clear" w:color="auto" w:fill="EDEDED"/>
          </w:tcPr>
          <w:p>
            <w:pPr>
              <w:spacing w:after="0"/>
              <w:rPr>
                <w:sz w:val="24"/>
                <w:szCs w:val="24"/>
                <w:color w:val="auto"/>
              </w:rPr>
            </w:pPr>
          </w:p>
        </w:tc>
        <w:tc>
          <w:tcPr>
            <w:tcW w:w="12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(11,418)</w:t>
            </w:r>
          </w:p>
        </w:tc>
      </w:tr>
      <w:tr>
        <w:trPr>
          <w:trHeight w:val="297"/>
        </w:trPr>
        <w:tc>
          <w:tcPr>
            <w:tcW w:w="7320" w:type="dxa"/>
            <w:vAlign w:val="bottom"/>
            <w:gridSpan w:val="2"/>
          </w:tcPr>
          <w:p>
            <w:pPr>
              <w:ind w:left="40"/>
              <w:spacing w:after="0"/>
              <w:rPr>
                <w:sz w:val="20"/>
                <w:szCs w:val="20"/>
                <w:color w:val="auto"/>
              </w:rPr>
            </w:pPr>
            <w:r>
              <w:rPr>
                <w:rFonts w:ascii="Arial" w:cs="Arial" w:eastAsia="Arial" w:hAnsi="Arial"/>
                <w:sz w:val="20"/>
                <w:szCs w:val="20"/>
                <w:color w:val="00162F"/>
              </w:rPr>
              <w:t>Total operating expenses, excluding net special items and fuel</w:t>
            </w:r>
          </w:p>
        </w:tc>
        <w:tc>
          <w:tcPr>
            <w:tcW w:w="400" w:type="dxa"/>
            <w:vAlign w:val="bottom"/>
          </w:tcPr>
          <w:p>
            <w:pPr>
              <w:jc w:val="right"/>
              <w:ind w:right="141"/>
              <w:spacing w:after="0"/>
              <w:rPr>
                <w:sz w:val="20"/>
                <w:szCs w:val="20"/>
                <w:color w:val="auto"/>
              </w:rPr>
            </w:pPr>
            <w:r>
              <w:rPr>
                <w:rFonts w:ascii="Arial" w:cs="Arial" w:eastAsia="Arial" w:hAnsi="Arial"/>
                <w:sz w:val="20"/>
                <w:szCs w:val="20"/>
                <w:color w:val="00162F"/>
              </w:rPr>
              <w:t>$</w:t>
            </w:r>
          </w:p>
        </w:tc>
        <w:tc>
          <w:tcPr>
            <w:tcW w:w="1240" w:type="dxa"/>
            <w:vAlign w:val="bottom"/>
          </w:tcPr>
          <w:p>
            <w:pPr>
              <w:jc w:val="right"/>
              <w:spacing w:after="0"/>
              <w:rPr>
                <w:sz w:val="20"/>
                <w:szCs w:val="20"/>
                <w:color w:val="auto"/>
              </w:rPr>
            </w:pPr>
            <w:r>
              <w:rPr>
                <w:rFonts w:ascii="Arial" w:cs="Arial" w:eastAsia="Arial" w:hAnsi="Arial"/>
                <w:sz w:val="20"/>
                <w:szCs w:val="20"/>
                <w:color w:val="00162F"/>
              </w:rPr>
              <w:t>42,286</w:t>
            </w:r>
          </w:p>
        </w:tc>
        <w:tc>
          <w:tcPr>
            <w:tcW w:w="480" w:type="dxa"/>
            <w:vAlign w:val="bottom"/>
            <w:gridSpan w:val="2"/>
          </w:tcPr>
          <w:p>
            <w:pPr>
              <w:jc w:val="right"/>
              <w:ind w:right="240"/>
              <w:spacing w:after="0"/>
              <w:rPr>
                <w:sz w:val="20"/>
                <w:szCs w:val="20"/>
                <w:color w:val="auto"/>
              </w:rPr>
            </w:pPr>
            <w:r>
              <w:rPr>
                <w:rFonts w:ascii="Arial" w:cs="Arial" w:eastAsia="Arial" w:hAnsi="Arial"/>
                <w:sz w:val="20"/>
                <w:szCs w:val="20"/>
                <w:color w:val="00162F"/>
              </w:rPr>
              <w:t>$</w:t>
            </w:r>
          </w:p>
        </w:tc>
        <w:tc>
          <w:tcPr>
            <w:tcW w:w="1240" w:type="dxa"/>
            <w:vAlign w:val="bottom"/>
          </w:tcPr>
          <w:p>
            <w:pPr>
              <w:jc w:val="right"/>
              <w:spacing w:after="0"/>
              <w:rPr>
                <w:sz w:val="20"/>
                <w:szCs w:val="20"/>
                <w:color w:val="auto"/>
              </w:rPr>
            </w:pPr>
            <w:r>
              <w:rPr>
                <w:rFonts w:ascii="Arial" w:cs="Arial" w:eastAsia="Arial" w:hAnsi="Arial"/>
                <w:sz w:val="20"/>
                <w:szCs w:val="20"/>
                <w:color w:val="00162F"/>
              </w:rPr>
              <w:t>39,536</w:t>
            </w:r>
          </w:p>
        </w:tc>
      </w:tr>
      <w:tr>
        <w:trPr>
          <w:trHeight w:val="223"/>
        </w:trPr>
        <w:tc>
          <w:tcPr>
            <w:tcW w:w="7320" w:type="dxa"/>
            <w:vAlign w:val="bottom"/>
            <w:tcBorders>
              <w:top w:val="single" w:sz="8" w:color="EDEDED"/>
            </w:tcBorders>
            <w:gridSpan w:val="2"/>
            <w:shd w:val="clear" w:color="auto" w:fill="EDEDED"/>
          </w:tcPr>
          <w:p>
            <w:pPr>
              <w:ind w:left="40"/>
              <w:spacing w:after="0"/>
              <w:rPr>
                <w:sz w:val="20"/>
                <w:szCs w:val="20"/>
                <w:color w:val="auto"/>
              </w:rPr>
            </w:pPr>
            <w:r>
              <w:rPr>
                <w:rFonts w:ascii="Arial" w:cs="Arial" w:eastAsia="Arial" w:hAnsi="Arial"/>
                <w:sz w:val="16"/>
                <w:szCs w:val="16"/>
                <w:b w:val="1"/>
                <w:bCs w:val="1"/>
                <w:color w:val="00162F"/>
              </w:rPr>
              <w:t>(In millions)</w:t>
            </w:r>
          </w:p>
        </w:tc>
        <w:tc>
          <w:tcPr>
            <w:tcW w:w="400" w:type="dxa"/>
            <w:vAlign w:val="bottom"/>
            <w:tcBorders>
              <w:top w:val="single" w:sz="8" w:color="00162F"/>
            </w:tcBorders>
            <w:shd w:val="clear" w:color="auto" w:fill="EDEDED"/>
          </w:tcPr>
          <w:p>
            <w:pPr>
              <w:spacing w:after="0"/>
              <w:rPr>
                <w:sz w:val="19"/>
                <w:szCs w:val="19"/>
                <w:color w:val="auto"/>
              </w:rPr>
            </w:pPr>
          </w:p>
        </w:tc>
        <w:tc>
          <w:tcPr>
            <w:tcW w:w="1240" w:type="dxa"/>
            <w:vAlign w:val="bottom"/>
            <w:tcBorders>
              <w:top w:val="single" w:sz="8" w:color="00162F"/>
            </w:tcBorders>
            <w:shd w:val="clear" w:color="auto" w:fill="EDEDED"/>
          </w:tcPr>
          <w:p>
            <w:pPr>
              <w:spacing w:after="0"/>
              <w:rPr>
                <w:sz w:val="19"/>
                <w:szCs w:val="19"/>
                <w:color w:val="auto"/>
              </w:rPr>
            </w:pPr>
          </w:p>
        </w:tc>
        <w:tc>
          <w:tcPr>
            <w:tcW w:w="80" w:type="dxa"/>
            <w:vAlign w:val="bottom"/>
            <w:tcBorders>
              <w:top w:val="single" w:sz="8" w:color="EDEDED"/>
            </w:tcBorders>
            <w:shd w:val="clear" w:color="auto" w:fill="EDEDED"/>
          </w:tcPr>
          <w:p>
            <w:pPr>
              <w:spacing w:after="0"/>
              <w:rPr>
                <w:sz w:val="19"/>
                <w:szCs w:val="19"/>
                <w:color w:val="auto"/>
              </w:rPr>
            </w:pPr>
          </w:p>
        </w:tc>
        <w:tc>
          <w:tcPr>
            <w:tcW w:w="400" w:type="dxa"/>
            <w:vAlign w:val="bottom"/>
            <w:tcBorders>
              <w:top w:val="single" w:sz="8" w:color="00162F"/>
            </w:tcBorders>
            <w:shd w:val="clear" w:color="auto" w:fill="EDEDED"/>
          </w:tcPr>
          <w:p>
            <w:pPr>
              <w:spacing w:after="0"/>
              <w:rPr>
                <w:sz w:val="19"/>
                <w:szCs w:val="19"/>
                <w:color w:val="auto"/>
              </w:rPr>
            </w:pPr>
          </w:p>
        </w:tc>
        <w:tc>
          <w:tcPr>
            <w:tcW w:w="1240" w:type="dxa"/>
            <w:vAlign w:val="bottom"/>
            <w:tcBorders>
              <w:top w:val="single" w:sz="8" w:color="00162F"/>
            </w:tcBorders>
            <w:shd w:val="clear" w:color="auto" w:fill="EDEDED"/>
          </w:tcPr>
          <w:p>
            <w:pPr>
              <w:spacing w:after="0"/>
              <w:rPr>
                <w:sz w:val="19"/>
                <w:szCs w:val="19"/>
                <w:color w:val="auto"/>
              </w:rPr>
            </w:pPr>
          </w:p>
        </w:tc>
      </w:tr>
      <w:tr>
        <w:trPr>
          <w:trHeight w:val="293"/>
        </w:trPr>
        <w:tc>
          <w:tcPr>
            <w:tcW w:w="7320" w:type="dxa"/>
            <w:vAlign w:val="bottom"/>
            <w:gridSpan w:val="2"/>
          </w:tcPr>
          <w:p>
            <w:pPr>
              <w:ind w:left="40"/>
              <w:spacing w:after="0"/>
              <w:rPr>
                <w:sz w:val="20"/>
                <w:szCs w:val="20"/>
                <w:color w:val="auto"/>
              </w:rPr>
            </w:pPr>
            <w:r>
              <w:rPr>
                <w:rFonts w:ascii="Arial" w:cs="Arial" w:eastAsia="Arial" w:hAnsi="Arial"/>
                <w:sz w:val="20"/>
                <w:szCs w:val="20"/>
                <w:color w:val="00162F"/>
              </w:rPr>
              <w:t>Total Available Seat Miles (ASM)</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299,411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292,948</w:t>
            </w:r>
          </w:p>
        </w:tc>
      </w:tr>
      <w:tr>
        <w:trPr>
          <w:trHeight w:val="256"/>
        </w:trPr>
        <w:tc>
          <w:tcPr>
            <w:tcW w:w="7320" w:type="dxa"/>
            <w:vAlign w:val="bottom"/>
            <w:gridSpan w:val="2"/>
            <w:shd w:val="clear" w:color="auto" w:fill="EDEDED"/>
          </w:tcPr>
          <w:p>
            <w:pPr>
              <w:ind w:left="40"/>
              <w:spacing w:after="0"/>
              <w:rPr>
                <w:sz w:val="20"/>
                <w:szCs w:val="20"/>
                <w:color w:val="auto"/>
              </w:rPr>
            </w:pPr>
            <w:r>
              <w:rPr>
                <w:rFonts w:ascii="Arial" w:cs="Arial" w:eastAsia="Arial" w:hAnsi="Arial"/>
                <w:sz w:val="16"/>
                <w:szCs w:val="16"/>
                <w:b w:val="1"/>
                <w:bCs w:val="1"/>
                <w:color w:val="00162F"/>
              </w:rPr>
              <w:t>(In cents)</w:t>
            </w:r>
          </w:p>
        </w:tc>
        <w:tc>
          <w:tcPr>
            <w:tcW w:w="400" w:type="dxa"/>
            <w:vAlign w:val="bottom"/>
            <w:shd w:val="clear" w:color="auto" w:fill="EDEDED"/>
          </w:tcPr>
          <w:p>
            <w:pPr>
              <w:spacing w:after="0"/>
              <w:rPr>
                <w:sz w:val="22"/>
                <w:szCs w:val="22"/>
                <w:color w:val="auto"/>
              </w:rPr>
            </w:pPr>
          </w:p>
        </w:tc>
        <w:tc>
          <w:tcPr>
            <w:tcW w:w="1240" w:type="dxa"/>
            <w:vAlign w:val="bottom"/>
            <w:shd w:val="clear" w:color="auto" w:fill="EDEDED"/>
          </w:tcPr>
          <w:p>
            <w:pPr>
              <w:spacing w:after="0"/>
              <w:rPr>
                <w:sz w:val="22"/>
                <w:szCs w:val="22"/>
                <w:color w:val="auto"/>
              </w:rPr>
            </w:pPr>
          </w:p>
        </w:tc>
        <w:tc>
          <w:tcPr>
            <w:tcW w:w="80" w:type="dxa"/>
            <w:vAlign w:val="bottom"/>
            <w:shd w:val="clear" w:color="auto" w:fill="EDEDED"/>
          </w:tcPr>
          <w:p>
            <w:pPr>
              <w:spacing w:after="0"/>
              <w:rPr>
                <w:sz w:val="22"/>
                <w:szCs w:val="22"/>
                <w:color w:val="auto"/>
              </w:rPr>
            </w:pPr>
          </w:p>
        </w:tc>
        <w:tc>
          <w:tcPr>
            <w:tcW w:w="400" w:type="dxa"/>
            <w:vAlign w:val="bottom"/>
            <w:shd w:val="clear" w:color="auto" w:fill="EDEDED"/>
          </w:tcPr>
          <w:p>
            <w:pPr>
              <w:spacing w:after="0"/>
              <w:rPr>
                <w:sz w:val="22"/>
                <w:szCs w:val="22"/>
                <w:color w:val="auto"/>
              </w:rPr>
            </w:pPr>
          </w:p>
        </w:tc>
        <w:tc>
          <w:tcPr>
            <w:tcW w:w="1240" w:type="dxa"/>
            <w:vAlign w:val="bottom"/>
            <w:shd w:val="clear" w:color="auto" w:fill="EDEDED"/>
          </w:tcPr>
          <w:p>
            <w:pPr>
              <w:spacing w:after="0"/>
              <w:rPr>
                <w:sz w:val="22"/>
                <w:szCs w:val="22"/>
                <w:color w:val="auto"/>
              </w:rPr>
            </w:pPr>
          </w:p>
        </w:tc>
      </w:tr>
      <w:tr>
        <w:trPr>
          <w:trHeight w:val="293"/>
        </w:trPr>
        <w:tc>
          <w:tcPr>
            <w:tcW w:w="7320" w:type="dxa"/>
            <w:vAlign w:val="bottom"/>
            <w:gridSpan w:val="2"/>
          </w:tcPr>
          <w:p>
            <w:pPr>
              <w:ind w:left="40"/>
              <w:spacing w:after="0"/>
              <w:rPr>
                <w:sz w:val="20"/>
                <w:szCs w:val="20"/>
                <w:color w:val="auto"/>
              </w:rPr>
            </w:pPr>
            <w:r>
              <w:rPr>
                <w:rFonts w:ascii="Arial" w:cs="Arial" w:eastAsia="Arial" w:hAnsi="Arial"/>
                <w:sz w:val="20"/>
                <w:szCs w:val="20"/>
                <w:color w:val="00162F"/>
              </w:rPr>
              <w:t>CASM</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17.76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17.61</w:t>
            </w:r>
          </w:p>
        </w:tc>
      </w:tr>
      <w:tr>
        <w:trPr>
          <w:trHeight w:val="301"/>
        </w:trPr>
        <w:tc>
          <w:tcPr>
            <w:tcW w:w="73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Operating net special items per ASM </w:t>
            </w:r>
            <w:r>
              <w:rPr>
                <w:rFonts w:ascii="Arial" w:cs="Arial" w:eastAsia="Arial" w:hAnsi="Arial"/>
                <w:sz w:val="12"/>
                <w:szCs w:val="12"/>
                <w:color w:val="00162F"/>
              </w:rPr>
              <w:t>(1)</w:t>
            </w:r>
            <w:r>
              <w:rPr>
                <w:rFonts w:ascii="Arial" w:cs="Arial" w:eastAsia="Arial" w:hAnsi="Arial"/>
                <w:sz w:val="20"/>
                <w:szCs w:val="20"/>
                <w:color w:val="00162F"/>
              </w:rPr>
              <w:t>:</w:t>
            </w:r>
          </w:p>
        </w:tc>
        <w:tc>
          <w:tcPr>
            <w:tcW w:w="400" w:type="dxa"/>
            <w:vAlign w:val="bottom"/>
            <w:shd w:val="clear" w:color="auto" w:fill="EDEDED"/>
          </w:tcPr>
          <w:p>
            <w:pPr>
              <w:spacing w:after="0"/>
              <w:rPr>
                <w:sz w:val="24"/>
                <w:szCs w:val="24"/>
                <w:color w:val="auto"/>
              </w:rPr>
            </w:pPr>
          </w:p>
        </w:tc>
        <w:tc>
          <w:tcPr>
            <w:tcW w:w="12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1240" w:type="dxa"/>
            <w:vAlign w:val="bottom"/>
            <w:shd w:val="clear" w:color="auto" w:fill="EDEDED"/>
          </w:tcPr>
          <w:p>
            <w:pPr>
              <w:spacing w:after="0"/>
              <w:rPr>
                <w:sz w:val="24"/>
                <w:szCs w:val="24"/>
                <w:color w:val="auto"/>
              </w:rPr>
            </w:pPr>
          </w:p>
        </w:tc>
      </w:tr>
      <w:tr>
        <w:trPr>
          <w:trHeight w:val="293"/>
        </w:trPr>
        <w:tc>
          <w:tcPr>
            <w:tcW w:w="7320" w:type="dxa"/>
            <w:vAlign w:val="bottom"/>
            <w:gridSpan w:val="2"/>
          </w:tcPr>
          <w:p>
            <w:pPr>
              <w:ind w:left="400"/>
              <w:spacing w:after="0"/>
              <w:rPr>
                <w:sz w:val="20"/>
                <w:szCs w:val="20"/>
                <w:color w:val="auto"/>
              </w:rPr>
            </w:pPr>
            <w:r>
              <w:rPr>
                <w:rFonts w:ascii="Arial" w:cs="Arial" w:eastAsia="Arial" w:hAnsi="Arial"/>
                <w:sz w:val="20"/>
                <w:szCs w:val="20"/>
                <w:color w:val="00162F"/>
              </w:rPr>
              <w:t>Mainline operating special items, net</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(0.05)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(0.21)</w:t>
            </w:r>
          </w:p>
        </w:tc>
      </w:tr>
      <w:tr>
        <w:trPr>
          <w:trHeight w:val="301"/>
        </w:trPr>
        <w:tc>
          <w:tcPr>
            <w:tcW w:w="7320" w:type="dxa"/>
            <w:vAlign w:val="bottom"/>
            <w:gridSpan w:val="2"/>
            <w:shd w:val="clear" w:color="auto" w:fill="EDEDED"/>
          </w:tcPr>
          <w:p>
            <w:pPr>
              <w:jc w:val="center"/>
              <w:ind w:right="3280"/>
              <w:spacing w:after="0"/>
              <w:rPr>
                <w:sz w:val="20"/>
                <w:szCs w:val="20"/>
                <w:color w:val="auto"/>
              </w:rPr>
            </w:pPr>
            <w:r>
              <w:rPr>
                <w:rFonts w:ascii="Arial" w:cs="Arial" w:eastAsia="Arial" w:hAnsi="Arial"/>
                <w:sz w:val="20"/>
                <w:szCs w:val="20"/>
                <w:color w:val="00162F"/>
                <w:w w:val="98"/>
              </w:rPr>
              <w:t>Regional operating special items, net</w:t>
            </w:r>
          </w:p>
        </w:tc>
        <w:tc>
          <w:tcPr>
            <w:tcW w:w="40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(0.01)</w:t>
            </w:r>
          </w:p>
        </w:tc>
      </w:tr>
      <w:tr>
        <w:trPr>
          <w:trHeight w:val="287"/>
        </w:trPr>
        <w:tc>
          <w:tcPr>
            <w:tcW w:w="7320" w:type="dxa"/>
            <w:vAlign w:val="bottom"/>
            <w:tcBorders>
              <w:bottom w:val="single" w:sz="8" w:color="EDEDED"/>
            </w:tcBorders>
            <w:gridSpan w:val="2"/>
          </w:tcPr>
          <w:p>
            <w:pPr>
              <w:ind w:left="40"/>
              <w:spacing w:after="0"/>
              <w:rPr>
                <w:sz w:val="20"/>
                <w:szCs w:val="20"/>
                <w:color w:val="auto"/>
              </w:rPr>
            </w:pPr>
            <w:r>
              <w:rPr>
                <w:rFonts w:ascii="Arial" w:cs="Arial" w:eastAsia="Arial" w:hAnsi="Arial"/>
                <w:sz w:val="20"/>
                <w:szCs w:val="20"/>
                <w:color w:val="00162F"/>
              </w:rPr>
              <w:t>Aircraft fuel and related taxes per ASM</w:t>
            </w:r>
          </w:p>
        </w:tc>
        <w:tc>
          <w:tcPr>
            <w:tcW w:w="400" w:type="dxa"/>
            <w:vAlign w:val="bottom"/>
            <w:tcBorders>
              <w:bottom w:val="single" w:sz="8" w:color="00162F"/>
            </w:tcBorders>
          </w:tcPr>
          <w:p>
            <w:pPr>
              <w:spacing w:after="0"/>
              <w:rPr>
                <w:sz w:val="24"/>
                <w:szCs w:val="24"/>
                <w:color w:val="auto"/>
              </w:rPr>
            </w:pPr>
          </w:p>
        </w:tc>
        <w:tc>
          <w:tcPr>
            <w:tcW w:w="12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(3.58)</w:t>
            </w:r>
          </w:p>
        </w:tc>
        <w:tc>
          <w:tcPr>
            <w:tcW w:w="80" w:type="dxa"/>
            <w:vAlign w:val="bottom"/>
            <w:tcBorders>
              <w:bottom w:val="single" w:sz="8" w:color="EDEDED"/>
            </w:tcBorders>
          </w:tcPr>
          <w:p>
            <w:pPr>
              <w:spacing w:after="0"/>
              <w:rPr>
                <w:sz w:val="24"/>
                <w:szCs w:val="24"/>
                <w:color w:val="auto"/>
              </w:rPr>
            </w:pPr>
          </w:p>
        </w:tc>
        <w:tc>
          <w:tcPr>
            <w:tcW w:w="400" w:type="dxa"/>
            <w:vAlign w:val="bottom"/>
            <w:tcBorders>
              <w:bottom w:val="single" w:sz="8" w:color="00162F"/>
            </w:tcBorders>
          </w:tcPr>
          <w:p>
            <w:pPr>
              <w:spacing w:after="0"/>
              <w:rPr>
                <w:sz w:val="24"/>
                <w:szCs w:val="24"/>
                <w:color w:val="auto"/>
              </w:rPr>
            </w:pPr>
          </w:p>
        </w:tc>
        <w:tc>
          <w:tcPr>
            <w:tcW w:w="12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(3.90)</w:t>
            </w:r>
          </w:p>
        </w:tc>
      </w:tr>
      <w:tr>
        <w:trPr>
          <w:trHeight w:val="297"/>
        </w:trPr>
        <w:tc>
          <w:tcPr>
            <w:tcW w:w="732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CASM, excluding net special items and fuel</w:t>
            </w:r>
          </w:p>
        </w:tc>
        <w:tc>
          <w:tcPr>
            <w:tcW w:w="400" w:type="dxa"/>
            <w:vAlign w:val="bottom"/>
            <w:tcBorders>
              <w:bottom w:val="single" w:sz="8" w:color="00162F"/>
            </w:tcBorders>
            <w:shd w:val="clear" w:color="auto" w:fill="EDEDED"/>
          </w:tcPr>
          <w:p>
            <w:pPr>
              <w:spacing w:after="0"/>
              <w:rPr>
                <w:sz w:val="24"/>
                <w:szCs w:val="24"/>
                <w:color w:val="auto"/>
              </w:rPr>
            </w:pPr>
          </w:p>
        </w:tc>
        <w:tc>
          <w:tcPr>
            <w:tcW w:w="12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14.12</w:t>
            </w:r>
          </w:p>
        </w:tc>
        <w:tc>
          <w:tcPr>
            <w:tcW w:w="80" w:type="dxa"/>
            <w:vAlign w:val="bottom"/>
            <w:tcBorders>
              <w:bottom w:val="single" w:sz="8" w:color="EDEDED"/>
            </w:tcBorders>
            <w:shd w:val="clear" w:color="auto" w:fill="EDEDED"/>
          </w:tcPr>
          <w:p>
            <w:pPr>
              <w:spacing w:after="0"/>
              <w:rPr>
                <w:sz w:val="24"/>
                <w:szCs w:val="24"/>
                <w:color w:val="auto"/>
              </w:rPr>
            </w:pPr>
          </w:p>
        </w:tc>
        <w:tc>
          <w:tcPr>
            <w:tcW w:w="400" w:type="dxa"/>
            <w:vAlign w:val="bottom"/>
            <w:tcBorders>
              <w:bottom w:val="single" w:sz="8" w:color="00162F"/>
            </w:tcBorders>
            <w:shd w:val="clear" w:color="auto" w:fill="EDEDED"/>
          </w:tcPr>
          <w:p>
            <w:pPr>
              <w:spacing w:after="0"/>
              <w:rPr>
                <w:sz w:val="24"/>
                <w:szCs w:val="24"/>
                <w:color w:val="auto"/>
              </w:rPr>
            </w:pPr>
          </w:p>
        </w:tc>
        <w:tc>
          <w:tcPr>
            <w:tcW w:w="12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13.50</w:t>
            </w:r>
          </w:p>
        </w:tc>
      </w:tr>
      <w:tr>
        <w:trPr>
          <w:trHeight w:val="133"/>
        </w:trPr>
        <w:tc>
          <w:tcPr>
            <w:tcW w:w="1960" w:type="dxa"/>
            <w:vAlign w:val="bottom"/>
            <w:tcBorders>
              <w:bottom w:val="single" w:sz="8" w:color="00162F"/>
            </w:tcBorders>
          </w:tcPr>
          <w:p>
            <w:pPr>
              <w:spacing w:after="0"/>
              <w:rPr>
                <w:sz w:val="11"/>
                <w:szCs w:val="11"/>
                <w:color w:val="auto"/>
              </w:rPr>
            </w:pPr>
          </w:p>
        </w:tc>
        <w:tc>
          <w:tcPr>
            <w:tcW w:w="5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-3239770</wp:posOffset>
            </wp:positionV>
            <wp:extent cx="21653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2165350" cy="2540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-1957705</wp:posOffset>
            </wp:positionV>
            <wp:extent cx="110617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1106170" cy="2540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-1781175</wp:posOffset>
            </wp:positionV>
            <wp:extent cx="216535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2165350" cy="5080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-316865</wp:posOffset>
            </wp:positionV>
            <wp:extent cx="110617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1106170" cy="2540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-140970</wp:posOffset>
            </wp:positionV>
            <wp:extent cx="216535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2165350" cy="50800"/>
                    </a:xfrm>
                    <a:prstGeom prst="rect">
                      <a:avLst/>
                    </a:prstGeom>
                    <a:noFill/>
                  </pic:spPr>
                </pic:pic>
              </a:graphicData>
            </a:graphic>
          </wp:anchor>
        </w:drawing>
      </w:r>
    </w:p>
    <w:p>
      <w:pPr>
        <w:spacing w:after="0" w:line="14" w:lineRule="exact"/>
        <w:rPr>
          <w:sz w:val="20"/>
          <w:szCs w:val="20"/>
          <w:color w:val="auto"/>
        </w:rPr>
      </w:pPr>
    </w:p>
    <w:p>
      <w:pPr>
        <w:ind w:left="365" w:hanging="365"/>
        <w:spacing w:after="0"/>
        <w:tabs>
          <w:tab w:leader="none" w:pos="365" w:val="left"/>
        </w:tabs>
        <w:numPr>
          <w:ilvl w:val="0"/>
          <w:numId w:val="29"/>
        </w:numPr>
        <w:rPr>
          <w:rFonts w:ascii="Arial" w:cs="Arial" w:eastAsia="Arial" w:hAnsi="Arial"/>
          <w:sz w:val="12"/>
          <w:szCs w:val="12"/>
          <w:color w:val="00162F"/>
        </w:rPr>
      </w:pPr>
      <w:r>
        <w:rPr>
          <w:rFonts w:ascii="Arial" w:cs="Arial" w:eastAsia="Arial" w:hAnsi="Arial"/>
          <w:sz w:val="19"/>
          <w:szCs w:val="19"/>
          <w:color w:val="00162F"/>
        </w:rPr>
        <w:t>See Note 2 to AAG’s Consolidated Financial Statements in Part II, Item 8A for further information on net special items.</w:t>
      </w:r>
    </w:p>
    <w:p>
      <w:pPr>
        <w:sectPr>
          <w:pgSz w:w="11880" w:h="15480" w:orient="portrait"/>
          <w:cols w:equalWidth="0" w:num="1">
            <w:col w:w="10685"/>
          </w:cols>
          <w:pgMar w:left="595"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60</w:t>
      </w:r>
    </w:p>
    <w:p>
      <w:pPr>
        <w:sectPr>
          <w:pgSz w:w="11880" w:h="15480" w:orient="portrait"/>
          <w:cols w:equalWidth="0" w:num="1">
            <w:col w:w="10685"/>
          </w:cols>
          <w:pgMar w:left="595" w:top="992" w:right="600" w:bottom="0" w:gutter="0" w:footer="0" w:header="0"/>
          <w:type w:val="continuous"/>
        </w:sectPr>
      </w:pPr>
    </w:p>
    <w:bookmarkStart w:id="61" w:name="page62"/>
    <w:bookmarkEnd w:id="61"/>
    <w:p>
      <w:pPr>
        <w:ind w:left="5"/>
        <w:spacing w:after="0"/>
        <w:rPr>
          <w:sz w:val="20"/>
          <w:szCs w:val="20"/>
          <w:color w:val="auto"/>
        </w:rPr>
      </w:pPr>
      <w:r>
        <w:rPr>
          <w:rFonts w:ascii="Arial" w:cs="Arial" w:eastAsia="Arial" w:hAnsi="Arial"/>
          <w:sz w:val="20"/>
          <w:szCs w:val="20"/>
          <w:b w:val="1"/>
          <w:bCs w:val="1"/>
          <w:color w:val="00162F"/>
        </w:rPr>
        <w:t>Selected Consolidated Financial Data of American</w:t>
      </w:r>
    </w:p>
    <w:p>
      <w:pPr>
        <w:spacing w:after="0" w:line="97"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The selected consolidated financial data presented below under the captions “Consolidated Statements of Operations data” and “Consolidated Balance Sheet data” for the years ended and as of December 31, 2025, 2024 and 2023, are derived from American’s audited consolidated financial statements.</w:t>
      </w:r>
    </w:p>
    <w:p>
      <w:pPr>
        <w:spacing w:after="0" w:line="214"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3040" w:type="dxa"/>
            <w:vAlign w:val="bottom"/>
            <w:tcBorders>
              <w:bottom w:val="single" w:sz="8" w:color="00162F"/>
            </w:tcBorders>
            <w:gridSpan w:val="6"/>
          </w:tcPr>
          <w:p>
            <w:pPr>
              <w:jc w:val="center"/>
              <w:ind w:left="645"/>
              <w:spacing w:after="0"/>
              <w:rPr>
                <w:sz w:val="20"/>
                <w:szCs w:val="20"/>
                <w:color w:val="auto"/>
              </w:rPr>
            </w:pPr>
            <w:r>
              <w:rPr>
                <w:rFonts w:ascii="Arial" w:cs="Arial" w:eastAsia="Arial" w:hAnsi="Arial"/>
                <w:sz w:val="16"/>
                <w:szCs w:val="16"/>
                <w:b w:val="1"/>
                <w:bCs w:val="1"/>
                <w:color w:val="00162F"/>
                <w:w w:val="98"/>
              </w:rPr>
              <w:t>Year Ended December 31,</w:t>
            </w:r>
          </w:p>
        </w:tc>
        <w:tc>
          <w:tcPr>
            <w:tcW w:w="1080" w:type="dxa"/>
            <w:vAlign w:val="bottom"/>
            <w:tcBorders>
              <w:bottom w:val="single" w:sz="8" w:color="00162F"/>
            </w:tcBorders>
          </w:tcPr>
          <w:p>
            <w:pPr>
              <w:spacing w:after="0"/>
              <w:rPr>
                <w:sz w:val="18"/>
                <w:szCs w:val="18"/>
                <w:color w:val="auto"/>
              </w:rPr>
            </w:pPr>
          </w:p>
        </w:tc>
      </w:tr>
      <w:tr>
        <w:trPr>
          <w:trHeight w:val="232"/>
        </w:trPr>
        <w:tc>
          <w:tcPr>
            <w:tcW w:w="6220" w:type="dxa"/>
            <w:vAlign w:val="bottom"/>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45"/>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rPr>
                <w:sz w:val="20"/>
                <w:szCs w:val="20"/>
                <w:color w:val="auto"/>
              </w:rPr>
            </w:pPr>
          </w:p>
        </w:tc>
        <w:tc>
          <w:tcPr>
            <w:tcW w:w="200" w:type="dxa"/>
            <w:vAlign w:val="bottom"/>
            <w:tcBorders>
              <w:bottom w:val="single" w:sz="8" w:color="00162F"/>
            </w:tcBorders>
          </w:tcPr>
          <w:p>
            <w:pPr>
              <w:spacing w:after="0"/>
              <w:rPr>
                <w:sz w:val="20"/>
                <w:szCs w:val="20"/>
                <w:color w:val="auto"/>
              </w:rPr>
            </w:pPr>
          </w:p>
        </w:tc>
        <w:tc>
          <w:tcPr>
            <w:tcW w:w="1240" w:type="dxa"/>
            <w:vAlign w:val="bottom"/>
            <w:tcBorders>
              <w:bottom w:val="single" w:sz="8" w:color="00162F"/>
            </w:tcBorders>
          </w:tcPr>
          <w:p>
            <w:pPr>
              <w:jc w:val="center"/>
              <w:ind w:right="125"/>
              <w:spacing w:after="0"/>
              <w:rPr>
                <w:sz w:val="20"/>
                <w:szCs w:val="20"/>
                <w:color w:val="auto"/>
              </w:rPr>
            </w:pPr>
            <w:r>
              <w:rPr>
                <w:rFonts w:ascii="Arial" w:cs="Arial" w:eastAsia="Arial" w:hAnsi="Arial"/>
                <w:sz w:val="16"/>
                <w:szCs w:val="16"/>
                <w:b w:val="1"/>
                <w:bCs w:val="1"/>
                <w:color w:val="00162F"/>
                <w:w w:val="95"/>
              </w:rPr>
              <w:t>2024</w:t>
            </w:r>
          </w:p>
        </w:tc>
        <w:tc>
          <w:tcPr>
            <w:tcW w:w="60" w:type="dxa"/>
            <w:vAlign w:val="bottom"/>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3"/>
              <w:spacing w:after="0"/>
              <w:rPr>
                <w:sz w:val="20"/>
                <w:szCs w:val="20"/>
                <w:color w:val="auto"/>
              </w:rPr>
            </w:pPr>
            <w:r>
              <w:rPr>
                <w:rFonts w:ascii="Arial" w:cs="Arial" w:eastAsia="Arial" w:hAnsi="Arial"/>
                <w:sz w:val="16"/>
                <w:szCs w:val="16"/>
                <w:b w:val="1"/>
                <w:bCs w:val="1"/>
                <w:color w:val="00162F"/>
              </w:rPr>
              <w:t>2023</w:t>
            </w:r>
          </w:p>
        </w:tc>
      </w:tr>
      <w:tr>
        <w:trPr>
          <w:trHeight w:val="240"/>
        </w:trPr>
        <w:tc>
          <w:tcPr>
            <w:tcW w:w="6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center"/>
              <w:ind w:right="125"/>
              <w:spacing w:after="0"/>
              <w:rPr>
                <w:sz w:val="20"/>
                <w:szCs w:val="20"/>
                <w:color w:val="auto"/>
              </w:rPr>
            </w:pPr>
            <w:r>
              <w:rPr>
                <w:rFonts w:ascii="Arial" w:cs="Arial" w:eastAsia="Arial" w:hAnsi="Arial"/>
                <w:sz w:val="16"/>
                <w:szCs w:val="16"/>
                <w:b w:val="1"/>
                <w:bCs w:val="1"/>
                <w:color w:val="00162F"/>
              </w:rPr>
              <w:t>(In millions)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5"/>
        </w:trPr>
        <w:tc>
          <w:tcPr>
            <w:tcW w:w="6220" w:type="dxa"/>
            <w:vAlign w:val="bottom"/>
            <w:tcBorders>
              <w:bottom w:val="single" w:sz="8" w:color="00162F"/>
            </w:tcBorders>
            <w:shd w:val="clear" w:color="auto" w:fill="EDEDED"/>
          </w:tcPr>
          <w:p>
            <w:pPr>
              <w:ind w:left="40"/>
              <w:spacing w:after="0"/>
              <w:rPr>
                <w:sz w:val="20"/>
                <w:szCs w:val="20"/>
                <w:color w:val="auto"/>
              </w:rPr>
            </w:pPr>
            <w:r>
              <w:rPr>
                <w:rFonts w:ascii="Arial" w:cs="Arial" w:eastAsia="Arial" w:hAnsi="Arial"/>
                <w:sz w:val="20"/>
                <w:szCs w:val="20"/>
                <w:b w:val="1"/>
                <w:bCs w:val="1"/>
                <w:color w:val="00162F"/>
              </w:rPr>
              <w:t>Consolidated Statements of Operations data:</w:t>
            </w:r>
          </w:p>
        </w:tc>
        <w:tc>
          <w:tcPr>
            <w:tcW w:w="340" w:type="dxa"/>
            <w:vAlign w:val="bottom"/>
            <w:tcBorders>
              <w:bottom w:val="single" w:sz="8" w:color="EDEDED"/>
            </w:tcBorders>
            <w:shd w:val="clear" w:color="auto" w:fill="EDEDED"/>
          </w:tcPr>
          <w:p>
            <w:pPr>
              <w:spacing w:after="0"/>
              <w:rPr>
                <w:sz w:val="23"/>
                <w:szCs w:val="23"/>
                <w:color w:val="auto"/>
              </w:rPr>
            </w:pPr>
          </w:p>
        </w:tc>
        <w:tc>
          <w:tcPr>
            <w:tcW w:w="110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200" w:type="dxa"/>
            <w:vAlign w:val="bottom"/>
            <w:tcBorders>
              <w:bottom w:val="single" w:sz="8" w:color="EDEDED"/>
            </w:tcBorders>
            <w:shd w:val="clear" w:color="auto" w:fill="EDEDED"/>
          </w:tcPr>
          <w:p>
            <w:pPr>
              <w:spacing w:after="0"/>
              <w:rPr>
                <w:sz w:val="23"/>
                <w:szCs w:val="23"/>
                <w:color w:val="auto"/>
              </w:rPr>
            </w:pPr>
          </w:p>
        </w:tc>
        <w:tc>
          <w:tcPr>
            <w:tcW w:w="124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360" w:type="dxa"/>
            <w:vAlign w:val="bottom"/>
            <w:tcBorders>
              <w:bottom w:val="single" w:sz="8" w:color="EDEDED"/>
            </w:tcBorders>
            <w:shd w:val="clear" w:color="auto" w:fill="EDEDED"/>
          </w:tcPr>
          <w:p>
            <w:pPr>
              <w:spacing w:after="0"/>
              <w:rPr>
                <w:sz w:val="23"/>
                <w:szCs w:val="23"/>
                <w:color w:val="auto"/>
              </w:rPr>
            </w:pPr>
          </w:p>
        </w:tc>
        <w:tc>
          <w:tcPr>
            <w:tcW w:w="1080" w:type="dxa"/>
            <w:vAlign w:val="bottom"/>
            <w:tcBorders>
              <w:bottom w:val="single" w:sz="8" w:color="EDEDED"/>
            </w:tcBorders>
            <w:shd w:val="clear" w:color="auto" w:fill="EDEDED"/>
          </w:tcPr>
          <w:p>
            <w:pPr>
              <w:spacing w:after="0"/>
              <w:rPr>
                <w:sz w:val="23"/>
                <w:szCs w:val="23"/>
                <w:color w:val="auto"/>
              </w:rPr>
            </w:pPr>
          </w:p>
        </w:tc>
      </w:tr>
      <w:tr>
        <w:trPr>
          <w:trHeight w:val="283"/>
        </w:trPr>
        <w:tc>
          <w:tcPr>
            <w:tcW w:w="6220" w:type="dxa"/>
            <w:vAlign w:val="bottom"/>
          </w:tcPr>
          <w:p>
            <w:pPr>
              <w:ind w:left="40"/>
              <w:spacing w:after="0"/>
              <w:rPr>
                <w:sz w:val="20"/>
                <w:szCs w:val="20"/>
                <w:color w:val="auto"/>
              </w:rPr>
            </w:pPr>
            <w:r>
              <w:rPr>
                <w:rFonts w:ascii="Arial" w:cs="Arial" w:eastAsia="Arial" w:hAnsi="Arial"/>
                <w:sz w:val="20"/>
                <w:szCs w:val="20"/>
                <w:color w:val="00162F"/>
              </w:rPr>
              <w:t>Total operating revenues</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54,626</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00162F"/>
              </w:rPr>
              <w:t>$</w:t>
            </w:r>
          </w:p>
        </w:tc>
        <w:tc>
          <w:tcPr>
            <w:tcW w:w="1240" w:type="dxa"/>
            <w:vAlign w:val="bottom"/>
          </w:tcPr>
          <w:p>
            <w:pPr>
              <w:jc w:val="right"/>
              <w:ind w:right="5"/>
              <w:spacing w:after="0"/>
              <w:rPr>
                <w:sz w:val="20"/>
                <w:szCs w:val="20"/>
                <w:color w:val="auto"/>
              </w:rPr>
            </w:pPr>
            <w:r>
              <w:rPr>
                <w:rFonts w:ascii="Arial" w:cs="Arial" w:eastAsia="Arial" w:hAnsi="Arial"/>
                <w:sz w:val="20"/>
                <w:szCs w:val="20"/>
                <w:color w:val="00162F"/>
              </w:rPr>
              <w:t>54,204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52,784</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Total operating expenses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53,115</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40" w:type="dxa"/>
            <w:vAlign w:val="bottom"/>
            <w:shd w:val="clear" w:color="auto" w:fill="EDEDED"/>
          </w:tcPr>
          <w:p>
            <w:pPr>
              <w:jc w:val="right"/>
              <w:ind w:right="5"/>
              <w:spacing w:after="0"/>
              <w:rPr>
                <w:sz w:val="20"/>
                <w:szCs w:val="20"/>
                <w:color w:val="auto"/>
              </w:rPr>
            </w:pPr>
            <w:r>
              <w:rPr>
                <w:rFonts w:ascii="Arial" w:cs="Arial" w:eastAsia="Arial" w:hAnsi="Arial"/>
                <w:sz w:val="20"/>
                <w:szCs w:val="20"/>
                <w:color w:val="00162F"/>
              </w:rPr>
              <w:t>51,550</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49,715</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Operating income</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1,511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Arial" w:cs="Arial" w:eastAsia="Arial" w:hAnsi="Arial"/>
                <w:sz w:val="20"/>
                <w:szCs w:val="20"/>
                <w:color w:val="00162F"/>
              </w:rPr>
              <w:t>2,654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3,069</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Net income</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564</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40" w:type="dxa"/>
            <w:vAlign w:val="bottom"/>
            <w:shd w:val="clear" w:color="auto" w:fill="EDEDED"/>
          </w:tcPr>
          <w:p>
            <w:pPr>
              <w:jc w:val="right"/>
              <w:ind w:right="5"/>
              <w:spacing w:after="0"/>
              <w:rPr>
                <w:sz w:val="20"/>
                <w:szCs w:val="20"/>
                <w:color w:val="auto"/>
              </w:rPr>
            </w:pPr>
            <w:r>
              <w:rPr>
                <w:rFonts w:ascii="Arial" w:cs="Arial" w:eastAsia="Arial" w:hAnsi="Arial"/>
                <w:sz w:val="20"/>
                <w:szCs w:val="20"/>
                <w:color w:val="00162F"/>
              </w:rPr>
              <w:t>1,262</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1,188</w:t>
            </w:r>
          </w:p>
        </w:tc>
      </w:tr>
      <w:tr>
        <w:trPr>
          <w:trHeight w:val="282"/>
        </w:trPr>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2"/>
        </w:trPr>
        <w:tc>
          <w:tcPr>
            <w:tcW w:w="6220" w:type="dxa"/>
            <w:vAlign w:val="bottom"/>
            <w:tcBorders>
              <w:bottom w:val="single" w:sz="8" w:color="00162F"/>
            </w:tcBorders>
            <w:shd w:val="clear" w:color="auto" w:fill="EDEDED"/>
          </w:tcPr>
          <w:p>
            <w:pPr>
              <w:ind w:left="40"/>
              <w:spacing w:after="0"/>
              <w:rPr>
                <w:sz w:val="20"/>
                <w:szCs w:val="20"/>
                <w:color w:val="auto"/>
              </w:rPr>
            </w:pPr>
            <w:r>
              <w:rPr>
                <w:rFonts w:ascii="Arial" w:cs="Arial" w:eastAsia="Arial" w:hAnsi="Arial"/>
                <w:sz w:val="20"/>
                <w:szCs w:val="20"/>
                <w:b w:val="1"/>
                <w:bCs w:val="1"/>
                <w:color w:val="00162F"/>
              </w:rPr>
              <w:t>Consolidated Balance Sheet data (at end of period):</w:t>
            </w:r>
          </w:p>
        </w:tc>
        <w:tc>
          <w:tcPr>
            <w:tcW w:w="340" w:type="dxa"/>
            <w:vAlign w:val="bottom"/>
            <w:tcBorders>
              <w:bottom w:val="single" w:sz="8" w:color="EDEDED"/>
            </w:tcBorders>
            <w:shd w:val="clear" w:color="auto" w:fill="EDEDED"/>
          </w:tcPr>
          <w:p>
            <w:pPr>
              <w:spacing w:after="0"/>
              <w:rPr>
                <w:sz w:val="23"/>
                <w:szCs w:val="23"/>
                <w:color w:val="auto"/>
              </w:rPr>
            </w:pPr>
          </w:p>
        </w:tc>
        <w:tc>
          <w:tcPr>
            <w:tcW w:w="110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200" w:type="dxa"/>
            <w:vAlign w:val="bottom"/>
            <w:tcBorders>
              <w:bottom w:val="single" w:sz="8" w:color="EDEDED"/>
            </w:tcBorders>
            <w:shd w:val="clear" w:color="auto" w:fill="EDEDED"/>
          </w:tcPr>
          <w:p>
            <w:pPr>
              <w:spacing w:after="0"/>
              <w:rPr>
                <w:sz w:val="23"/>
                <w:szCs w:val="23"/>
                <w:color w:val="auto"/>
              </w:rPr>
            </w:pPr>
          </w:p>
        </w:tc>
        <w:tc>
          <w:tcPr>
            <w:tcW w:w="124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360" w:type="dxa"/>
            <w:vAlign w:val="bottom"/>
            <w:tcBorders>
              <w:bottom w:val="single" w:sz="8" w:color="EDEDED"/>
            </w:tcBorders>
            <w:shd w:val="clear" w:color="auto" w:fill="EDEDED"/>
          </w:tcPr>
          <w:p>
            <w:pPr>
              <w:spacing w:after="0"/>
              <w:rPr>
                <w:sz w:val="23"/>
                <w:szCs w:val="23"/>
                <w:color w:val="auto"/>
              </w:rPr>
            </w:pPr>
          </w:p>
        </w:tc>
        <w:tc>
          <w:tcPr>
            <w:tcW w:w="1080" w:type="dxa"/>
            <w:vAlign w:val="bottom"/>
            <w:tcBorders>
              <w:bottom w:val="single" w:sz="8" w:color="EDEDED"/>
            </w:tcBorders>
            <w:shd w:val="clear" w:color="auto" w:fill="EDEDED"/>
          </w:tcPr>
          <w:p>
            <w:pPr>
              <w:spacing w:after="0"/>
              <w:rPr>
                <w:sz w:val="23"/>
                <w:szCs w:val="23"/>
                <w:color w:val="auto"/>
              </w:rPr>
            </w:pPr>
          </w:p>
        </w:tc>
      </w:tr>
      <w:tr>
        <w:trPr>
          <w:trHeight w:val="283"/>
        </w:trPr>
        <w:tc>
          <w:tcPr>
            <w:tcW w:w="6220" w:type="dxa"/>
            <w:vAlign w:val="bottom"/>
          </w:tcPr>
          <w:p>
            <w:pPr>
              <w:ind w:left="40"/>
              <w:spacing w:after="0"/>
              <w:rPr>
                <w:sz w:val="20"/>
                <w:szCs w:val="20"/>
                <w:color w:val="auto"/>
              </w:rPr>
            </w:pPr>
            <w:r>
              <w:rPr>
                <w:rFonts w:ascii="Arial" w:cs="Arial" w:eastAsia="Arial" w:hAnsi="Arial"/>
                <w:sz w:val="20"/>
                <w:szCs w:val="20"/>
                <w:color w:val="00162F"/>
              </w:rPr>
              <w:t>Total assets</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70,247</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00162F"/>
              </w:rPr>
              <w:t>$</w:t>
            </w:r>
          </w:p>
        </w:tc>
        <w:tc>
          <w:tcPr>
            <w:tcW w:w="1240" w:type="dxa"/>
            <w:vAlign w:val="bottom"/>
          </w:tcPr>
          <w:p>
            <w:pPr>
              <w:jc w:val="right"/>
              <w:ind w:right="5"/>
              <w:spacing w:after="0"/>
              <w:rPr>
                <w:sz w:val="20"/>
                <w:szCs w:val="20"/>
                <w:color w:val="auto"/>
              </w:rPr>
            </w:pPr>
            <w:r>
              <w:rPr>
                <w:rFonts w:ascii="Arial" w:cs="Arial" w:eastAsia="Arial" w:hAnsi="Arial"/>
                <w:sz w:val="20"/>
                <w:szCs w:val="20"/>
                <w:color w:val="00162F"/>
              </w:rPr>
              <w:t>68,755</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69,074</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Debt and finance leases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25,259</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40" w:type="dxa"/>
            <w:vAlign w:val="bottom"/>
            <w:shd w:val="clear" w:color="auto" w:fill="EDEDED"/>
          </w:tcPr>
          <w:p>
            <w:pPr>
              <w:jc w:val="right"/>
              <w:ind w:right="5"/>
              <w:spacing w:after="0"/>
              <w:rPr>
                <w:sz w:val="20"/>
                <w:szCs w:val="20"/>
                <w:color w:val="auto"/>
              </w:rPr>
            </w:pPr>
            <w:r>
              <w:rPr>
                <w:rFonts w:ascii="Arial" w:cs="Arial" w:eastAsia="Arial" w:hAnsi="Arial"/>
                <w:sz w:val="20"/>
                <w:szCs w:val="20"/>
                <w:color w:val="00162F"/>
              </w:rPr>
              <w:t>25,736</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27,675</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 xml:space="preserve">Pension and postretirement obligations </w:t>
            </w:r>
            <w:r>
              <w:rPr>
                <w:rFonts w:ascii="Arial" w:cs="Arial" w:eastAsia="Arial" w:hAnsi="Arial"/>
                <w:sz w:val="12"/>
                <w:szCs w:val="12"/>
                <w:color w:val="00162F"/>
              </w:rPr>
              <w:t>(1)</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1,678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Arial" w:cs="Arial" w:eastAsia="Arial" w:hAnsi="Arial"/>
                <w:sz w:val="20"/>
                <w:szCs w:val="20"/>
                <w:color w:val="00162F"/>
              </w:rPr>
              <w:t>2,262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3,148</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Operating lease liabilities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6,908</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40" w:type="dxa"/>
            <w:vAlign w:val="bottom"/>
            <w:shd w:val="clear" w:color="auto" w:fill="EDEDED"/>
          </w:tcPr>
          <w:p>
            <w:pPr>
              <w:jc w:val="right"/>
              <w:ind w:right="5"/>
              <w:spacing w:after="0"/>
              <w:rPr>
                <w:sz w:val="20"/>
                <w:szCs w:val="20"/>
                <w:color w:val="auto"/>
              </w:rPr>
            </w:pPr>
            <w:r>
              <w:rPr>
                <w:rFonts w:ascii="Arial" w:cs="Arial" w:eastAsia="Arial" w:hAnsi="Arial"/>
                <w:sz w:val="20"/>
                <w:szCs w:val="20"/>
                <w:color w:val="00162F"/>
              </w:rPr>
              <w:t>7,008</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7,708</w:t>
            </w:r>
          </w:p>
        </w:tc>
      </w:tr>
      <w:tr>
        <w:trPr>
          <w:trHeight w:val="290"/>
        </w:trPr>
        <w:tc>
          <w:tcPr>
            <w:tcW w:w="6220" w:type="dxa"/>
            <w:vAlign w:val="bottom"/>
          </w:tcPr>
          <w:p>
            <w:pPr>
              <w:ind w:left="40"/>
              <w:spacing w:after="0"/>
              <w:rPr>
                <w:sz w:val="20"/>
                <w:szCs w:val="20"/>
                <w:color w:val="auto"/>
              </w:rPr>
            </w:pPr>
            <w:r>
              <w:rPr>
                <w:rFonts w:ascii="Arial" w:cs="Arial" w:eastAsia="Arial" w:hAnsi="Arial"/>
                <w:sz w:val="20"/>
                <w:szCs w:val="20"/>
                <w:color w:val="00162F"/>
              </w:rPr>
              <w:t>Stockholder’s equity</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9,028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Arial" w:cs="Arial" w:eastAsia="Arial" w:hAnsi="Arial"/>
                <w:sz w:val="20"/>
                <w:szCs w:val="20"/>
                <w:color w:val="00162F"/>
              </w:rPr>
              <w:t>8,234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6,577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125412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04" w:lineRule="exact"/>
        <w:rPr>
          <w:sz w:val="20"/>
          <w:szCs w:val="20"/>
          <w:color w:val="auto"/>
        </w:rPr>
      </w:pPr>
    </w:p>
    <w:p>
      <w:pPr>
        <w:ind w:left="365" w:hanging="365"/>
        <w:spacing w:after="0" w:line="282" w:lineRule="auto"/>
        <w:tabs>
          <w:tab w:leader="none" w:pos="365" w:val="left"/>
        </w:tabs>
        <w:numPr>
          <w:ilvl w:val="0"/>
          <w:numId w:val="30"/>
        </w:numPr>
        <w:rPr>
          <w:rFonts w:ascii="Arial" w:cs="Arial" w:eastAsia="Arial" w:hAnsi="Arial"/>
          <w:sz w:val="13"/>
          <w:szCs w:val="13"/>
          <w:color w:val="00162F"/>
        </w:rPr>
      </w:pPr>
      <w:r>
        <w:rPr>
          <w:rFonts w:ascii="Arial" w:cs="Arial" w:eastAsia="Arial" w:hAnsi="Arial"/>
          <w:sz w:val="20"/>
          <w:szCs w:val="20"/>
          <w:color w:val="00162F"/>
        </w:rPr>
        <w:t>Substantially all defined benefit pension plans were frozen effective November 1, 2012. See Note 8 to American's Consolidated Financial Statements in Part II, Item 8B for further information on pension and postretirement benefits.</w:t>
      </w:r>
    </w:p>
    <w:p>
      <w:pPr>
        <w:sectPr>
          <w:pgSz w:w="11880" w:h="15480" w:orient="portrait"/>
          <w:cols w:equalWidth="0" w:num="1">
            <w:col w:w="10685"/>
          </w:cols>
          <w:pgMar w:left="595"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61</w:t>
      </w:r>
    </w:p>
    <w:p>
      <w:pPr>
        <w:sectPr>
          <w:pgSz w:w="11880" w:h="15480" w:orient="portrait"/>
          <w:cols w:equalWidth="0" w:num="1">
            <w:col w:w="10685"/>
          </w:cols>
          <w:pgMar w:left="595" w:top="992" w:right="600" w:bottom="0" w:gutter="0" w:footer="0" w:header="0"/>
          <w:type w:val="continuous"/>
        </w:sectPr>
      </w:pPr>
    </w:p>
    <w:bookmarkStart w:id="62" w:name="page63"/>
    <w:bookmarkEnd w:id="62"/>
    <w:p>
      <w:pPr>
        <w:ind w:left="5" w:right="1020"/>
        <w:spacing w:after="0" w:line="293" w:lineRule="auto"/>
        <w:rPr>
          <w:sz w:val="20"/>
          <w:szCs w:val="20"/>
          <w:color w:val="auto"/>
        </w:rPr>
      </w:pPr>
      <w:r>
        <w:rPr>
          <w:rFonts w:ascii="Arial" w:cs="Arial" w:eastAsia="Arial" w:hAnsi="Arial"/>
          <w:sz w:val="20"/>
          <w:szCs w:val="20"/>
          <w:b w:val="1"/>
          <w:bCs w:val="1"/>
          <w:color w:val="00162F"/>
        </w:rPr>
        <w:t>ITEM 7. MANAGEMENT’S DISCUSSION AND ANALYSIS OF FINANCIAL CONDITION AND RESULTS OF OPERATIONS</w:t>
      </w:r>
    </w:p>
    <w:p>
      <w:pPr>
        <w:spacing w:after="0" w:line="3"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2025 Financial Overview</w:t>
      </w:r>
    </w:p>
    <w:p>
      <w:pPr>
        <w:spacing w:after="0" w:line="99"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162F"/>
        </w:rPr>
        <w:t>Business and Macroeconomic Conditions</w:t>
      </w:r>
    </w:p>
    <w:p>
      <w:pPr>
        <w:spacing w:after="0" w:line="95"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Starting in the first quarter of 2025, the U.S. Government has promoted and implemented plans to place additional tariffs on goods imported into the U.S. from numerous countries and has pursued other trade policies intended to restrict imports and, in response, multiple nations have countered with reciprocal tariffs and other actions.</w:t>
      </w:r>
    </w:p>
    <w:p>
      <w:pPr>
        <w:spacing w:after="0" w:line="129"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These or additional changes in U.S. or international trade policies, along with continued uncertainty surrounding such policies, could lead to further weakened business conditions for the transportation industry, which may adversely impact our operations through increased supply chain challenges, commodity price volatility and a decline in discretionary spending and consumer confidence, among others. We continue to monitor the situation.</w:t>
      </w:r>
    </w:p>
    <w:p>
      <w:pPr>
        <w:spacing w:after="0" w:line="136"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Many aspects of our airline operations depend on the U.S. Government, and in the fourth quarter of 2025, the prolonged government shutdown led to mandated schedule reductions, strained air traffic control and security screening resources, reduced air traffic capacity at key U.S. airports, and increased delays and cancellations. Additionally, the government shutdown-related uncertainty temporarily impacted customer bookings in the fourth quarter of 2025 and negatively impacted our revenue by approximately $325 million.</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162F"/>
        </w:rPr>
        <w:t>AAG’s 2025 Financial Results</w:t>
      </w:r>
    </w:p>
    <w:p>
      <w:pPr>
        <w:spacing w:after="0" w:line="95"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The selected financial data presented below is derived from AAG’s audited consolidated financial statements included in Part II, Item 8A of this report and should be read in conjunction with those financial statements and the related notes thereto.</w:t>
      </w:r>
    </w:p>
    <w:p>
      <w:pPr>
        <w:spacing w:after="0" w:line="76"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vMerge w:val="restart"/>
          </w:tcPr>
          <w:p>
            <w:pPr>
              <w:jc w:val="right"/>
              <w:ind w:right="302"/>
              <w:spacing w:after="0"/>
              <w:rPr>
                <w:sz w:val="20"/>
                <w:szCs w:val="20"/>
                <w:color w:val="auto"/>
              </w:rPr>
            </w:pPr>
            <w:r>
              <w:rPr>
                <w:rFonts w:ascii="Arial" w:cs="Arial" w:eastAsia="Arial" w:hAnsi="Arial"/>
                <w:sz w:val="16"/>
                <w:szCs w:val="16"/>
                <w:b w:val="1"/>
                <w:bCs w:val="1"/>
                <w:color w:val="00162F"/>
              </w:rPr>
              <w:t>Year Ended December 31,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65"/>
              <w:spacing w:after="0"/>
              <w:rPr>
                <w:sz w:val="20"/>
                <w:szCs w:val="20"/>
                <w:color w:val="auto"/>
              </w:rPr>
            </w:pPr>
            <w:r>
              <w:rPr>
                <w:rFonts w:ascii="Arial" w:cs="Arial" w:eastAsia="Arial" w:hAnsi="Arial"/>
                <w:sz w:val="16"/>
                <w:szCs w:val="16"/>
                <w:b w:val="1"/>
                <w:bCs w:val="1"/>
                <w:color w:val="00162F"/>
                <w:w w:val="98"/>
              </w:rPr>
              <w:t>Percent</w:t>
            </w: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80" w:type="dxa"/>
            <w:vAlign w:val="bottom"/>
            <w:tcBorders>
              <w:bottom w:val="single" w:sz="8" w:color="00162F"/>
            </w:tcBorders>
          </w:tcPr>
          <w:p>
            <w:pPr>
              <w:spacing w:after="0"/>
              <w:rPr>
                <w:sz w:val="10"/>
                <w:szCs w:val="10"/>
                <w:color w:val="auto"/>
              </w:rPr>
            </w:pPr>
          </w:p>
        </w:tc>
        <w:tc>
          <w:tcPr>
            <w:tcW w:w="2440" w:type="dxa"/>
            <w:vAlign w:val="bottom"/>
            <w:tcBorders>
              <w:bottom w:val="single" w:sz="8" w:color="00162F"/>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vMerge w:val="restart"/>
          </w:tcPr>
          <w:p>
            <w:pPr>
              <w:ind w:left="120"/>
              <w:spacing w:after="0" w:line="158" w:lineRule="exact"/>
              <w:rPr>
                <w:sz w:val="20"/>
                <w:szCs w:val="20"/>
                <w:color w:val="auto"/>
              </w:rPr>
            </w:pPr>
            <w:r>
              <w:rPr>
                <w:rFonts w:ascii="Arial" w:cs="Arial" w:eastAsia="Arial" w:hAnsi="Arial"/>
                <w:sz w:val="16"/>
                <w:szCs w:val="16"/>
                <w:b w:val="1"/>
                <w:bCs w:val="1"/>
                <w:color w:val="00162F"/>
              </w:rPr>
              <w:t>Increase</w:t>
            </w:r>
          </w:p>
        </w:tc>
        <w:tc>
          <w:tcPr>
            <w:tcW w:w="1140" w:type="dxa"/>
            <w:vAlign w:val="bottom"/>
            <w:vMerge w:val="restart"/>
          </w:tcPr>
          <w:p>
            <w:pPr>
              <w:jc w:val="center"/>
              <w:ind w:right="85"/>
              <w:spacing w:after="0" w:line="158" w:lineRule="exact"/>
              <w:rPr>
                <w:sz w:val="20"/>
                <w:szCs w:val="20"/>
                <w:color w:val="auto"/>
              </w:rPr>
            </w:pPr>
            <w:r>
              <w:rPr>
                <w:rFonts w:ascii="Arial" w:cs="Arial" w:eastAsia="Arial" w:hAnsi="Arial"/>
                <w:sz w:val="16"/>
                <w:szCs w:val="16"/>
                <w:b w:val="1"/>
                <w:bCs w:val="1"/>
                <w:color w:val="00162F"/>
                <w:w w:val="98"/>
              </w:rPr>
              <w:t>Increase</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vMerge w:val="restart"/>
          </w:tcPr>
          <w:p>
            <w:pPr>
              <w:jc w:val="right"/>
              <w:ind w:right="385"/>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Borders>
              <w:bottom w:val="single" w:sz="8" w:color="00162F"/>
            </w:tcBorders>
          </w:tcPr>
          <w:p>
            <w:pPr>
              <w:spacing w:after="0"/>
              <w:rPr>
                <w:sz w:val="18"/>
                <w:szCs w:val="18"/>
                <w:color w:val="auto"/>
              </w:rPr>
            </w:pPr>
          </w:p>
        </w:tc>
        <w:tc>
          <w:tcPr>
            <w:tcW w:w="1040" w:type="dxa"/>
            <w:vAlign w:val="bottom"/>
            <w:tcBorders>
              <w:bottom w:val="single" w:sz="8" w:color="00162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162F"/>
            </w:tcBorders>
          </w:tcPr>
          <w:p>
            <w:pPr>
              <w:spacing w:after="0"/>
              <w:rPr>
                <w:sz w:val="18"/>
                <w:szCs w:val="18"/>
                <w:color w:val="auto"/>
              </w:rPr>
            </w:pPr>
          </w:p>
        </w:tc>
        <w:tc>
          <w:tcPr>
            <w:tcW w:w="1000" w:type="dxa"/>
            <w:vAlign w:val="bottom"/>
            <w:tcBorders>
              <w:bottom w:val="single" w:sz="8" w:color="00162F"/>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00162F"/>
            </w:tcBorders>
          </w:tcPr>
          <w:p>
            <w:pPr>
              <w:spacing w:after="0"/>
              <w:rPr>
                <w:sz w:val="18"/>
                <w:szCs w:val="18"/>
                <w:color w:val="auto"/>
              </w:rPr>
            </w:pPr>
          </w:p>
        </w:tc>
        <w:tc>
          <w:tcPr>
            <w:tcW w:w="1100" w:type="dxa"/>
            <w:vAlign w:val="bottom"/>
            <w:tcBorders>
              <w:bottom w:val="single" w:sz="8" w:color="00162F"/>
            </w:tcBorders>
          </w:tcPr>
          <w:p>
            <w:pPr>
              <w:jc w:val="right"/>
              <w:ind w:right="143"/>
              <w:spacing w:after="0"/>
              <w:rPr>
                <w:sz w:val="20"/>
                <w:szCs w:val="20"/>
                <w:color w:val="auto"/>
              </w:rPr>
            </w:pPr>
            <w:r>
              <w:rPr>
                <w:rFonts w:ascii="Arial" w:cs="Arial" w:eastAsia="Arial" w:hAnsi="Arial"/>
                <w:sz w:val="16"/>
                <w:szCs w:val="16"/>
                <w:b w:val="1"/>
                <w:bCs w:val="1"/>
                <w:color w:val="00162F"/>
              </w:rPr>
              <w:t>(Decrease)</w:t>
            </w:r>
          </w:p>
        </w:tc>
        <w:tc>
          <w:tcPr>
            <w:tcW w:w="80" w:type="dxa"/>
            <w:vAlign w:val="bottom"/>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1140" w:type="dxa"/>
            <w:vAlign w:val="bottom"/>
            <w:tcBorders>
              <w:bottom w:val="single" w:sz="8" w:color="00162F"/>
            </w:tcBorders>
          </w:tcPr>
          <w:p>
            <w:pPr>
              <w:jc w:val="center"/>
              <w:ind w:right="85"/>
              <w:spacing w:after="0"/>
              <w:rPr>
                <w:sz w:val="20"/>
                <w:szCs w:val="20"/>
                <w:color w:val="auto"/>
              </w:rPr>
            </w:pPr>
            <w:r>
              <w:rPr>
                <w:rFonts w:ascii="Arial" w:cs="Arial" w:eastAsia="Arial" w:hAnsi="Arial"/>
                <w:sz w:val="16"/>
                <w:szCs w:val="16"/>
                <w:b w:val="1"/>
                <w:bCs w:val="1"/>
                <w:color w:val="00162F"/>
                <w:w w:val="97"/>
              </w:rPr>
              <w:t>(Decrease)</w:t>
            </w: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gridSpan w:val="9"/>
          </w:tcPr>
          <w:p>
            <w:pPr>
              <w:ind w:left="940"/>
              <w:spacing w:after="0"/>
              <w:rPr>
                <w:sz w:val="20"/>
                <w:szCs w:val="20"/>
                <w:color w:val="auto"/>
              </w:rPr>
            </w:pPr>
            <w:r>
              <w:rPr>
                <w:rFonts w:ascii="Arial" w:cs="Arial" w:eastAsia="Arial" w:hAnsi="Arial"/>
                <w:sz w:val="16"/>
                <w:szCs w:val="16"/>
                <w:b w:val="1"/>
                <w:bCs w:val="1"/>
                <w:color w:val="00162F"/>
              </w:rPr>
              <w:t>(In millions, except percentage changes)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51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Passenger revenue</w:t>
            </w:r>
          </w:p>
        </w:tc>
        <w:tc>
          <w:tcPr>
            <w:tcW w:w="280" w:type="dxa"/>
            <w:vAlign w:val="bottom"/>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49,643</w:t>
            </w:r>
          </w:p>
        </w:tc>
        <w:tc>
          <w:tcPr>
            <w:tcW w:w="400" w:type="dxa"/>
            <w:vAlign w:val="bottom"/>
            <w:gridSpan w:val="2"/>
            <w:shd w:val="clear" w:color="auto" w:fill="EDEDED"/>
          </w:tcPr>
          <w:p>
            <w:pPr>
              <w:jc w:val="right"/>
              <w:ind w:right="160"/>
              <w:spacing w:after="0"/>
              <w:rPr>
                <w:sz w:val="20"/>
                <w:szCs w:val="20"/>
                <w:color w:val="auto"/>
              </w:rPr>
            </w:pPr>
            <w:r>
              <w:rPr>
                <w:rFonts w:ascii="Arial" w:cs="Arial" w:eastAsia="Arial" w:hAnsi="Arial"/>
                <w:sz w:val="20"/>
                <w:szCs w:val="20"/>
                <w:color w:val="00162F"/>
              </w:rPr>
              <w:t>$</w:t>
            </w: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49,586</w:t>
            </w:r>
          </w:p>
        </w:tc>
        <w:tc>
          <w:tcPr>
            <w:tcW w:w="28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57</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40" w:type="dxa"/>
            <w:vAlign w:val="bottom"/>
            <w:shd w:val="clear" w:color="auto" w:fill="EDEDED"/>
          </w:tcPr>
          <w:p>
            <w:pPr>
              <w:jc w:val="center"/>
              <w:ind w:right="45"/>
              <w:spacing w:after="0"/>
              <w:rPr>
                <w:sz w:val="20"/>
                <w:szCs w:val="20"/>
                <w:color w:val="auto"/>
              </w:rPr>
            </w:pPr>
            <w:r>
              <w:rPr>
                <w:rFonts w:ascii="Arial" w:cs="Arial" w:eastAsia="Arial" w:hAnsi="Arial"/>
                <w:sz w:val="20"/>
                <w:szCs w:val="20"/>
                <w:color w:val="00162F"/>
              </w:rPr>
              <w:t>0.1</w:t>
            </w:r>
          </w:p>
        </w:tc>
        <w:tc>
          <w:tcPr>
            <w:tcW w:w="0" w:type="dxa"/>
            <w:vAlign w:val="bottom"/>
          </w:tcPr>
          <w:p>
            <w:pPr>
              <w:spacing w:after="0"/>
              <w:rPr>
                <w:sz w:val="1"/>
                <w:szCs w:val="1"/>
                <w:color w:val="auto"/>
              </w:rPr>
            </w:pPr>
          </w:p>
        </w:tc>
      </w:tr>
      <w:tr>
        <w:trPr>
          <w:trHeight w:val="293"/>
        </w:trPr>
        <w:tc>
          <w:tcPr>
            <w:tcW w:w="5180" w:type="dxa"/>
            <w:vAlign w:val="bottom"/>
            <w:gridSpan w:val="2"/>
          </w:tcPr>
          <w:p>
            <w:pPr>
              <w:ind w:left="40"/>
              <w:spacing w:after="0"/>
              <w:rPr>
                <w:sz w:val="20"/>
                <w:szCs w:val="20"/>
                <w:color w:val="auto"/>
              </w:rPr>
            </w:pPr>
            <w:r>
              <w:rPr>
                <w:rFonts w:ascii="Arial" w:cs="Arial" w:eastAsia="Arial" w:hAnsi="Arial"/>
                <w:sz w:val="20"/>
                <w:szCs w:val="20"/>
                <w:color w:val="00162F"/>
              </w:rPr>
              <w:t>Cargo revenue</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839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804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35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45"/>
              <w:spacing w:after="0"/>
              <w:rPr>
                <w:sz w:val="20"/>
                <w:szCs w:val="20"/>
                <w:color w:val="auto"/>
              </w:rPr>
            </w:pPr>
            <w:r>
              <w:rPr>
                <w:rFonts w:ascii="Arial" w:cs="Arial" w:eastAsia="Arial" w:hAnsi="Arial"/>
                <w:sz w:val="20"/>
                <w:szCs w:val="20"/>
                <w:color w:val="00162F"/>
              </w:rPr>
              <w:t>4.3</w:t>
            </w:r>
          </w:p>
        </w:tc>
        <w:tc>
          <w:tcPr>
            <w:tcW w:w="0" w:type="dxa"/>
            <w:vAlign w:val="bottom"/>
          </w:tcPr>
          <w:p>
            <w:pPr>
              <w:spacing w:after="0"/>
              <w:rPr>
                <w:sz w:val="1"/>
                <w:szCs w:val="1"/>
                <w:color w:val="auto"/>
              </w:rPr>
            </w:pPr>
          </w:p>
        </w:tc>
      </w:tr>
      <w:tr>
        <w:trPr>
          <w:trHeight w:val="301"/>
        </w:trPr>
        <w:tc>
          <w:tcPr>
            <w:tcW w:w="51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Other operating revenue</w:t>
            </w:r>
          </w:p>
        </w:tc>
        <w:tc>
          <w:tcPr>
            <w:tcW w:w="28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4,151</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3,821</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330</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40" w:type="dxa"/>
            <w:vAlign w:val="bottom"/>
            <w:shd w:val="clear" w:color="auto" w:fill="EDEDED"/>
          </w:tcPr>
          <w:p>
            <w:pPr>
              <w:jc w:val="center"/>
              <w:ind w:right="45"/>
              <w:spacing w:after="0"/>
              <w:rPr>
                <w:sz w:val="20"/>
                <w:szCs w:val="20"/>
                <w:color w:val="auto"/>
              </w:rPr>
            </w:pPr>
            <w:r>
              <w:rPr>
                <w:rFonts w:ascii="Arial" w:cs="Arial" w:eastAsia="Arial" w:hAnsi="Arial"/>
                <w:sz w:val="20"/>
                <w:szCs w:val="20"/>
                <w:color w:val="00162F"/>
              </w:rPr>
              <w:t>8.7</w:t>
            </w:r>
          </w:p>
        </w:tc>
        <w:tc>
          <w:tcPr>
            <w:tcW w:w="0" w:type="dxa"/>
            <w:vAlign w:val="bottom"/>
          </w:tcPr>
          <w:p>
            <w:pPr>
              <w:spacing w:after="0"/>
              <w:rPr>
                <w:sz w:val="1"/>
                <w:szCs w:val="1"/>
                <w:color w:val="auto"/>
              </w:rPr>
            </w:pPr>
          </w:p>
        </w:tc>
      </w:tr>
      <w:tr>
        <w:trPr>
          <w:trHeight w:val="293"/>
        </w:trPr>
        <w:tc>
          <w:tcPr>
            <w:tcW w:w="5180" w:type="dxa"/>
            <w:vAlign w:val="bottom"/>
            <w:gridSpan w:val="2"/>
          </w:tcPr>
          <w:p>
            <w:pPr>
              <w:ind w:left="40"/>
              <w:spacing w:after="0"/>
              <w:rPr>
                <w:sz w:val="20"/>
                <w:szCs w:val="20"/>
                <w:color w:val="auto"/>
              </w:rPr>
            </w:pPr>
            <w:r>
              <w:rPr>
                <w:rFonts w:ascii="Arial" w:cs="Arial" w:eastAsia="Arial" w:hAnsi="Arial"/>
                <w:sz w:val="20"/>
                <w:szCs w:val="20"/>
                <w:color w:val="00162F"/>
              </w:rPr>
              <w:t>Total operating revenues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54,633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54,211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45"/>
              <w:spacing w:after="0"/>
              <w:rPr>
                <w:sz w:val="20"/>
                <w:szCs w:val="20"/>
                <w:color w:val="auto"/>
              </w:rPr>
            </w:pPr>
            <w:r>
              <w:rPr>
                <w:rFonts w:ascii="Arial" w:cs="Arial" w:eastAsia="Arial" w:hAnsi="Arial"/>
                <w:sz w:val="20"/>
                <w:szCs w:val="20"/>
                <w:color w:val="00162F"/>
              </w:rPr>
              <w:t>0.8</w:t>
            </w:r>
          </w:p>
        </w:tc>
        <w:tc>
          <w:tcPr>
            <w:tcW w:w="0" w:type="dxa"/>
            <w:vAlign w:val="bottom"/>
          </w:tcPr>
          <w:p>
            <w:pPr>
              <w:spacing w:after="0"/>
              <w:rPr>
                <w:sz w:val="1"/>
                <w:szCs w:val="1"/>
                <w:color w:val="auto"/>
              </w:rPr>
            </w:pPr>
          </w:p>
        </w:tc>
      </w:tr>
      <w:tr>
        <w:trPr>
          <w:trHeight w:val="301"/>
        </w:trPr>
        <w:tc>
          <w:tcPr>
            <w:tcW w:w="51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Aircraft fuel and related taxes</w:t>
            </w:r>
          </w:p>
        </w:tc>
        <w:tc>
          <w:tcPr>
            <w:tcW w:w="28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10,718</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11,418</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(700)</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40" w:type="dxa"/>
            <w:vAlign w:val="bottom"/>
            <w:shd w:val="clear" w:color="auto" w:fill="EDEDED"/>
          </w:tcPr>
          <w:p>
            <w:pPr>
              <w:jc w:val="center"/>
              <w:ind w:right="45"/>
              <w:spacing w:after="0"/>
              <w:rPr>
                <w:sz w:val="20"/>
                <w:szCs w:val="20"/>
                <w:color w:val="auto"/>
              </w:rPr>
            </w:pPr>
            <w:r>
              <w:rPr>
                <w:rFonts w:ascii="Arial" w:cs="Arial" w:eastAsia="Arial" w:hAnsi="Arial"/>
                <w:sz w:val="20"/>
                <w:szCs w:val="20"/>
                <w:color w:val="00162F"/>
                <w:w w:val="97"/>
              </w:rPr>
              <w:t>(6.1)</w:t>
            </w:r>
          </w:p>
        </w:tc>
        <w:tc>
          <w:tcPr>
            <w:tcW w:w="0" w:type="dxa"/>
            <w:vAlign w:val="bottom"/>
          </w:tcPr>
          <w:p>
            <w:pPr>
              <w:spacing w:after="0"/>
              <w:rPr>
                <w:sz w:val="1"/>
                <w:szCs w:val="1"/>
                <w:color w:val="auto"/>
              </w:rPr>
            </w:pPr>
          </w:p>
        </w:tc>
      </w:tr>
      <w:tr>
        <w:trPr>
          <w:trHeight w:val="293"/>
        </w:trPr>
        <w:tc>
          <w:tcPr>
            <w:tcW w:w="5180" w:type="dxa"/>
            <w:vAlign w:val="bottom"/>
            <w:gridSpan w:val="2"/>
          </w:tcPr>
          <w:p>
            <w:pPr>
              <w:ind w:left="40"/>
              <w:spacing w:after="0"/>
              <w:rPr>
                <w:sz w:val="20"/>
                <w:szCs w:val="20"/>
                <w:color w:val="auto"/>
              </w:rPr>
            </w:pPr>
            <w:r>
              <w:rPr>
                <w:rFonts w:ascii="Arial" w:cs="Arial" w:eastAsia="Arial" w:hAnsi="Arial"/>
                <w:sz w:val="20"/>
                <w:szCs w:val="20"/>
                <w:color w:val="00162F"/>
              </w:rPr>
              <w:t>Salaries, wages and benefits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17,566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16,021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1,545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45"/>
              <w:spacing w:after="0"/>
              <w:rPr>
                <w:sz w:val="20"/>
                <w:szCs w:val="20"/>
                <w:color w:val="auto"/>
              </w:rPr>
            </w:pPr>
            <w:r>
              <w:rPr>
                <w:rFonts w:ascii="Arial" w:cs="Arial" w:eastAsia="Arial" w:hAnsi="Arial"/>
                <w:sz w:val="20"/>
                <w:szCs w:val="20"/>
                <w:color w:val="00162F"/>
              </w:rPr>
              <w:t>9.6</w:t>
            </w:r>
          </w:p>
        </w:tc>
        <w:tc>
          <w:tcPr>
            <w:tcW w:w="0" w:type="dxa"/>
            <w:vAlign w:val="bottom"/>
          </w:tcPr>
          <w:p>
            <w:pPr>
              <w:spacing w:after="0"/>
              <w:rPr>
                <w:sz w:val="1"/>
                <w:szCs w:val="1"/>
                <w:color w:val="auto"/>
              </w:rPr>
            </w:pPr>
          </w:p>
        </w:tc>
      </w:tr>
      <w:tr>
        <w:trPr>
          <w:trHeight w:val="301"/>
        </w:trPr>
        <w:tc>
          <w:tcPr>
            <w:tcW w:w="51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Total operating expenses</w:t>
            </w:r>
          </w:p>
        </w:tc>
        <w:tc>
          <w:tcPr>
            <w:tcW w:w="28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53,166</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51,597</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1,569</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40" w:type="dxa"/>
            <w:vAlign w:val="bottom"/>
            <w:shd w:val="clear" w:color="auto" w:fill="EDEDED"/>
          </w:tcPr>
          <w:p>
            <w:pPr>
              <w:jc w:val="center"/>
              <w:ind w:right="45"/>
              <w:spacing w:after="0"/>
              <w:rPr>
                <w:sz w:val="20"/>
                <w:szCs w:val="20"/>
                <w:color w:val="auto"/>
              </w:rPr>
            </w:pPr>
            <w:r>
              <w:rPr>
                <w:rFonts w:ascii="Arial" w:cs="Arial" w:eastAsia="Arial" w:hAnsi="Arial"/>
                <w:sz w:val="20"/>
                <w:szCs w:val="20"/>
                <w:color w:val="00162F"/>
              </w:rPr>
              <w:t>3.0</w:t>
            </w:r>
          </w:p>
        </w:tc>
        <w:tc>
          <w:tcPr>
            <w:tcW w:w="0" w:type="dxa"/>
            <w:vAlign w:val="bottom"/>
          </w:tcPr>
          <w:p>
            <w:pPr>
              <w:spacing w:after="0"/>
              <w:rPr>
                <w:sz w:val="1"/>
                <w:szCs w:val="1"/>
                <w:color w:val="auto"/>
              </w:rPr>
            </w:pPr>
          </w:p>
        </w:tc>
      </w:tr>
      <w:tr>
        <w:trPr>
          <w:trHeight w:val="293"/>
        </w:trPr>
        <w:tc>
          <w:tcPr>
            <w:tcW w:w="5180" w:type="dxa"/>
            <w:vAlign w:val="bottom"/>
            <w:gridSpan w:val="2"/>
          </w:tcPr>
          <w:p>
            <w:pPr>
              <w:ind w:left="40"/>
              <w:spacing w:after="0"/>
              <w:rPr>
                <w:sz w:val="20"/>
                <w:szCs w:val="20"/>
                <w:color w:val="auto"/>
              </w:rPr>
            </w:pPr>
            <w:r>
              <w:rPr>
                <w:rFonts w:ascii="Arial" w:cs="Arial" w:eastAsia="Arial" w:hAnsi="Arial"/>
                <w:sz w:val="20"/>
                <w:szCs w:val="20"/>
                <w:color w:val="00162F"/>
              </w:rPr>
              <w:t>Operating income</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1,467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2,614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(1,147)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45"/>
              <w:spacing w:after="0"/>
              <w:rPr>
                <w:sz w:val="20"/>
                <w:szCs w:val="20"/>
                <w:color w:val="auto"/>
              </w:rPr>
            </w:pPr>
            <w:r>
              <w:rPr>
                <w:rFonts w:ascii="Arial" w:cs="Arial" w:eastAsia="Arial" w:hAnsi="Arial"/>
                <w:sz w:val="20"/>
                <w:szCs w:val="20"/>
                <w:color w:val="00162F"/>
                <w:w w:val="99"/>
              </w:rPr>
              <w:t>(43.9)</w:t>
            </w:r>
          </w:p>
        </w:tc>
        <w:tc>
          <w:tcPr>
            <w:tcW w:w="0" w:type="dxa"/>
            <w:vAlign w:val="bottom"/>
          </w:tcPr>
          <w:p>
            <w:pPr>
              <w:spacing w:after="0"/>
              <w:rPr>
                <w:sz w:val="1"/>
                <w:szCs w:val="1"/>
                <w:color w:val="auto"/>
              </w:rPr>
            </w:pPr>
          </w:p>
        </w:tc>
      </w:tr>
      <w:tr>
        <w:trPr>
          <w:trHeight w:val="301"/>
        </w:trPr>
        <w:tc>
          <w:tcPr>
            <w:tcW w:w="51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Pre-tax income</w:t>
            </w:r>
          </w:p>
        </w:tc>
        <w:tc>
          <w:tcPr>
            <w:tcW w:w="28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190</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1,154</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(964)</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40" w:type="dxa"/>
            <w:vAlign w:val="bottom"/>
            <w:shd w:val="clear" w:color="auto" w:fill="EDEDED"/>
          </w:tcPr>
          <w:p>
            <w:pPr>
              <w:jc w:val="center"/>
              <w:ind w:right="45"/>
              <w:spacing w:after="0"/>
              <w:rPr>
                <w:sz w:val="20"/>
                <w:szCs w:val="20"/>
                <w:color w:val="auto"/>
              </w:rPr>
            </w:pPr>
            <w:r>
              <w:rPr>
                <w:rFonts w:ascii="Arial" w:cs="Arial" w:eastAsia="Arial" w:hAnsi="Arial"/>
                <w:sz w:val="20"/>
                <w:szCs w:val="20"/>
                <w:color w:val="00162F"/>
                <w:w w:val="99"/>
              </w:rPr>
              <w:t>(83.6)</w:t>
            </w:r>
          </w:p>
        </w:tc>
        <w:tc>
          <w:tcPr>
            <w:tcW w:w="0" w:type="dxa"/>
            <w:vAlign w:val="bottom"/>
          </w:tcPr>
          <w:p>
            <w:pPr>
              <w:spacing w:after="0"/>
              <w:rPr>
                <w:sz w:val="1"/>
                <w:szCs w:val="1"/>
                <w:color w:val="auto"/>
              </w:rPr>
            </w:pPr>
          </w:p>
        </w:tc>
      </w:tr>
      <w:tr>
        <w:trPr>
          <w:trHeight w:val="293"/>
        </w:trPr>
        <w:tc>
          <w:tcPr>
            <w:tcW w:w="5180" w:type="dxa"/>
            <w:vAlign w:val="bottom"/>
            <w:gridSpan w:val="2"/>
          </w:tcPr>
          <w:p>
            <w:pPr>
              <w:ind w:left="40"/>
              <w:spacing w:after="0"/>
              <w:rPr>
                <w:sz w:val="20"/>
                <w:szCs w:val="20"/>
                <w:color w:val="auto"/>
              </w:rPr>
            </w:pPr>
            <w:r>
              <w:rPr>
                <w:rFonts w:ascii="Arial" w:cs="Arial" w:eastAsia="Arial" w:hAnsi="Arial"/>
                <w:sz w:val="20"/>
                <w:szCs w:val="20"/>
                <w:color w:val="00162F"/>
              </w:rPr>
              <w:t>Income tax provision</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79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308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(229)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45"/>
              <w:spacing w:after="0"/>
              <w:rPr>
                <w:sz w:val="20"/>
                <w:szCs w:val="20"/>
                <w:color w:val="auto"/>
              </w:rPr>
            </w:pPr>
            <w:r>
              <w:rPr>
                <w:rFonts w:ascii="Arial" w:cs="Arial" w:eastAsia="Arial" w:hAnsi="Arial"/>
                <w:sz w:val="20"/>
                <w:szCs w:val="20"/>
                <w:color w:val="00162F"/>
                <w:w w:val="99"/>
              </w:rPr>
              <w:t>(74.7)</w:t>
            </w:r>
          </w:p>
        </w:tc>
        <w:tc>
          <w:tcPr>
            <w:tcW w:w="0" w:type="dxa"/>
            <w:vAlign w:val="bottom"/>
          </w:tcPr>
          <w:p>
            <w:pPr>
              <w:spacing w:after="0"/>
              <w:rPr>
                <w:sz w:val="1"/>
                <w:szCs w:val="1"/>
                <w:color w:val="auto"/>
              </w:rPr>
            </w:pPr>
          </w:p>
        </w:tc>
      </w:tr>
      <w:tr>
        <w:trPr>
          <w:trHeight w:val="301"/>
        </w:trPr>
        <w:tc>
          <w:tcPr>
            <w:tcW w:w="51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Net income</w:t>
            </w:r>
          </w:p>
        </w:tc>
        <w:tc>
          <w:tcPr>
            <w:tcW w:w="28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111</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846</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(735)</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40" w:type="dxa"/>
            <w:vAlign w:val="bottom"/>
            <w:shd w:val="clear" w:color="auto" w:fill="EDEDED"/>
          </w:tcPr>
          <w:p>
            <w:pPr>
              <w:jc w:val="center"/>
              <w:ind w:right="45"/>
              <w:spacing w:after="0"/>
              <w:rPr>
                <w:sz w:val="20"/>
                <w:szCs w:val="20"/>
                <w:color w:val="auto"/>
              </w:rPr>
            </w:pPr>
            <w:r>
              <w:rPr>
                <w:rFonts w:ascii="Arial" w:cs="Arial" w:eastAsia="Arial" w:hAnsi="Arial"/>
                <w:sz w:val="20"/>
                <w:szCs w:val="20"/>
                <w:color w:val="00162F"/>
                <w:w w:val="99"/>
              </w:rPr>
              <w:t>(86.8)</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Pre-tax income – GAAP</w:t>
            </w:r>
          </w:p>
        </w:tc>
        <w:tc>
          <w:tcPr>
            <w:tcW w:w="280" w:type="dxa"/>
            <w:vAlign w:val="bottom"/>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190</w:t>
            </w:r>
          </w:p>
        </w:tc>
        <w:tc>
          <w:tcPr>
            <w:tcW w:w="400" w:type="dxa"/>
            <w:vAlign w:val="bottom"/>
            <w:gridSpan w:val="2"/>
            <w:shd w:val="clear" w:color="auto" w:fill="EDEDED"/>
          </w:tcPr>
          <w:p>
            <w:pPr>
              <w:jc w:val="right"/>
              <w:ind w:right="160"/>
              <w:spacing w:after="0"/>
              <w:rPr>
                <w:sz w:val="20"/>
                <w:szCs w:val="20"/>
                <w:color w:val="auto"/>
              </w:rPr>
            </w:pPr>
            <w:r>
              <w:rPr>
                <w:rFonts w:ascii="Arial" w:cs="Arial" w:eastAsia="Arial" w:hAnsi="Arial"/>
                <w:sz w:val="20"/>
                <w:szCs w:val="20"/>
                <w:color w:val="00162F"/>
              </w:rPr>
              <w:t>$</w:t>
            </w: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1,154</w:t>
            </w:r>
          </w:p>
        </w:tc>
        <w:tc>
          <w:tcPr>
            <w:tcW w:w="28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(964)</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40" w:type="dxa"/>
            <w:vAlign w:val="bottom"/>
            <w:shd w:val="clear" w:color="auto" w:fill="EDEDED"/>
          </w:tcPr>
          <w:p>
            <w:pPr>
              <w:jc w:val="center"/>
              <w:ind w:right="45"/>
              <w:spacing w:after="0"/>
              <w:rPr>
                <w:sz w:val="20"/>
                <w:szCs w:val="20"/>
                <w:color w:val="auto"/>
              </w:rPr>
            </w:pPr>
            <w:r>
              <w:rPr>
                <w:rFonts w:ascii="Arial" w:cs="Arial" w:eastAsia="Arial" w:hAnsi="Arial"/>
                <w:sz w:val="20"/>
                <w:szCs w:val="20"/>
                <w:color w:val="00162F"/>
                <w:w w:val="99"/>
              </w:rPr>
              <w:t>(83.6)</w:t>
            </w:r>
          </w:p>
        </w:tc>
        <w:tc>
          <w:tcPr>
            <w:tcW w:w="0" w:type="dxa"/>
            <w:vAlign w:val="bottom"/>
          </w:tcPr>
          <w:p>
            <w:pPr>
              <w:spacing w:after="0"/>
              <w:rPr>
                <w:sz w:val="1"/>
                <w:szCs w:val="1"/>
                <w:color w:val="auto"/>
              </w:rPr>
            </w:pPr>
          </w:p>
        </w:tc>
      </w:tr>
      <w:tr>
        <w:trPr>
          <w:trHeight w:val="287"/>
        </w:trPr>
        <w:tc>
          <w:tcPr>
            <w:tcW w:w="5180" w:type="dxa"/>
            <w:vAlign w:val="bottom"/>
            <w:tcBorders>
              <w:bottom w:val="single" w:sz="8" w:color="EDEDED"/>
            </w:tcBorders>
            <w:gridSpan w:val="2"/>
          </w:tcPr>
          <w:p>
            <w:pPr>
              <w:ind w:left="220"/>
              <w:spacing w:after="0"/>
              <w:rPr>
                <w:sz w:val="20"/>
                <w:szCs w:val="20"/>
                <w:color w:val="auto"/>
              </w:rPr>
            </w:pPr>
            <w:r>
              <w:rPr>
                <w:rFonts w:ascii="Arial" w:cs="Arial" w:eastAsia="Arial" w:hAnsi="Arial"/>
                <w:sz w:val="20"/>
                <w:szCs w:val="20"/>
                <w:color w:val="00162F"/>
              </w:rPr>
              <w:t xml:space="preserve">Adjusted for: pre-tax net special items </w:t>
            </w:r>
            <w:r>
              <w:rPr>
                <w:rFonts w:ascii="Arial" w:cs="Arial" w:eastAsia="Arial" w:hAnsi="Arial"/>
                <w:sz w:val="12"/>
                <w:szCs w:val="12"/>
                <w:color w:val="00162F"/>
              </w:rPr>
              <w:t>(1)</w:t>
            </w:r>
          </w:p>
        </w:tc>
        <w:tc>
          <w:tcPr>
            <w:tcW w:w="280" w:type="dxa"/>
            <w:vAlign w:val="bottom"/>
            <w:tcBorders>
              <w:bottom w:val="single" w:sz="8" w:color="00162F"/>
            </w:tcBorders>
          </w:tcPr>
          <w:p>
            <w:pPr>
              <w:spacing w:after="0"/>
              <w:rPr>
                <w:sz w:val="24"/>
                <w:szCs w:val="24"/>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162</w:t>
            </w:r>
          </w:p>
        </w:tc>
        <w:tc>
          <w:tcPr>
            <w:tcW w:w="80" w:type="dxa"/>
            <w:vAlign w:val="bottom"/>
            <w:tcBorders>
              <w:bottom w:val="single" w:sz="8" w:color="EDEDED"/>
            </w:tcBorders>
          </w:tcPr>
          <w:p>
            <w:pPr>
              <w:spacing w:after="0"/>
              <w:rPr>
                <w:sz w:val="24"/>
                <w:szCs w:val="24"/>
                <w:color w:val="auto"/>
              </w:rPr>
            </w:pPr>
          </w:p>
        </w:tc>
        <w:tc>
          <w:tcPr>
            <w:tcW w:w="32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667</w:t>
            </w:r>
          </w:p>
        </w:tc>
        <w:tc>
          <w:tcPr>
            <w:tcW w:w="60" w:type="dxa"/>
            <w:vAlign w:val="bottom"/>
            <w:tcBorders>
              <w:bottom w:val="single" w:sz="8" w:color="EDEDED"/>
            </w:tcBorders>
          </w:tcPr>
          <w:p>
            <w:pPr>
              <w:spacing w:after="0"/>
              <w:rPr>
                <w:sz w:val="24"/>
                <w:szCs w:val="24"/>
                <w:color w:val="auto"/>
              </w:rPr>
            </w:pPr>
          </w:p>
        </w:tc>
        <w:tc>
          <w:tcPr>
            <w:tcW w:w="22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(505)</w:t>
            </w:r>
          </w:p>
        </w:tc>
        <w:tc>
          <w:tcPr>
            <w:tcW w:w="80" w:type="dxa"/>
            <w:vAlign w:val="bottom"/>
            <w:tcBorders>
              <w:bottom w:val="single" w:sz="8" w:color="EDEDED"/>
            </w:tcBorders>
          </w:tcPr>
          <w:p>
            <w:pPr>
              <w:spacing w:after="0"/>
              <w:rPr>
                <w:sz w:val="24"/>
                <w:szCs w:val="24"/>
                <w:color w:val="auto"/>
              </w:rPr>
            </w:pPr>
          </w:p>
        </w:tc>
        <w:tc>
          <w:tcPr>
            <w:tcW w:w="180" w:type="dxa"/>
            <w:vAlign w:val="bottom"/>
            <w:tcBorders>
              <w:bottom w:val="single" w:sz="8" w:color="EDEDED"/>
            </w:tcBorders>
          </w:tcPr>
          <w:p>
            <w:pPr>
              <w:spacing w:after="0"/>
              <w:rPr>
                <w:sz w:val="24"/>
                <w:szCs w:val="24"/>
                <w:color w:val="auto"/>
              </w:rPr>
            </w:pPr>
          </w:p>
        </w:tc>
        <w:tc>
          <w:tcPr>
            <w:tcW w:w="1140" w:type="dxa"/>
            <w:vAlign w:val="bottom"/>
            <w:tcBorders>
              <w:bottom w:val="single" w:sz="8" w:color="EDEDED"/>
            </w:tcBorders>
          </w:tcPr>
          <w:p>
            <w:pPr>
              <w:jc w:val="center"/>
              <w:ind w:right="45"/>
              <w:spacing w:after="0"/>
              <w:rPr>
                <w:sz w:val="20"/>
                <w:szCs w:val="20"/>
                <w:color w:val="auto"/>
              </w:rPr>
            </w:pPr>
            <w:r>
              <w:rPr>
                <w:rFonts w:ascii="Arial" w:cs="Arial" w:eastAsia="Arial" w:hAnsi="Arial"/>
                <w:sz w:val="20"/>
                <w:szCs w:val="20"/>
                <w:color w:val="00162F"/>
                <w:w w:val="99"/>
              </w:rPr>
              <w:t>(75.7)</w:t>
            </w:r>
          </w:p>
        </w:tc>
        <w:tc>
          <w:tcPr>
            <w:tcW w:w="0" w:type="dxa"/>
            <w:vAlign w:val="bottom"/>
          </w:tcPr>
          <w:p>
            <w:pPr>
              <w:spacing w:after="0"/>
              <w:rPr>
                <w:sz w:val="1"/>
                <w:szCs w:val="1"/>
                <w:color w:val="auto"/>
              </w:rPr>
            </w:pPr>
          </w:p>
        </w:tc>
      </w:tr>
      <w:tr>
        <w:trPr>
          <w:trHeight w:val="297"/>
        </w:trPr>
        <w:tc>
          <w:tcPr>
            <w:tcW w:w="51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Pre-tax income excluding net special items</w:t>
            </w:r>
          </w:p>
        </w:tc>
        <w:tc>
          <w:tcPr>
            <w:tcW w:w="280" w:type="dxa"/>
            <w:vAlign w:val="bottom"/>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352</w:t>
            </w:r>
          </w:p>
        </w:tc>
        <w:tc>
          <w:tcPr>
            <w:tcW w:w="400" w:type="dxa"/>
            <w:vAlign w:val="bottom"/>
            <w:gridSpan w:val="2"/>
            <w:shd w:val="clear" w:color="auto" w:fill="EDEDED"/>
          </w:tcPr>
          <w:p>
            <w:pPr>
              <w:jc w:val="right"/>
              <w:ind w:right="160"/>
              <w:spacing w:after="0"/>
              <w:rPr>
                <w:sz w:val="20"/>
                <w:szCs w:val="20"/>
                <w:color w:val="auto"/>
              </w:rPr>
            </w:pPr>
            <w:r>
              <w:rPr>
                <w:rFonts w:ascii="Arial" w:cs="Arial" w:eastAsia="Arial" w:hAnsi="Arial"/>
                <w:sz w:val="20"/>
                <w:szCs w:val="20"/>
                <w:color w:val="00162F"/>
              </w:rPr>
              <w:t>$</w:t>
            </w: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1,821</w:t>
            </w:r>
          </w:p>
        </w:tc>
        <w:tc>
          <w:tcPr>
            <w:tcW w:w="28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1,469)</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40" w:type="dxa"/>
            <w:vAlign w:val="bottom"/>
            <w:shd w:val="clear" w:color="auto" w:fill="EDEDED"/>
          </w:tcPr>
          <w:p>
            <w:pPr>
              <w:jc w:val="center"/>
              <w:ind w:right="45"/>
              <w:spacing w:after="0"/>
              <w:rPr>
                <w:sz w:val="20"/>
                <w:szCs w:val="20"/>
                <w:color w:val="auto"/>
              </w:rPr>
            </w:pPr>
            <w:r>
              <w:rPr>
                <w:rFonts w:ascii="Arial" w:cs="Arial" w:eastAsia="Arial" w:hAnsi="Arial"/>
                <w:sz w:val="20"/>
                <w:szCs w:val="20"/>
                <w:color w:val="00162F"/>
                <w:w w:val="99"/>
              </w:rPr>
              <w:t>(80.7)</w:t>
            </w:r>
          </w:p>
        </w:tc>
        <w:tc>
          <w:tcPr>
            <w:tcW w:w="0" w:type="dxa"/>
            <w:vAlign w:val="bottom"/>
          </w:tcPr>
          <w:p>
            <w:pPr>
              <w:spacing w:after="0"/>
              <w:rPr>
                <w:sz w:val="1"/>
                <w:szCs w:val="1"/>
                <w:color w:val="auto"/>
              </w:rPr>
            </w:pPr>
          </w:p>
        </w:tc>
      </w:tr>
      <w:tr>
        <w:trPr>
          <w:trHeight w:val="133"/>
        </w:trPr>
        <w:tc>
          <w:tcPr>
            <w:tcW w:w="1960" w:type="dxa"/>
            <w:vAlign w:val="bottom"/>
            <w:tcBorders>
              <w:top w:val="single" w:sz="8" w:color="EDEDED"/>
              <w:bottom w:val="single" w:sz="8" w:color="00162F"/>
            </w:tcBorders>
          </w:tcPr>
          <w:p>
            <w:pPr>
              <w:spacing w:after="0"/>
              <w:rPr>
                <w:sz w:val="11"/>
                <w:szCs w:val="11"/>
                <w:color w:val="auto"/>
              </w:rPr>
            </w:pPr>
          </w:p>
        </w:tc>
        <w:tc>
          <w:tcPr>
            <w:tcW w:w="3220" w:type="dxa"/>
            <w:vAlign w:val="bottom"/>
            <w:tcBorders>
              <w:top w:val="single" w:sz="8" w:color="EDEDED"/>
            </w:tcBorders>
          </w:tcPr>
          <w:p>
            <w:pPr>
              <w:spacing w:after="0"/>
              <w:rPr>
                <w:sz w:val="11"/>
                <w:szCs w:val="11"/>
                <w:color w:val="auto"/>
              </w:rPr>
            </w:pPr>
          </w:p>
        </w:tc>
        <w:tc>
          <w:tcPr>
            <w:tcW w:w="280" w:type="dxa"/>
            <w:vAlign w:val="bottom"/>
            <w:tcBorders>
              <w:top w:val="single" w:sz="8" w:color="00162F"/>
            </w:tcBorders>
          </w:tcPr>
          <w:p>
            <w:pPr>
              <w:spacing w:after="0"/>
              <w:rPr>
                <w:sz w:val="11"/>
                <w:szCs w:val="11"/>
                <w:color w:val="auto"/>
              </w:rPr>
            </w:pPr>
          </w:p>
        </w:tc>
        <w:tc>
          <w:tcPr>
            <w:tcW w:w="1040" w:type="dxa"/>
            <w:vAlign w:val="bottom"/>
            <w:tcBorders>
              <w:top w:val="single" w:sz="8" w:color="00162F"/>
            </w:tcBorders>
          </w:tcPr>
          <w:p>
            <w:pPr>
              <w:spacing w:after="0"/>
              <w:rPr>
                <w:sz w:val="11"/>
                <w:szCs w:val="11"/>
                <w:color w:val="auto"/>
              </w:rPr>
            </w:pPr>
          </w:p>
        </w:tc>
        <w:tc>
          <w:tcPr>
            <w:tcW w:w="80" w:type="dxa"/>
            <w:vAlign w:val="bottom"/>
            <w:tcBorders>
              <w:top w:val="single" w:sz="8" w:color="EDEDED"/>
            </w:tcBorders>
          </w:tcPr>
          <w:p>
            <w:pPr>
              <w:spacing w:after="0"/>
              <w:rPr>
                <w:sz w:val="11"/>
                <w:szCs w:val="11"/>
                <w:color w:val="auto"/>
              </w:rPr>
            </w:pPr>
          </w:p>
        </w:tc>
        <w:tc>
          <w:tcPr>
            <w:tcW w:w="320" w:type="dxa"/>
            <w:vAlign w:val="bottom"/>
            <w:tcBorders>
              <w:top w:val="single" w:sz="8" w:color="00162F"/>
            </w:tcBorders>
          </w:tcPr>
          <w:p>
            <w:pPr>
              <w:spacing w:after="0"/>
              <w:rPr>
                <w:sz w:val="11"/>
                <w:szCs w:val="11"/>
                <w:color w:val="auto"/>
              </w:rPr>
            </w:pPr>
          </w:p>
        </w:tc>
        <w:tc>
          <w:tcPr>
            <w:tcW w:w="1000" w:type="dxa"/>
            <w:vAlign w:val="bottom"/>
            <w:tcBorders>
              <w:top w:val="single" w:sz="8" w:color="00162F"/>
            </w:tcBorders>
          </w:tcPr>
          <w:p>
            <w:pPr>
              <w:spacing w:after="0"/>
              <w:rPr>
                <w:sz w:val="11"/>
                <w:szCs w:val="11"/>
                <w:color w:val="auto"/>
              </w:rPr>
            </w:pPr>
          </w:p>
        </w:tc>
        <w:tc>
          <w:tcPr>
            <w:tcW w:w="60" w:type="dxa"/>
            <w:vAlign w:val="bottom"/>
            <w:tcBorders>
              <w:top w:val="single" w:sz="8" w:color="EDEDED"/>
            </w:tcBorders>
          </w:tcPr>
          <w:p>
            <w:pPr>
              <w:spacing w:after="0"/>
              <w:rPr>
                <w:sz w:val="11"/>
                <w:szCs w:val="11"/>
                <w:color w:val="auto"/>
              </w:rPr>
            </w:pPr>
          </w:p>
        </w:tc>
        <w:tc>
          <w:tcPr>
            <w:tcW w:w="220" w:type="dxa"/>
            <w:vAlign w:val="bottom"/>
            <w:tcBorders>
              <w:top w:val="single" w:sz="8" w:color="00162F"/>
            </w:tcBorders>
          </w:tcPr>
          <w:p>
            <w:pPr>
              <w:spacing w:after="0"/>
              <w:rPr>
                <w:sz w:val="11"/>
                <w:szCs w:val="11"/>
                <w:color w:val="auto"/>
              </w:rPr>
            </w:pPr>
          </w:p>
        </w:tc>
        <w:tc>
          <w:tcPr>
            <w:tcW w:w="1100" w:type="dxa"/>
            <w:vAlign w:val="bottom"/>
            <w:tcBorders>
              <w:top w:val="single" w:sz="8" w:color="00162F"/>
            </w:tcBorders>
          </w:tcPr>
          <w:p>
            <w:pPr>
              <w:spacing w:after="0"/>
              <w:rPr>
                <w:sz w:val="11"/>
                <w:szCs w:val="11"/>
                <w:color w:val="auto"/>
              </w:rPr>
            </w:pPr>
          </w:p>
        </w:tc>
        <w:tc>
          <w:tcPr>
            <w:tcW w:w="80" w:type="dxa"/>
            <w:vAlign w:val="bottom"/>
            <w:tcBorders>
              <w:top w:val="single" w:sz="8" w:color="EDEDED"/>
            </w:tcBorders>
          </w:tcPr>
          <w:p>
            <w:pPr>
              <w:spacing w:after="0"/>
              <w:rPr>
                <w:sz w:val="11"/>
                <w:szCs w:val="11"/>
                <w:color w:val="auto"/>
              </w:rPr>
            </w:pPr>
          </w:p>
        </w:tc>
        <w:tc>
          <w:tcPr>
            <w:tcW w:w="180" w:type="dxa"/>
            <w:vAlign w:val="bottom"/>
            <w:tcBorders>
              <w:top w:val="single" w:sz="8" w:color="EDEDED"/>
            </w:tcBorders>
          </w:tcPr>
          <w:p>
            <w:pPr>
              <w:spacing w:after="0"/>
              <w:rPr>
                <w:sz w:val="11"/>
                <w:szCs w:val="11"/>
                <w:color w:val="auto"/>
              </w:rPr>
            </w:pPr>
          </w:p>
        </w:tc>
        <w:tc>
          <w:tcPr>
            <w:tcW w:w="1140" w:type="dxa"/>
            <w:vAlign w:val="bottom"/>
            <w:tcBorders>
              <w:top w:val="single" w:sz="8" w:color="EDEDED"/>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-316865</wp:posOffset>
            </wp:positionV>
            <wp:extent cx="263715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2637155" cy="2540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-140970</wp:posOffset>
            </wp:positionV>
            <wp:extent cx="263715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2637155" cy="50800"/>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33" w:lineRule="auto"/>
        <w:tabs>
          <w:tab w:leader="none" w:pos="365" w:val="left"/>
        </w:tabs>
        <w:numPr>
          <w:ilvl w:val="0"/>
          <w:numId w:val="31"/>
        </w:numPr>
        <w:rPr>
          <w:rFonts w:ascii="Arial" w:cs="Arial" w:eastAsia="Arial" w:hAnsi="Arial"/>
          <w:sz w:val="26"/>
          <w:szCs w:val="26"/>
          <w:color w:val="00162F"/>
          <w:vertAlign w:val="superscript"/>
        </w:rPr>
      </w:pPr>
      <w:r>
        <w:rPr>
          <w:rFonts w:ascii="Arial" w:cs="Arial" w:eastAsia="Arial" w:hAnsi="Arial"/>
          <w:sz w:val="20"/>
          <w:szCs w:val="20"/>
          <w:color w:val="00162F"/>
        </w:rPr>
        <w:t xml:space="preserve">See Part II, Item 6. Selected Consolidated Financial Data – </w:t>
      </w:r>
      <w:r>
        <w:rPr>
          <w:rFonts w:ascii="Arial" w:cs="Arial" w:eastAsia="Arial" w:hAnsi="Arial"/>
          <w:sz w:val="20"/>
          <w:szCs w:val="20"/>
          <w:i w:val="1"/>
          <w:iCs w:val="1"/>
          <w:color w:val="00162F"/>
        </w:rPr>
        <w:t>“Reconciliation of GAAP to Non-GAAP Financial</w:t>
      </w:r>
      <w:r>
        <w:rPr>
          <w:rFonts w:ascii="Arial" w:cs="Arial" w:eastAsia="Arial" w:hAnsi="Arial"/>
          <w:sz w:val="20"/>
          <w:szCs w:val="20"/>
          <w:color w:val="00162F"/>
        </w:rPr>
        <w:t xml:space="preserve"> </w:t>
      </w:r>
      <w:r>
        <w:rPr>
          <w:rFonts w:ascii="Arial" w:cs="Arial" w:eastAsia="Arial" w:hAnsi="Arial"/>
          <w:sz w:val="20"/>
          <w:szCs w:val="20"/>
          <w:i w:val="1"/>
          <w:iCs w:val="1"/>
          <w:color w:val="00162F"/>
        </w:rPr>
        <w:t xml:space="preserve">Measures” </w:t>
      </w:r>
      <w:r>
        <w:rPr>
          <w:rFonts w:ascii="Arial" w:cs="Arial" w:eastAsia="Arial" w:hAnsi="Arial"/>
          <w:sz w:val="20"/>
          <w:szCs w:val="20"/>
          <w:color w:val="00162F"/>
        </w:rPr>
        <w:t>and Note 2 to AAG’s Consolidated Financial Statements in Part II, Item 8A for details on the components of</w:t>
      </w:r>
      <w:r>
        <w:rPr>
          <w:rFonts w:ascii="Arial" w:cs="Arial" w:eastAsia="Arial" w:hAnsi="Arial"/>
          <w:sz w:val="20"/>
          <w:szCs w:val="20"/>
          <w:i w:val="1"/>
          <w:iCs w:val="1"/>
          <w:color w:val="00162F"/>
        </w:rPr>
        <w:t xml:space="preserve"> </w:t>
      </w:r>
      <w:r>
        <w:rPr>
          <w:rFonts w:ascii="Arial" w:cs="Arial" w:eastAsia="Arial" w:hAnsi="Arial"/>
          <w:sz w:val="20"/>
          <w:szCs w:val="20"/>
          <w:color w:val="00162F"/>
        </w:rPr>
        <w:t>pre-tax net special items.</w:t>
      </w:r>
    </w:p>
    <w:p>
      <w:pPr>
        <w:spacing w:after="0" w:line="244"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162F"/>
        </w:rPr>
        <w:t>Pre-Tax Income and Net Income</w:t>
      </w:r>
    </w:p>
    <w:p>
      <w:pPr>
        <w:spacing w:after="0" w:line="95" w:lineRule="exact"/>
        <w:rPr>
          <w:sz w:val="20"/>
          <w:szCs w:val="20"/>
          <w:color w:val="auto"/>
        </w:rPr>
      </w:pPr>
    </w:p>
    <w:p>
      <w:pPr>
        <w:ind w:left="5" w:firstLine="267"/>
        <w:spacing w:after="0" w:line="282" w:lineRule="auto"/>
        <w:rPr>
          <w:sz w:val="20"/>
          <w:szCs w:val="20"/>
          <w:color w:val="auto"/>
        </w:rPr>
      </w:pPr>
      <w:r>
        <w:rPr>
          <w:rFonts w:ascii="Arial" w:cs="Arial" w:eastAsia="Arial" w:hAnsi="Arial"/>
          <w:sz w:val="20"/>
          <w:szCs w:val="20"/>
          <w:color w:val="00162F"/>
        </w:rPr>
        <w:t>Pre-tax income and net income were $190 million and $111 million, respectively, in 2025. This compares to 2024 pre-tax income and net income of $1.2 billion and $846 million, respectively.</w:t>
      </w:r>
    </w:p>
    <w:p>
      <w:pPr>
        <w:sectPr>
          <w:pgSz w:w="11880" w:h="15480" w:orient="portrait"/>
          <w:cols w:equalWidth="0" w:num="1">
            <w:col w:w="10685"/>
          </w:cols>
          <w:pgMar w:left="595"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62</w:t>
      </w:r>
    </w:p>
    <w:p>
      <w:pPr>
        <w:sectPr>
          <w:pgSz w:w="11880" w:h="15480" w:orient="portrait"/>
          <w:cols w:equalWidth="0" w:num="1">
            <w:col w:w="10685"/>
          </w:cols>
          <w:pgMar w:left="595" w:top="992" w:right="600" w:bottom="0" w:gutter="0" w:footer="0" w:header="0"/>
          <w:type w:val="continuous"/>
        </w:sectPr>
      </w:pPr>
    </w:p>
    <w:bookmarkStart w:id="63" w:name="page64"/>
    <w:bookmarkEnd w:id="63"/>
    <w:p>
      <w:pPr>
        <w:jc w:val="both"/>
        <w:ind w:firstLine="267"/>
        <w:spacing w:after="0" w:line="259" w:lineRule="auto"/>
        <w:rPr>
          <w:sz w:val="20"/>
          <w:szCs w:val="20"/>
          <w:color w:val="auto"/>
        </w:rPr>
      </w:pPr>
      <w:r>
        <w:rPr>
          <w:rFonts w:ascii="Arial" w:cs="Arial" w:eastAsia="Arial" w:hAnsi="Arial"/>
          <w:sz w:val="20"/>
          <w:szCs w:val="20"/>
          <w:color w:val="00162F"/>
        </w:rPr>
        <w:t>Pre-tax income on a GAAP basis decreased in 2025 as compared to 2024. This decrease was driven primarily by increases in certain operating expenses including salaries, wages and benefits, regional expenses and other operating expenses, offset in part by lower costs for aircraft fuel and related taxes, a decrease in pre-tax net special items and higher revenues.</w:t>
      </w:r>
    </w:p>
    <w:p>
      <w:pPr>
        <w:spacing w:after="0" w:line="136"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Excluding the effects of pre-tax net special items, pre-tax income was $352 million and $1.8 billion in 2025 and 2024, respectively. The year-over-year decrease in our pre-tax income excluding pre-tax net special items was principally driven by certain operating expenses as mentioned above, offset in part by lower costs for aircraft fuel and related taxes and higher revenues.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Revenue</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In 2025, we reported total operating revenues of $54.6 billion, an increase of $422 million, or 0.8%, as compared to 2024. Passenger revenue was $49.6 billion and remained relatively flat as compared to 2024. Our passenger revenue in 2025 was impacted by the American Eagle flight 5342 accident and softness in domestic demand for air travel in the first half of the year, offset by strength in international travel, particularly in the Atlantic and Pacific regions, and recovery in domestic travel in the second half of the year despite the negative revenue impact from the temporary shutdown of the U.S. Government in the fourth quarter of 2025.</w:t>
      </w:r>
    </w:p>
    <w:p>
      <w:pPr>
        <w:spacing w:after="0" w:line="143"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Other operating revenue increased $330 million, or 8.7%, in 2025 as compared to 2024, driven primarily by higher revenue associated with our loyalty program. During 2025 and 2024, cash payments from co-branded credit card and other partners were $6.2 billion and $6.1 billion, respectively. Cash remuneration in 2024 included a one-time cash payment related to the new co-branded credit card agreement announced in December 2024. This one-time cash payment will be amortized over the life of the new agreement beginning in 2026.</w:t>
      </w:r>
    </w:p>
    <w:p>
      <w:pPr>
        <w:spacing w:after="0" w:line="139"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Our total revenue per available seat mile (TRASM) was 18.25 cents in 2025, a 1.4% decrease as compared to 18.51 cents in 2024.</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Fuel</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In 2025, aircraft fuel expense totaled $10.7 billion, a decrease of $700 million, or 6.1%, as compared to 2024. This decrease was primarily driven by an 8.2% decrease in the average price per gallon of aircraft fuel including related taxes to $2.39 in 2025 from $2.60 in 2024, offset in part by a 2.2% increase in gallons of fuel consumed due to increased capacity.</w:t>
      </w:r>
    </w:p>
    <w:p>
      <w:pPr>
        <w:spacing w:after="0" w:line="136"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As of December 31, 2025,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See Part I, Item 1A. Risk Factors – “</w:t>
      </w:r>
      <w:r>
        <w:rPr>
          <w:rFonts w:ascii="Arial" w:cs="Arial" w:eastAsia="Arial" w:hAnsi="Arial"/>
          <w:sz w:val="20"/>
          <w:szCs w:val="20"/>
          <w:i w:val="1"/>
          <w:iCs w:val="1"/>
          <w:color w:val="00162F"/>
        </w:rPr>
        <w:t>Our business is very dependent on the price and availability of aircraft fuel. Continued periods of high volatility</w:t>
      </w:r>
      <w:r>
        <w:rPr>
          <w:rFonts w:ascii="Arial" w:cs="Arial" w:eastAsia="Arial" w:hAnsi="Arial"/>
          <w:sz w:val="20"/>
          <w:szCs w:val="20"/>
          <w:color w:val="00162F"/>
        </w:rPr>
        <w:t xml:space="preserve"> </w:t>
      </w:r>
      <w:r>
        <w:rPr>
          <w:rFonts w:ascii="Arial" w:cs="Arial" w:eastAsia="Arial" w:hAnsi="Arial"/>
          <w:sz w:val="20"/>
          <w:szCs w:val="20"/>
          <w:i w:val="1"/>
          <w:iCs w:val="1"/>
          <w:color w:val="00162F"/>
        </w:rPr>
        <w:t>in fuel costs, increased fuel prices or significant disruptions in the supply of aircraft fuel could have a significant negative impact on consumer demand, our operating results and liquidity.”</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Other Costs</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We remain committed to actively managing our cost structure, which we believe is necessary in an industry whose economic prospects are heavily dependent upon two variables we cannot control: general economic conditions and the price of fuel. Additionally, we continue to focus on initiatives to reengineer our business through the use of digital solutions, process enhancements and procurement transformation and we intend to continue to invest in reengineering our business through 2026 and beyond to build an even more efficient airline and continue to manage costs while delivering a better experience for our customers and team.</w:t>
      </w:r>
    </w:p>
    <w:p>
      <w:pPr>
        <w:spacing w:after="0" w:line="14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Our 2025 CASM was 17.76 cents, an increase of 0.8%, from 17.61 cents in 2024. This increase in CASM was primarily driven by higher costs for salaries, wages and benefits, regional expenses and other operating expenses, offset in part by lower aircraft fuel costs as well as a decrease in mainline operating special items, net.</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Our 2025 CASM excluding net special items and fuel was 14.12 cents, an increase of 4.6%, from 13.50 cents in 2024, which was primarily driven by higher costs for salaries, wages and benefits, regional expenses and other operating expenses.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63</w:t>
      </w:r>
    </w:p>
    <w:p>
      <w:pPr>
        <w:sectPr>
          <w:pgSz w:w="11880" w:h="15480" w:orient="portrait"/>
          <w:cols w:equalWidth="0" w:num="1">
            <w:col w:w="10680"/>
          </w:cols>
          <w:pgMar w:left="600" w:top="992" w:right="600" w:bottom="0" w:gutter="0" w:footer="0" w:header="0"/>
          <w:type w:val="continuous"/>
        </w:sectPr>
      </w:pPr>
    </w:p>
    <w:bookmarkStart w:id="64" w:name="page65"/>
    <w:bookmarkEnd w:id="64"/>
    <w:p>
      <w:pPr>
        <w:ind w:right="20" w:firstLine="267"/>
        <w:spacing w:after="0" w:line="282" w:lineRule="auto"/>
        <w:rPr>
          <w:sz w:val="20"/>
          <w:szCs w:val="20"/>
          <w:color w:val="auto"/>
        </w:rPr>
      </w:pPr>
      <w:r>
        <w:rPr>
          <w:rFonts w:ascii="Arial" w:cs="Arial" w:eastAsia="Arial" w:hAnsi="Arial"/>
          <w:sz w:val="20"/>
          <w:szCs w:val="20"/>
          <w:color w:val="00162F"/>
        </w:rPr>
        <w:t xml:space="preserve">For a reconciliation of total operating CASM to total operating CASM excluding net special items and fuel, see Part II, Item 6. Selected Consolidated Financial Data – </w:t>
      </w:r>
      <w:r>
        <w:rPr>
          <w:rFonts w:ascii="Arial" w:cs="Arial" w:eastAsia="Arial" w:hAnsi="Arial"/>
          <w:sz w:val="20"/>
          <w:szCs w:val="20"/>
          <w:i w:val="1"/>
          <w:iCs w:val="1"/>
          <w:color w:val="00162F"/>
        </w:rPr>
        <w:t>“Reconciliation of GAAP to Non-GAAP Financial Measures.”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Liquidity</w:t>
      </w:r>
    </w:p>
    <w:p>
      <w:pPr>
        <w:spacing w:after="0" w:line="95" w:lineRule="exact"/>
        <w:rPr>
          <w:sz w:val="20"/>
          <w:szCs w:val="20"/>
          <w:color w:val="auto"/>
        </w:rPr>
      </w:pPr>
    </w:p>
    <w:p>
      <w:pPr>
        <w:ind w:right="20" w:firstLine="267"/>
        <w:spacing w:after="0" w:line="282" w:lineRule="auto"/>
        <w:rPr>
          <w:sz w:val="20"/>
          <w:szCs w:val="20"/>
          <w:color w:val="auto"/>
        </w:rPr>
      </w:pPr>
      <w:r>
        <w:rPr>
          <w:rFonts w:ascii="Arial" w:cs="Arial" w:eastAsia="Arial" w:hAnsi="Arial"/>
          <w:sz w:val="20"/>
          <w:szCs w:val="20"/>
          <w:color w:val="00162F"/>
        </w:rPr>
        <w:t>As of December 31, 2025, we had $9.2 billion in total available liquidity, consisting of $5.8 billion in unrestricted cash and short-term investments and $3.4 billion in total undrawn capacity under revolving credit and other facilities.</w:t>
      </w:r>
    </w:p>
    <w:p>
      <w:pPr>
        <w:spacing w:after="0" w:line="113" w:lineRule="exact"/>
        <w:rPr>
          <w:sz w:val="20"/>
          <w:szCs w:val="20"/>
          <w:color w:val="auto"/>
        </w:rPr>
      </w:pPr>
    </w:p>
    <w:p>
      <w:pPr>
        <w:ind w:right="20" w:firstLine="267"/>
        <w:spacing w:after="0" w:line="282" w:lineRule="auto"/>
        <w:rPr>
          <w:sz w:val="20"/>
          <w:szCs w:val="20"/>
          <w:color w:val="auto"/>
        </w:rPr>
      </w:pPr>
      <w:r>
        <w:rPr>
          <w:rFonts w:ascii="Arial" w:cs="Arial" w:eastAsia="Arial" w:hAnsi="Arial"/>
          <w:sz w:val="20"/>
          <w:szCs w:val="20"/>
          <w:color w:val="00162F"/>
        </w:rPr>
        <w:t>During 2025, we completed the following financing transactions (see Notes 1, 4 and 11 to AAG’s Consolidated Financial Statements in Part II, Item 8A for further information):</w:t>
      </w:r>
    </w:p>
    <w:p>
      <w:pPr>
        <w:spacing w:after="0" w:line="113" w:lineRule="exact"/>
        <w:rPr>
          <w:sz w:val="20"/>
          <w:szCs w:val="20"/>
          <w:color w:val="auto"/>
        </w:rPr>
      </w:pPr>
    </w:p>
    <w:p>
      <w:pPr>
        <w:ind w:left="700" w:right="20" w:hanging="438"/>
        <w:spacing w:after="0" w:line="282" w:lineRule="auto"/>
        <w:tabs>
          <w:tab w:leader="none" w:pos="700" w:val="left"/>
        </w:tabs>
        <w:numPr>
          <w:ilvl w:val="0"/>
          <w:numId w:val="32"/>
        </w:numPr>
        <w:rPr>
          <w:rFonts w:ascii="Arial" w:cs="Arial" w:eastAsia="Arial" w:hAnsi="Arial"/>
          <w:sz w:val="20"/>
          <w:szCs w:val="20"/>
          <w:color w:val="00162F"/>
        </w:rPr>
      </w:pPr>
      <w:r>
        <w:rPr>
          <w:rFonts w:ascii="Arial" w:cs="Arial" w:eastAsia="Arial" w:hAnsi="Arial"/>
          <w:sz w:val="20"/>
          <w:szCs w:val="20"/>
          <w:color w:val="00162F"/>
        </w:rPr>
        <w:t>amended the AAdvantage term loan credit and guaranty agreement to reduce the applicable interest rate margin and to reduce the scheduled quarterly principal amortization amount;</w:t>
      </w:r>
    </w:p>
    <w:p>
      <w:pPr>
        <w:spacing w:after="0" w:line="112" w:lineRule="exact"/>
        <w:rPr>
          <w:rFonts w:ascii="Arial" w:cs="Arial" w:eastAsia="Arial" w:hAnsi="Arial"/>
          <w:sz w:val="20"/>
          <w:szCs w:val="20"/>
          <w:color w:val="00162F"/>
        </w:rPr>
      </w:pPr>
    </w:p>
    <w:p>
      <w:pPr>
        <w:ind w:left="700" w:right="20" w:hanging="438"/>
        <w:spacing w:after="0" w:line="282" w:lineRule="auto"/>
        <w:tabs>
          <w:tab w:leader="none" w:pos="700" w:val="left"/>
        </w:tabs>
        <w:numPr>
          <w:ilvl w:val="0"/>
          <w:numId w:val="32"/>
        </w:numPr>
        <w:rPr>
          <w:rFonts w:ascii="Arial" w:cs="Arial" w:eastAsia="Arial" w:hAnsi="Arial"/>
          <w:sz w:val="20"/>
          <w:szCs w:val="20"/>
          <w:color w:val="00162F"/>
        </w:rPr>
      </w:pPr>
      <w:r>
        <w:rPr>
          <w:rFonts w:ascii="Arial" w:cs="Arial" w:eastAsia="Arial" w:hAnsi="Arial"/>
          <w:sz w:val="20"/>
          <w:szCs w:val="20"/>
          <w:color w:val="00162F"/>
        </w:rPr>
        <w:t>issued $1.0 billion of incremental term loans pursuant to the AAdvantage term loan credit guaranty agreement (2025 AAdvantage Term Loan Facility), as amended;</w:t>
      </w:r>
    </w:p>
    <w:p>
      <w:pPr>
        <w:spacing w:after="0" w:line="112" w:lineRule="exact"/>
        <w:rPr>
          <w:rFonts w:ascii="Arial" w:cs="Arial" w:eastAsia="Arial" w:hAnsi="Arial"/>
          <w:sz w:val="20"/>
          <w:szCs w:val="20"/>
          <w:color w:val="00162F"/>
        </w:rPr>
      </w:pPr>
    </w:p>
    <w:p>
      <w:pPr>
        <w:ind w:left="700" w:right="20" w:hanging="438"/>
        <w:spacing w:after="0" w:line="282" w:lineRule="auto"/>
        <w:tabs>
          <w:tab w:leader="none" w:pos="700" w:val="left"/>
        </w:tabs>
        <w:numPr>
          <w:ilvl w:val="0"/>
          <w:numId w:val="32"/>
        </w:numPr>
        <w:rPr>
          <w:rFonts w:ascii="Arial" w:cs="Arial" w:eastAsia="Arial" w:hAnsi="Arial"/>
          <w:sz w:val="20"/>
          <w:szCs w:val="20"/>
          <w:color w:val="00162F"/>
        </w:rPr>
      </w:pPr>
      <w:r>
        <w:rPr>
          <w:rFonts w:ascii="Arial" w:cs="Arial" w:eastAsia="Arial" w:hAnsi="Arial"/>
          <w:sz w:val="20"/>
          <w:szCs w:val="20"/>
          <w:color w:val="00162F"/>
        </w:rPr>
        <w:t>prepaid $487 million of the outstanding principal amounts of certain equipment notes issued under enhanced equipment trust certificates (EETCs);</w:t>
      </w:r>
    </w:p>
    <w:p>
      <w:pPr>
        <w:spacing w:after="0" w:line="112" w:lineRule="exact"/>
        <w:rPr>
          <w:rFonts w:ascii="Arial" w:cs="Arial" w:eastAsia="Arial" w:hAnsi="Arial"/>
          <w:sz w:val="20"/>
          <w:szCs w:val="20"/>
          <w:color w:val="00162F"/>
        </w:rPr>
      </w:pPr>
    </w:p>
    <w:p>
      <w:pPr>
        <w:ind w:left="700" w:right="20" w:hanging="438"/>
        <w:spacing w:after="0" w:line="282" w:lineRule="auto"/>
        <w:tabs>
          <w:tab w:leader="none" w:pos="700" w:val="left"/>
        </w:tabs>
        <w:numPr>
          <w:ilvl w:val="0"/>
          <w:numId w:val="32"/>
        </w:numPr>
        <w:rPr>
          <w:rFonts w:ascii="Arial" w:cs="Arial" w:eastAsia="Arial" w:hAnsi="Arial"/>
          <w:sz w:val="20"/>
          <w:szCs w:val="20"/>
          <w:color w:val="00162F"/>
        </w:rPr>
      </w:pPr>
      <w:r>
        <w:rPr>
          <w:rFonts w:ascii="Arial" w:cs="Arial" w:eastAsia="Arial" w:hAnsi="Arial"/>
          <w:sz w:val="20"/>
          <w:szCs w:val="20"/>
          <w:color w:val="00162F"/>
        </w:rPr>
        <w:t>increased the aggregate revolving commitments under the 2013, 2014 and 2023 Revolving Facilities from approximately $2.9 billion to $3.0 billion;</w:t>
      </w:r>
    </w:p>
    <w:p>
      <w:pPr>
        <w:spacing w:after="0" w:line="112" w:lineRule="exact"/>
        <w:rPr>
          <w:rFonts w:ascii="Arial" w:cs="Arial" w:eastAsia="Arial" w:hAnsi="Arial"/>
          <w:sz w:val="20"/>
          <w:szCs w:val="20"/>
          <w:color w:val="00162F"/>
        </w:rPr>
      </w:pPr>
    </w:p>
    <w:p>
      <w:pPr>
        <w:jc w:val="both"/>
        <w:ind w:left="700" w:right="20" w:hanging="438"/>
        <w:spacing w:after="0" w:line="259" w:lineRule="auto"/>
        <w:tabs>
          <w:tab w:leader="none" w:pos="700" w:val="left"/>
        </w:tabs>
        <w:numPr>
          <w:ilvl w:val="0"/>
          <w:numId w:val="32"/>
        </w:numPr>
        <w:rPr>
          <w:rFonts w:ascii="Arial" w:cs="Arial" w:eastAsia="Arial" w:hAnsi="Arial"/>
          <w:sz w:val="20"/>
          <w:szCs w:val="20"/>
          <w:color w:val="00162F"/>
        </w:rPr>
      </w:pPr>
      <w:r>
        <w:rPr>
          <w:rFonts w:ascii="Arial" w:cs="Arial" w:eastAsia="Arial" w:hAnsi="Arial"/>
          <w:sz w:val="20"/>
          <w:szCs w:val="20"/>
          <w:color w:val="00162F"/>
        </w:rPr>
        <w:t>received $432 million of gross proceeds pursuant to special facility revenue bonds issued by the Tulsa Municipal Airport Trust (TMAT), of which a portion was used to fund the redemption of other bonds related to TMAT and the remaining amount will be used to finance the cost of improvements at American’s overhaul and maintenance base at Tulsa International Airport;</w:t>
      </w:r>
    </w:p>
    <w:p>
      <w:pPr>
        <w:spacing w:after="0" w:line="135" w:lineRule="exact"/>
        <w:rPr>
          <w:rFonts w:ascii="Arial" w:cs="Arial" w:eastAsia="Arial" w:hAnsi="Arial"/>
          <w:sz w:val="20"/>
          <w:szCs w:val="20"/>
          <w:color w:val="00162F"/>
        </w:rPr>
      </w:pPr>
    </w:p>
    <w:p>
      <w:pPr>
        <w:jc w:val="both"/>
        <w:ind w:left="700" w:right="20" w:hanging="438"/>
        <w:spacing w:after="0" w:line="265" w:lineRule="auto"/>
        <w:tabs>
          <w:tab w:leader="none" w:pos="700" w:val="left"/>
        </w:tabs>
        <w:numPr>
          <w:ilvl w:val="0"/>
          <w:numId w:val="32"/>
        </w:numPr>
        <w:rPr>
          <w:rFonts w:ascii="Arial" w:cs="Arial" w:eastAsia="Arial" w:hAnsi="Arial"/>
          <w:sz w:val="20"/>
          <w:szCs w:val="20"/>
          <w:color w:val="00162F"/>
        </w:rPr>
      </w:pPr>
      <w:r>
        <w:rPr>
          <w:rFonts w:ascii="Arial" w:cs="Arial" w:eastAsia="Arial" w:hAnsi="Arial"/>
          <w:sz w:val="20"/>
          <w:szCs w:val="20"/>
          <w:color w:val="00162F"/>
        </w:rPr>
        <w:t>prepaid in full $937 million of the outstanding principal amounts of the 10.75% senior secured IP notes (the IP Notes) and the 10.75% senior secured LGA/DCA notes (LGA/DCA Notes and together with the IP Notes, the 10.75% Senior Secured Notes);</w:t>
      </w:r>
    </w:p>
    <w:p>
      <w:pPr>
        <w:spacing w:after="0" w:line="129" w:lineRule="exact"/>
        <w:rPr>
          <w:rFonts w:ascii="Arial" w:cs="Arial" w:eastAsia="Arial" w:hAnsi="Arial"/>
          <w:sz w:val="20"/>
          <w:szCs w:val="20"/>
          <w:color w:val="00162F"/>
        </w:rPr>
      </w:pPr>
    </w:p>
    <w:p>
      <w:pPr>
        <w:ind w:left="700" w:hanging="438"/>
        <w:spacing w:after="0"/>
        <w:tabs>
          <w:tab w:leader="none" w:pos="700" w:val="left"/>
        </w:tabs>
        <w:numPr>
          <w:ilvl w:val="0"/>
          <w:numId w:val="32"/>
        </w:numPr>
        <w:rPr>
          <w:rFonts w:ascii="Arial" w:cs="Arial" w:eastAsia="Arial" w:hAnsi="Arial"/>
          <w:sz w:val="20"/>
          <w:szCs w:val="20"/>
          <w:color w:val="00162F"/>
        </w:rPr>
      </w:pPr>
      <w:r>
        <w:rPr>
          <w:rFonts w:ascii="Arial" w:cs="Arial" w:eastAsia="Arial" w:hAnsi="Arial"/>
          <w:sz w:val="20"/>
          <w:szCs w:val="20"/>
          <w:color w:val="00162F"/>
        </w:rPr>
        <w:t>borrowed $629 million under a senior unsecured short-term term loan facility due in January 2026;</w:t>
      </w:r>
    </w:p>
    <w:p>
      <w:pPr>
        <w:spacing w:after="0" w:line="185" w:lineRule="exact"/>
        <w:rPr>
          <w:rFonts w:ascii="Arial" w:cs="Arial" w:eastAsia="Arial" w:hAnsi="Arial"/>
          <w:sz w:val="20"/>
          <w:szCs w:val="20"/>
          <w:color w:val="00162F"/>
        </w:rPr>
      </w:pPr>
    </w:p>
    <w:p>
      <w:pPr>
        <w:ind w:left="700" w:hanging="438"/>
        <w:spacing w:after="0"/>
        <w:tabs>
          <w:tab w:leader="none" w:pos="700" w:val="left"/>
        </w:tabs>
        <w:numPr>
          <w:ilvl w:val="0"/>
          <w:numId w:val="32"/>
        </w:numPr>
        <w:rPr>
          <w:rFonts w:ascii="Arial" w:cs="Arial" w:eastAsia="Arial" w:hAnsi="Arial"/>
          <w:sz w:val="20"/>
          <w:szCs w:val="20"/>
          <w:color w:val="00162F"/>
        </w:rPr>
      </w:pPr>
      <w:r>
        <w:rPr>
          <w:rFonts w:ascii="Arial" w:cs="Arial" w:eastAsia="Arial" w:hAnsi="Arial"/>
          <w:sz w:val="20"/>
          <w:szCs w:val="20"/>
          <w:color w:val="00162F"/>
        </w:rPr>
        <w:t>received approximately $978 million in proceeds from EETCs;</w:t>
      </w:r>
    </w:p>
    <w:p>
      <w:pPr>
        <w:spacing w:after="0" w:line="185" w:lineRule="exact"/>
        <w:rPr>
          <w:rFonts w:ascii="Arial" w:cs="Arial" w:eastAsia="Arial" w:hAnsi="Arial"/>
          <w:sz w:val="20"/>
          <w:szCs w:val="20"/>
          <w:color w:val="00162F"/>
        </w:rPr>
      </w:pPr>
    </w:p>
    <w:p>
      <w:pPr>
        <w:ind w:left="700" w:hanging="438"/>
        <w:spacing w:after="0"/>
        <w:tabs>
          <w:tab w:leader="none" w:pos="700" w:val="left"/>
        </w:tabs>
        <w:numPr>
          <w:ilvl w:val="0"/>
          <w:numId w:val="32"/>
        </w:numPr>
        <w:rPr>
          <w:rFonts w:ascii="Arial" w:cs="Arial" w:eastAsia="Arial" w:hAnsi="Arial"/>
          <w:sz w:val="20"/>
          <w:szCs w:val="20"/>
          <w:color w:val="00162F"/>
        </w:rPr>
      </w:pPr>
      <w:r>
        <w:rPr>
          <w:rFonts w:ascii="Arial" w:cs="Arial" w:eastAsia="Arial" w:hAnsi="Arial"/>
          <w:sz w:val="20"/>
          <w:szCs w:val="20"/>
          <w:color w:val="00162F"/>
        </w:rPr>
        <w:t>received $840 million in net proceeds from fuel financing transactions; and</w:t>
      </w:r>
    </w:p>
    <w:p>
      <w:pPr>
        <w:spacing w:after="0" w:line="185" w:lineRule="exact"/>
        <w:rPr>
          <w:rFonts w:ascii="Arial" w:cs="Arial" w:eastAsia="Arial" w:hAnsi="Arial"/>
          <w:sz w:val="20"/>
          <w:szCs w:val="20"/>
          <w:color w:val="00162F"/>
        </w:rPr>
      </w:pPr>
    </w:p>
    <w:p>
      <w:pPr>
        <w:ind w:left="700" w:hanging="438"/>
        <w:spacing w:after="0"/>
        <w:tabs>
          <w:tab w:leader="none" w:pos="700" w:val="left"/>
        </w:tabs>
        <w:numPr>
          <w:ilvl w:val="0"/>
          <w:numId w:val="32"/>
        </w:numPr>
        <w:rPr>
          <w:rFonts w:ascii="Arial" w:cs="Arial" w:eastAsia="Arial" w:hAnsi="Arial"/>
          <w:sz w:val="20"/>
          <w:szCs w:val="20"/>
          <w:color w:val="00162F"/>
        </w:rPr>
      </w:pPr>
      <w:r>
        <w:rPr>
          <w:rFonts w:ascii="Arial" w:cs="Arial" w:eastAsia="Arial" w:hAnsi="Arial"/>
          <w:sz w:val="20"/>
          <w:szCs w:val="20"/>
          <w:color w:val="00162F"/>
        </w:rPr>
        <w:t>issued $1.2 billion of equipment loans and other notes payable in connection with the financing of certain aircraft.</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American Eagle Flight 5342</w:t>
      </w:r>
    </w:p>
    <w:p>
      <w:pPr>
        <w:spacing w:after="0" w:line="95"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On January 29, 2025, American Eagle flight 5342 was involved in a fatal accident in Washington, D.C. The Bombardier CRJ700 aircraft operated by PSA was en route to Washington, D.C. from Wichita, Kansas when it was involved in a midair collision near Ronald Reagan Washington National Airport. We estimate that the accident reduced first quarter 2025 total operating revenues by approximately $200 million, of which the impacted revenue is not covered by insurance. Beginning on September 24, 2025, multiple wrongful death and survival actions have been filed against the U.S. Government, PSA and American seeking unspecified damages, and we expect that additional lawsuits will be filed. While we cannot predict the outcome of these lawsuits, American has industry standard insurance coverage for this incident and we believe these lawsuits are without merit and are defending against them vigorously.</w:t>
      </w:r>
    </w:p>
    <w:p>
      <w:pPr>
        <w:sectPr>
          <w:pgSz w:w="11880" w:h="15480" w:orient="portrait"/>
          <w:cols w:equalWidth="0" w:num="1">
            <w:col w:w="10700"/>
          </w:cols>
          <w:pgMar w:left="600" w:top="99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64</w:t>
      </w:r>
    </w:p>
    <w:p>
      <w:pPr>
        <w:sectPr>
          <w:pgSz w:w="11880" w:h="15480" w:orient="portrait"/>
          <w:cols w:equalWidth="0" w:num="1">
            <w:col w:w="10700"/>
          </w:cols>
          <w:pgMar w:left="600" w:top="992" w:right="580" w:bottom="0" w:gutter="0" w:footer="0" w:header="0"/>
          <w:type w:val="continuous"/>
        </w:sectPr>
      </w:pPr>
    </w:p>
    <w:bookmarkStart w:id="65" w:name="page66"/>
    <w:bookmarkEnd w:id="65"/>
    <w:p>
      <w:pPr>
        <w:ind w:left="5"/>
        <w:spacing w:after="0"/>
        <w:rPr>
          <w:sz w:val="20"/>
          <w:szCs w:val="20"/>
          <w:color w:val="auto"/>
        </w:rPr>
      </w:pPr>
      <w:r>
        <w:rPr>
          <w:rFonts w:ascii="Arial" w:cs="Arial" w:eastAsia="Arial" w:hAnsi="Arial"/>
          <w:sz w:val="20"/>
          <w:szCs w:val="20"/>
          <w:b w:val="1"/>
          <w:bCs w:val="1"/>
          <w:color w:val="00162F"/>
        </w:rPr>
        <w:t>AAG’s Results of Operations</w:t>
      </w:r>
    </w:p>
    <w:p>
      <w:pPr>
        <w:spacing w:after="0" w:line="97" w:lineRule="exact"/>
        <w:rPr>
          <w:sz w:val="20"/>
          <w:szCs w:val="20"/>
          <w:color w:val="auto"/>
        </w:rPr>
      </w:pPr>
    </w:p>
    <w:p>
      <w:pPr>
        <w:ind w:left="5" w:firstLine="267"/>
        <w:spacing w:after="0" w:line="282" w:lineRule="auto"/>
        <w:rPr>
          <w:sz w:val="20"/>
          <w:szCs w:val="20"/>
          <w:color w:val="auto"/>
        </w:rPr>
      </w:pPr>
      <w:r>
        <w:rPr>
          <w:rFonts w:ascii="Arial" w:cs="Arial" w:eastAsia="Arial" w:hAnsi="Arial"/>
          <w:sz w:val="20"/>
          <w:szCs w:val="20"/>
          <w:color w:val="00162F"/>
        </w:rPr>
        <w:t>For a comparison of the 2024 to 2023 reporting periods, see Part II, Item 7. Management’s Discussion and Analysis of Financial Condition and Results of Operations – “</w:t>
      </w:r>
      <w:r>
        <w:rPr>
          <w:rFonts w:ascii="Arial" w:cs="Arial" w:eastAsia="Arial" w:hAnsi="Arial"/>
          <w:sz w:val="20"/>
          <w:szCs w:val="20"/>
          <w:i w:val="1"/>
          <w:iCs w:val="1"/>
          <w:color w:val="00162F"/>
        </w:rPr>
        <w:t>AAG’s Results of Operations”</w:t>
      </w:r>
      <w:r>
        <w:rPr>
          <w:rFonts w:ascii="Arial" w:cs="Arial" w:eastAsia="Arial" w:hAnsi="Arial"/>
          <w:sz w:val="20"/>
          <w:szCs w:val="20"/>
          <w:color w:val="00162F"/>
        </w:rPr>
        <w:t xml:space="preserve"> of our 2024 Form 10-K.</w:t>
      </w:r>
    </w:p>
    <w:p>
      <w:pPr>
        <w:spacing w:after="0" w:line="203"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Operating Statistics</w:t>
      </w:r>
    </w:p>
    <w:p>
      <w:pPr>
        <w:spacing w:after="0" w:line="95"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The table below sets forth selected operating data for the years ended December 31, 2025 and 2024.</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2700" w:type="dxa"/>
            <w:vAlign w:val="bottom"/>
            <w:tcBorders>
              <w:bottom w:val="single" w:sz="8" w:color="00162F"/>
            </w:tcBorders>
            <w:gridSpan w:val="3"/>
          </w:tcPr>
          <w:p>
            <w:pPr>
              <w:jc w:val="right"/>
              <w:ind w:right="301"/>
              <w:spacing w:after="0"/>
              <w:rPr>
                <w:sz w:val="20"/>
                <w:szCs w:val="20"/>
                <w:color w:val="auto"/>
              </w:rPr>
            </w:pPr>
            <w:r>
              <w:rPr>
                <w:rFonts w:ascii="Arial" w:cs="Arial" w:eastAsia="Arial" w:hAnsi="Arial"/>
                <w:sz w:val="16"/>
                <w:szCs w:val="16"/>
                <w:b w:val="1"/>
                <w:bCs w:val="1"/>
                <w:color w:val="00162F"/>
              </w:rPr>
              <w:t>Year Ended December 31,</w:t>
            </w:r>
          </w:p>
        </w:tc>
        <w:tc>
          <w:tcPr>
            <w:tcW w:w="8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00162F"/>
                <w:w w:val="98"/>
              </w:rPr>
              <w:t>Increase</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1320" w:type="dxa"/>
            <w:vAlign w:val="bottom"/>
            <w:vMerge w:val="restart"/>
          </w:tcPr>
          <w:p>
            <w:pPr>
              <w:jc w:val="right"/>
              <w:ind w:right="404"/>
              <w:spacing w:after="0"/>
              <w:rPr>
                <w:sz w:val="20"/>
                <w:szCs w:val="20"/>
                <w:color w:val="auto"/>
              </w:rPr>
            </w:pPr>
            <w:r>
              <w:rPr>
                <w:rFonts w:ascii="Arial" w:cs="Arial" w:eastAsia="Arial" w:hAnsi="Arial"/>
                <w:sz w:val="16"/>
                <w:szCs w:val="16"/>
                <w:b w:val="1"/>
                <w:bCs w:val="1"/>
                <w:color w:val="00162F"/>
              </w:rPr>
              <w:t>2025</w:t>
            </w:r>
          </w:p>
        </w:tc>
        <w:tc>
          <w:tcPr>
            <w:tcW w:w="60" w:type="dxa"/>
            <w:vAlign w:val="bottom"/>
            <w:vMerge w:val="restart"/>
          </w:tcPr>
          <w:p>
            <w:pPr>
              <w:spacing w:after="0" w:line="20" w:lineRule="exact"/>
              <w:rPr>
                <w:sz w:val="1"/>
                <w:szCs w:val="1"/>
                <w:color w:val="auto"/>
              </w:rPr>
            </w:pPr>
          </w:p>
        </w:tc>
        <w:tc>
          <w:tcPr>
            <w:tcW w:w="132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00162F"/>
              </w:rPr>
              <w:t>2024</w:t>
            </w:r>
          </w:p>
        </w:tc>
        <w:tc>
          <w:tcPr>
            <w:tcW w:w="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80" w:type="dxa"/>
            <w:vAlign w:val="bottom"/>
            <w:tcBorders>
              <w:bottom w:val="single" w:sz="8" w:color="EDEDED"/>
            </w:tcBorders>
          </w:tcPr>
          <w:p>
            <w:pPr>
              <w:spacing w:after="0"/>
              <w:rPr>
                <w:sz w:val="18"/>
                <w:szCs w:val="18"/>
                <w:color w:val="auto"/>
              </w:rPr>
            </w:pPr>
          </w:p>
        </w:tc>
        <w:tc>
          <w:tcPr>
            <w:tcW w:w="132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vMerge w:val="continue"/>
          </w:tcPr>
          <w:p>
            <w:pPr>
              <w:spacing w:after="0"/>
              <w:rPr>
                <w:sz w:val="18"/>
                <w:szCs w:val="18"/>
                <w:color w:val="auto"/>
              </w:rPr>
            </w:pPr>
          </w:p>
        </w:tc>
        <w:tc>
          <w:tcPr>
            <w:tcW w:w="132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tcPr>
          <w:p>
            <w:pPr>
              <w:spacing w:after="0"/>
              <w:rPr>
                <w:sz w:val="18"/>
                <w:szCs w:val="18"/>
                <w:color w:val="auto"/>
              </w:rPr>
            </w:pPr>
          </w:p>
        </w:tc>
        <w:tc>
          <w:tcPr>
            <w:tcW w:w="132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7"/>
              </w:rPr>
              <w:t>(Decrease)</w:t>
            </w:r>
          </w:p>
        </w:tc>
        <w:tc>
          <w:tcPr>
            <w:tcW w:w="0" w:type="dxa"/>
            <w:vAlign w:val="bottom"/>
          </w:tcPr>
          <w:p>
            <w:pPr>
              <w:spacing w:after="0"/>
              <w:rPr>
                <w:sz w:val="1"/>
                <w:szCs w:val="1"/>
                <w:color w:val="auto"/>
              </w:rPr>
            </w:pPr>
          </w:p>
        </w:tc>
      </w:tr>
      <w:tr>
        <w:trPr>
          <w:trHeight w:val="287"/>
        </w:trPr>
        <w:tc>
          <w:tcPr>
            <w:tcW w:w="658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 xml:space="preserve">Revenue passenger miles (millions) </w:t>
            </w:r>
            <w:r>
              <w:rPr>
                <w:rFonts w:ascii="Arial" w:cs="Arial" w:eastAsia="Arial" w:hAnsi="Arial"/>
                <w:sz w:val="12"/>
                <w:szCs w:val="12"/>
                <w:color w:val="00162F"/>
              </w:rPr>
              <w:t>(a)</w:t>
            </w:r>
          </w:p>
        </w:tc>
        <w:tc>
          <w:tcPr>
            <w:tcW w:w="13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250,294</w:t>
            </w:r>
          </w:p>
        </w:tc>
        <w:tc>
          <w:tcPr>
            <w:tcW w:w="13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248,795</w:t>
            </w:r>
          </w:p>
        </w:tc>
        <w:tc>
          <w:tcPr>
            <w:tcW w:w="140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6"/>
              </w:rPr>
              <w:t>0.6%</w:t>
            </w:r>
          </w:p>
        </w:tc>
        <w:tc>
          <w:tcPr>
            <w:tcW w:w="0" w:type="dxa"/>
            <w:vAlign w:val="bottom"/>
          </w:tcPr>
          <w:p>
            <w:pPr>
              <w:spacing w:after="0"/>
              <w:rPr>
                <w:sz w:val="1"/>
                <w:szCs w:val="1"/>
                <w:color w:val="auto"/>
              </w:rPr>
            </w:pPr>
          </w:p>
        </w:tc>
      </w:tr>
      <w:tr>
        <w:trPr>
          <w:trHeight w:val="293"/>
        </w:trPr>
        <w:tc>
          <w:tcPr>
            <w:tcW w:w="6580" w:type="dxa"/>
            <w:vAlign w:val="bottom"/>
          </w:tcPr>
          <w:p>
            <w:pPr>
              <w:ind w:left="180"/>
              <w:spacing w:after="0"/>
              <w:rPr>
                <w:sz w:val="20"/>
                <w:szCs w:val="20"/>
                <w:color w:val="auto"/>
              </w:rPr>
            </w:pPr>
            <w:r>
              <w:rPr>
                <w:rFonts w:ascii="Arial" w:cs="Arial" w:eastAsia="Arial" w:hAnsi="Arial"/>
                <w:sz w:val="20"/>
                <w:szCs w:val="20"/>
                <w:color w:val="00162F"/>
              </w:rPr>
              <w:t xml:space="preserve">Available seat miles (millions) </w:t>
            </w:r>
            <w:r>
              <w:rPr>
                <w:rFonts w:ascii="Arial" w:cs="Arial" w:eastAsia="Arial" w:hAnsi="Arial"/>
                <w:sz w:val="12"/>
                <w:szCs w:val="12"/>
                <w:color w:val="00162F"/>
              </w:rPr>
              <w:t>(b)</w:t>
            </w:r>
          </w:p>
        </w:tc>
        <w:tc>
          <w:tcPr>
            <w:tcW w:w="1320" w:type="dxa"/>
            <w:vAlign w:val="bottom"/>
          </w:tcPr>
          <w:p>
            <w:pPr>
              <w:jc w:val="right"/>
              <w:spacing w:after="0"/>
              <w:rPr>
                <w:sz w:val="20"/>
                <w:szCs w:val="20"/>
                <w:color w:val="auto"/>
              </w:rPr>
            </w:pPr>
            <w:r>
              <w:rPr>
                <w:rFonts w:ascii="Arial" w:cs="Arial" w:eastAsia="Arial" w:hAnsi="Arial"/>
                <w:sz w:val="20"/>
                <w:szCs w:val="20"/>
                <w:color w:val="00162F"/>
              </w:rPr>
              <w:t>299,411</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00162F"/>
              </w:rPr>
              <w:t>292,948</w:t>
            </w:r>
          </w:p>
        </w:tc>
        <w:tc>
          <w:tcPr>
            <w:tcW w:w="1400" w:type="dxa"/>
            <w:vAlign w:val="bottom"/>
            <w:gridSpan w:val="2"/>
          </w:tcPr>
          <w:p>
            <w:pPr>
              <w:jc w:val="center"/>
              <w:spacing w:after="0"/>
              <w:rPr>
                <w:sz w:val="20"/>
                <w:szCs w:val="20"/>
                <w:color w:val="auto"/>
              </w:rPr>
            </w:pPr>
            <w:r>
              <w:rPr>
                <w:rFonts w:ascii="Arial" w:cs="Arial" w:eastAsia="Arial" w:hAnsi="Arial"/>
                <w:sz w:val="20"/>
                <w:szCs w:val="20"/>
                <w:color w:val="00162F"/>
                <w:w w:val="96"/>
              </w:rPr>
              <w:t>2.2%</w:t>
            </w:r>
          </w:p>
        </w:tc>
        <w:tc>
          <w:tcPr>
            <w:tcW w:w="0" w:type="dxa"/>
            <w:vAlign w:val="bottom"/>
          </w:tcPr>
          <w:p>
            <w:pPr>
              <w:spacing w:after="0"/>
              <w:rPr>
                <w:sz w:val="1"/>
                <w:szCs w:val="1"/>
                <w:color w:val="auto"/>
              </w:rPr>
            </w:pPr>
          </w:p>
        </w:tc>
      </w:tr>
      <w:tr>
        <w:trPr>
          <w:trHeight w:val="301"/>
        </w:trPr>
        <w:tc>
          <w:tcPr>
            <w:tcW w:w="658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 xml:space="preserve">Passenger load factor (percent) </w:t>
            </w:r>
            <w:r>
              <w:rPr>
                <w:rFonts w:ascii="Arial" w:cs="Arial" w:eastAsia="Arial" w:hAnsi="Arial"/>
                <w:sz w:val="12"/>
                <w:szCs w:val="12"/>
                <w:color w:val="00162F"/>
              </w:rPr>
              <w:t>(c)</w:t>
            </w:r>
          </w:p>
        </w:tc>
        <w:tc>
          <w:tcPr>
            <w:tcW w:w="13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83.6</w:t>
            </w:r>
          </w:p>
        </w:tc>
        <w:tc>
          <w:tcPr>
            <w:tcW w:w="13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84.9</w:t>
            </w:r>
          </w:p>
        </w:tc>
        <w:tc>
          <w:tcPr>
            <w:tcW w:w="80" w:type="dxa"/>
            <w:vAlign w:val="bottom"/>
            <w:shd w:val="clear" w:color="auto" w:fill="EDEDED"/>
          </w:tcPr>
          <w:p>
            <w:pPr>
              <w:spacing w:after="0"/>
              <w:rPr>
                <w:sz w:val="24"/>
                <w:szCs w:val="24"/>
                <w:color w:val="auto"/>
              </w:rPr>
            </w:pPr>
          </w:p>
        </w:tc>
        <w:tc>
          <w:tcPr>
            <w:tcW w:w="1320" w:type="dxa"/>
            <w:vAlign w:val="bottom"/>
            <w:shd w:val="clear" w:color="auto" w:fill="EDEDED"/>
          </w:tcPr>
          <w:p>
            <w:pPr>
              <w:jc w:val="center"/>
              <w:spacing w:after="0"/>
              <w:rPr>
                <w:sz w:val="20"/>
                <w:szCs w:val="20"/>
                <w:color w:val="auto"/>
              </w:rPr>
            </w:pPr>
            <w:r>
              <w:rPr>
                <w:rFonts w:ascii="Arial" w:cs="Arial" w:eastAsia="Arial" w:hAnsi="Arial"/>
                <w:sz w:val="20"/>
                <w:szCs w:val="20"/>
                <w:color w:val="00162F"/>
              </w:rPr>
              <w:t>(1.3)pts</w:t>
            </w:r>
          </w:p>
        </w:tc>
        <w:tc>
          <w:tcPr>
            <w:tcW w:w="0" w:type="dxa"/>
            <w:vAlign w:val="bottom"/>
          </w:tcPr>
          <w:p>
            <w:pPr>
              <w:spacing w:after="0"/>
              <w:rPr>
                <w:sz w:val="1"/>
                <w:szCs w:val="1"/>
                <w:color w:val="auto"/>
              </w:rPr>
            </w:pPr>
          </w:p>
        </w:tc>
      </w:tr>
      <w:tr>
        <w:trPr>
          <w:trHeight w:val="293"/>
        </w:trPr>
        <w:tc>
          <w:tcPr>
            <w:tcW w:w="6580" w:type="dxa"/>
            <w:vAlign w:val="bottom"/>
          </w:tcPr>
          <w:p>
            <w:pPr>
              <w:ind w:left="180"/>
              <w:spacing w:after="0"/>
              <w:rPr>
                <w:sz w:val="20"/>
                <w:szCs w:val="20"/>
                <w:color w:val="auto"/>
              </w:rPr>
            </w:pPr>
            <w:r>
              <w:rPr>
                <w:rFonts w:ascii="Arial" w:cs="Arial" w:eastAsia="Arial" w:hAnsi="Arial"/>
                <w:sz w:val="20"/>
                <w:szCs w:val="20"/>
                <w:color w:val="00162F"/>
              </w:rPr>
              <w:t xml:space="preserve">Yield (cents) </w:t>
            </w:r>
            <w:r>
              <w:rPr>
                <w:rFonts w:ascii="Arial" w:cs="Arial" w:eastAsia="Arial" w:hAnsi="Arial"/>
                <w:sz w:val="12"/>
                <w:szCs w:val="12"/>
                <w:color w:val="00162F"/>
              </w:rPr>
              <w:t>(d)</w:t>
            </w:r>
          </w:p>
        </w:tc>
        <w:tc>
          <w:tcPr>
            <w:tcW w:w="1320" w:type="dxa"/>
            <w:vAlign w:val="bottom"/>
          </w:tcPr>
          <w:p>
            <w:pPr>
              <w:jc w:val="right"/>
              <w:spacing w:after="0"/>
              <w:rPr>
                <w:sz w:val="20"/>
                <w:szCs w:val="20"/>
                <w:color w:val="auto"/>
              </w:rPr>
            </w:pPr>
            <w:r>
              <w:rPr>
                <w:rFonts w:ascii="Arial" w:cs="Arial" w:eastAsia="Arial" w:hAnsi="Arial"/>
                <w:sz w:val="20"/>
                <w:szCs w:val="20"/>
                <w:color w:val="00162F"/>
              </w:rPr>
              <w:t>19.83</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00162F"/>
              </w:rPr>
              <w:t>19.93</w:t>
            </w:r>
          </w:p>
        </w:tc>
        <w:tc>
          <w:tcPr>
            <w:tcW w:w="1400" w:type="dxa"/>
            <w:vAlign w:val="bottom"/>
            <w:gridSpan w:val="2"/>
          </w:tcPr>
          <w:p>
            <w:pPr>
              <w:jc w:val="center"/>
              <w:ind w:left="1"/>
              <w:spacing w:after="0"/>
              <w:rPr>
                <w:sz w:val="20"/>
                <w:szCs w:val="20"/>
                <w:color w:val="auto"/>
              </w:rPr>
            </w:pPr>
            <w:r>
              <w:rPr>
                <w:rFonts w:ascii="Arial" w:cs="Arial" w:eastAsia="Arial" w:hAnsi="Arial"/>
                <w:sz w:val="20"/>
                <w:szCs w:val="20"/>
                <w:color w:val="00162F"/>
                <w:w w:val="98"/>
              </w:rPr>
              <w:t>(0.5)%</w:t>
            </w:r>
          </w:p>
        </w:tc>
        <w:tc>
          <w:tcPr>
            <w:tcW w:w="0" w:type="dxa"/>
            <w:vAlign w:val="bottom"/>
          </w:tcPr>
          <w:p>
            <w:pPr>
              <w:spacing w:after="0"/>
              <w:rPr>
                <w:sz w:val="1"/>
                <w:szCs w:val="1"/>
                <w:color w:val="auto"/>
              </w:rPr>
            </w:pPr>
          </w:p>
        </w:tc>
      </w:tr>
      <w:tr>
        <w:trPr>
          <w:trHeight w:val="301"/>
        </w:trPr>
        <w:tc>
          <w:tcPr>
            <w:tcW w:w="658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 xml:space="preserve">Passenger revenue per available seat mile (cents) </w:t>
            </w:r>
            <w:r>
              <w:rPr>
                <w:rFonts w:ascii="Arial" w:cs="Arial" w:eastAsia="Arial" w:hAnsi="Arial"/>
                <w:sz w:val="12"/>
                <w:szCs w:val="12"/>
                <w:color w:val="00162F"/>
              </w:rPr>
              <w:t>(e)</w:t>
            </w:r>
          </w:p>
        </w:tc>
        <w:tc>
          <w:tcPr>
            <w:tcW w:w="13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16.58</w:t>
            </w:r>
          </w:p>
        </w:tc>
        <w:tc>
          <w:tcPr>
            <w:tcW w:w="13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16.93</w:t>
            </w:r>
          </w:p>
        </w:tc>
        <w:tc>
          <w:tcPr>
            <w:tcW w:w="1400" w:type="dxa"/>
            <w:vAlign w:val="bottom"/>
            <w:gridSpan w:val="2"/>
            <w:shd w:val="clear" w:color="auto" w:fill="EDEDED"/>
          </w:tcPr>
          <w:p>
            <w:pPr>
              <w:jc w:val="center"/>
              <w:ind w:left="1"/>
              <w:spacing w:after="0"/>
              <w:rPr>
                <w:sz w:val="20"/>
                <w:szCs w:val="20"/>
                <w:color w:val="auto"/>
              </w:rPr>
            </w:pPr>
            <w:r>
              <w:rPr>
                <w:rFonts w:ascii="Arial" w:cs="Arial" w:eastAsia="Arial" w:hAnsi="Arial"/>
                <w:sz w:val="20"/>
                <w:szCs w:val="20"/>
                <w:color w:val="00162F"/>
                <w:w w:val="98"/>
              </w:rPr>
              <w:t>(2.0)%</w:t>
            </w:r>
          </w:p>
        </w:tc>
        <w:tc>
          <w:tcPr>
            <w:tcW w:w="0" w:type="dxa"/>
            <w:vAlign w:val="bottom"/>
          </w:tcPr>
          <w:p>
            <w:pPr>
              <w:spacing w:after="0"/>
              <w:rPr>
                <w:sz w:val="1"/>
                <w:szCs w:val="1"/>
                <w:color w:val="auto"/>
              </w:rPr>
            </w:pPr>
          </w:p>
        </w:tc>
      </w:tr>
      <w:tr>
        <w:trPr>
          <w:trHeight w:val="293"/>
        </w:trPr>
        <w:tc>
          <w:tcPr>
            <w:tcW w:w="6580" w:type="dxa"/>
            <w:vAlign w:val="bottom"/>
          </w:tcPr>
          <w:p>
            <w:pPr>
              <w:ind w:left="180"/>
              <w:spacing w:after="0"/>
              <w:rPr>
                <w:sz w:val="20"/>
                <w:szCs w:val="20"/>
                <w:color w:val="auto"/>
              </w:rPr>
            </w:pPr>
            <w:r>
              <w:rPr>
                <w:rFonts w:ascii="Arial" w:cs="Arial" w:eastAsia="Arial" w:hAnsi="Arial"/>
                <w:sz w:val="20"/>
                <w:szCs w:val="20"/>
                <w:color w:val="00162F"/>
              </w:rPr>
              <w:t xml:space="preserve">Total revenue per available seat mile (cents) </w:t>
            </w:r>
            <w:r>
              <w:rPr>
                <w:rFonts w:ascii="Arial" w:cs="Arial" w:eastAsia="Arial" w:hAnsi="Arial"/>
                <w:sz w:val="12"/>
                <w:szCs w:val="12"/>
                <w:color w:val="00162F"/>
              </w:rPr>
              <w:t>(f)</w:t>
            </w:r>
          </w:p>
        </w:tc>
        <w:tc>
          <w:tcPr>
            <w:tcW w:w="1320" w:type="dxa"/>
            <w:vAlign w:val="bottom"/>
          </w:tcPr>
          <w:p>
            <w:pPr>
              <w:jc w:val="right"/>
              <w:spacing w:after="0"/>
              <w:rPr>
                <w:sz w:val="20"/>
                <w:szCs w:val="20"/>
                <w:color w:val="auto"/>
              </w:rPr>
            </w:pPr>
            <w:r>
              <w:rPr>
                <w:rFonts w:ascii="Arial" w:cs="Arial" w:eastAsia="Arial" w:hAnsi="Arial"/>
                <w:sz w:val="20"/>
                <w:szCs w:val="20"/>
                <w:color w:val="00162F"/>
              </w:rPr>
              <w:t>18.25</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00162F"/>
              </w:rPr>
              <w:t>18.51</w:t>
            </w:r>
          </w:p>
        </w:tc>
        <w:tc>
          <w:tcPr>
            <w:tcW w:w="1400" w:type="dxa"/>
            <w:vAlign w:val="bottom"/>
            <w:gridSpan w:val="2"/>
          </w:tcPr>
          <w:p>
            <w:pPr>
              <w:jc w:val="center"/>
              <w:ind w:left="1"/>
              <w:spacing w:after="0"/>
              <w:rPr>
                <w:sz w:val="20"/>
                <w:szCs w:val="20"/>
                <w:color w:val="auto"/>
              </w:rPr>
            </w:pPr>
            <w:r>
              <w:rPr>
                <w:rFonts w:ascii="Arial" w:cs="Arial" w:eastAsia="Arial" w:hAnsi="Arial"/>
                <w:sz w:val="20"/>
                <w:szCs w:val="20"/>
                <w:color w:val="00162F"/>
                <w:w w:val="98"/>
              </w:rPr>
              <w:t>(1.4)%</w:t>
            </w:r>
          </w:p>
        </w:tc>
        <w:tc>
          <w:tcPr>
            <w:tcW w:w="0" w:type="dxa"/>
            <w:vAlign w:val="bottom"/>
          </w:tcPr>
          <w:p>
            <w:pPr>
              <w:spacing w:after="0"/>
              <w:rPr>
                <w:sz w:val="1"/>
                <w:szCs w:val="1"/>
                <w:color w:val="auto"/>
              </w:rPr>
            </w:pPr>
          </w:p>
        </w:tc>
      </w:tr>
      <w:tr>
        <w:trPr>
          <w:trHeight w:val="301"/>
        </w:trPr>
        <w:tc>
          <w:tcPr>
            <w:tcW w:w="658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Fuel consumption (gallons in millions)</w:t>
            </w:r>
          </w:p>
        </w:tc>
        <w:tc>
          <w:tcPr>
            <w:tcW w:w="13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4,488</w:t>
            </w:r>
          </w:p>
        </w:tc>
        <w:tc>
          <w:tcPr>
            <w:tcW w:w="13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4,391</w:t>
            </w:r>
          </w:p>
        </w:tc>
        <w:tc>
          <w:tcPr>
            <w:tcW w:w="140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6"/>
              </w:rPr>
              <w:t>2.2%</w:t>
            </w:r>
          </w:p>
        </w:tc>
        <w:tc>
          <w:tcPr>
            <w:tcW w:w="0" w:type="dxa"/>
            <w:vAlign w:val="bottom"/>
          </w:tcPr>
          <w:p>
            <w:pPr>
              <w:spacing w:after="0"/>
              <w:rPr>
                <w:sz w:val="1"/>
                <w:szCs w:val="1"/>
                <w:color w:val="auto"/>
              </w:rPr>
            </w:pPr>
          </w:p>
        </w:tc>
      </w:tr>
      <w:tr>
        <w:trPr>
          <w:trHeight w:val="293"/>
        </w:trPr>
        <w:tc>
          <w:tcPr>
            <w:tcW w:w="6580" w:type="dxa"/>
            <w:vAlign w:val="bottom"/>
          </w:tcPr>
          <w:p>
            <w:pPr>
              <w:ind w:left="180"/>
              <w:spacing w:after="0"/>
              <w:rPr>
                <w:sz w:val="20"/>
                <w:szCs w:val="20"/>
                <w:color w:val="auto"/>
              </w:rPr>
            </w:pPr>
            <w:r>
              <w:rPr>
                <w:rFonts w:ascii="Arial" w:cs="Arial" w:eastAsia="Arial" w:hAnsi="Arial"/>
                <w:sz w:val="20"/>
                <w:szCs w:val="20"/>
                <w:color w:val="00162F"/>
              </w:rPr>
              <w:t>Average aircraft fuel price including related taxes (dollars per gallon)</w:t>
            </w:r>
          </w:p>
        </w:tc>
        <w:tc>
          <w:tcPr>
            <w:tcW w:w="1320" w:type="dxa"/>
            <w:vAlign w:val="bottom"/>
          </w:tcPr>
          <w:p>
            <w:pPr>
              <w:jc w:val="right"/>
              <w:spacing w:after="0"/>
              <w:rPr>
                <w:sz w:val="20"/>
                <w:szCs w:val="20"/>
                <w:color w:val="auto"/>
              </w:rPr>
            </w:pPr>
            <w:r>
              <w:rPr>
                <w:rFonts w:ascii="Arial" w:cs="Arial" w:eastAsia="Arial" w:hAnsi="Arial"/>
                <w:sz w:val="20"/>
                <w:szCs w:val="20"/>
                <w:color w:val="00162F"/>
              </w:rPr>
              <w:t>2.39</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00162F"/>
              </w:rPr>
              <w:t>2.60</w:t>
            </w:r>
          </w:p>
        </w:tc>
        <w:tc>
          <w:tcPr>
            <w:tcW w:w="1400" w:type="dxa"/>
            <w:vAlign w:val="bottom"/>
            <w:gridSpan w:val="2"/>
          </w:tcPr>
          <w:p>
            <w:pPr>
              <w:jc w:val="center"/>
              <w:ind w:left="1"/>
              <w:spacing w:after="0"/>
              <w:rPr>
                <w:sz w:val="20"/>
                <w:szCs w:val="20"/>
                <w:color w:val="auto"/>
              </w:rPr>
            </w:pPr>
            <w:r>
              <w:rPr>
                <w:rFonts w:ascii="Arial" w:cs="Arial" w:eastAsia="Arial" w:hAnsi="Arial"/>
                <w:sz w:val="20"/>
                <w:szCs w:val="20"/>
                <w:color w:val="00162F"/>
                <w:w w:val="98"/>
              </w:rPr>
              <w:t>(8.2)%</w:t>
            </w:r>
          </w:p>
        </w:tc>
        <w:tc>
          <w:tcPr>
            <w:tcW w:w="0" w:type="dxa"/>
            <w:vAlign w:val="bottom"/>
          </w:tcPr>
          <w:p>
            <w:pPr>
              <w:spacing w:after="0"/>
              <w:rPr>
                <w:sz w:val="1"/>
                <w:szCs w:val="1"/>
                <w:color w:val="auto"/>
              </w:rPr>
            </w:pPr>
          </w:p>
        </w:tc>
      </w:tr>
      <w:tr>
        <w:trPr>
          <w:trHeight w:val="301"/>
        </w:trPr>
        <w:tc>
          <w:tcPr>
            <w:tcW w:w="658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 xml:space="preserve">Total operating cost per available seat mile (cents) </w:t>
            </w:r>
            <w:r>
              <w:rPr>
                <w:rFonts w:ascii="Arial" w:cs="Arial" w:eastAsia="Arial" w:hAnsi="Arial"/>
                <w:sz w:val="12"/>
                <w:szCs w:val="12"/>
                <w:color w:val="00162F"/>
              </w:rPr>
              <w:t>(g)</w:t>
            </w:r>
          </w:p>
        </w:tc>
        <w:tc>
          <w:tcPr>
            <w:tcW w:w="13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17.76</w:t>
            </w:r>
          </w:p>
        </w:tc>
        <w:tc>
          <w:tcPr>
            <w:tcW w:w="13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17.61</w:t>
            </w:r>
          </w:p>
        </w:tc>
        <w:tc>
          <w:tcPr>
            <w:tcW w:w="140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6"/>
              </w:rPr>
              <w:t>0.8%</w:t>
            </w:r>
          </w:p>
        </w:tc>
        <w:tc>
          <w:tcPr>
            <w:tcW w:w="0" w:type="dxa"/>
            <w:vAlign w:val="bottom"/>
          </w:tcPr>
          <w:p>
            <w:pPr>
              <w:spacing w:after="0"/>
              <w:rPr>
                <w:sz w:val="1"/>
                <w:szCs w:val="1"/>
                <w:color w:val="auto"/>
              </w:rPr>
            </w:pPr>
          </w:p>
        </w:tc>
      </w:tr>
      <w:tr>
        <w:trPr>
          <w:trHeight w:val="293"/>
        </w:trPr>
        <w:tc>
          <w:tcPr>
            <w:tcW w:w="6580" w:type="dxa"/>
            <w:vAlign w:val="bottom"/>
          </w:tcPr>
          <w:p>
            <w:pPr>
              <w:ind w:left="180"/>
              <w:spacing w:after="0"/>
              <w:rPr>
                <w:sz w:val="20"/>
                <w:szCs w:val="20"/>
                <w:color w:val="auto"/>
              </w:rPr>
            </w:pPr>
            <w:r>
              <w:rPr>
                <w:rFonts w:ascii="Arial" w:cs="Arial" w:eastAsia="Arial" w:hAnsi="Arial"/>
                <w:sz w:val="20"/>
                <w:szCs w:val="20"/>
                <w:color w:val="00162F"/>
              </w:rPr>
              <w:t xml:space="preserve">Aircraft at end of period </w:t>
            </w:r>
            <w:r>
              <w:rPr>
                <w:rFonts w:ascii="Arial" w:cs="Arial" w:eastAsia="Arial" w:hAnsi="Arial"/>
                <w:sz w:val="12"/>
                <w:szCs w:val="12"/>
                <w:color w:val="00162F"/>
              </w:rPr>
              <w:t>(h)</w:t>
            </w:r>
          </w:p>
        </w:tc>
        <w:tc>
          <w:tcPr>
            <w:tcW w:w="1320" w:type="dxa"/>
            <w:vAlign w:val="bottom"/>
          </w:tcPr>
          <w:p>
            <w:pPr>
              <w:jc w:val="right"/>
              <w:spacing w:after="0"/>
              <w:rPr>
                <w:sz w:val="20"/>
                <w:szCs w:val="20"/>
                <w:color w:val="auto"/>
              </w:rPr>
            </w:pPr>
            <w:r>
              <w:rPr>
                <w:rFonts w:ascii="Arial" w:cs="Arial" w:eastAsia="Arial" w:hAnsi="Arial"/>
                <w:sz w:val="20"/>
                <w:szCs w:val="20"/>
                <w:color w:val="00162F"/>
              </w:rPr>
              <w:t>1,580</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00162F"/>
              </w:rPr>
              <w:t>1,562</w:t>
            </w:r>
          </w:p>
        </w:tc>
        <w:tc>
          <w:tcPr>
            <w:tcW w:w="1400" w:type="dxa"/>
            <w:vAlign w:val="bottom"/>
            <w:gridSpan w:val="2"/>
          </w:tcPr>
          <w:p>
            <w:pPr>
              <w:jc w:val="center"/>
              <w:spacing w:after="0"/>
              <w:rPr>
                <w:sz w:val="20"/>
                <w:szCs w:val="20"/>
                <w:color w:val="auto"/>
              </w:rPr>
            </w:pPr>
            <w:r>
              <w:rPr>
                <w:rFonts w:ascii="Arial" w:cs="Arial" w:eastAsia="Arial" w:hAnsi="Arial"/>
                <w:sz w:val="20"/>
                <w:szCs w:val="20"/>
                <w:color w:val="00162F"/>
                <w:w w:val="96"/>
              </w:rPr>
              <w:t>1.2%</w:t>
            </w:r>
          </w:p>
        </w:tc>
        <w:tc>
          <w:tcPr>
            <w:tcW w:w="0" w:type="dxa"/>
            <w:vAlign w:val="bottom"/>
          </w:tcPr>
          <w:p>
            <w:pPr>
              <w:spacing w:after="0"/>
              <w:rPr>
                <w:sz w:val="1"/>
                <w:szCs w:val="1"/>
                <w:color w:val="auto"/>
              </w:rPr>
            </w:pPr>
          </w:p>
        </w:tc>
      </w:tr>
      <w:tr>
        <w:trPr>
          <w:trHeight w:val="301"/>
        </w:trPr>
        <w:tc>
          <w:tcPr>
            <w:tcW w:w="658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Full-time equivalent employees at end of period</w:t>
            </w:r>
          </w:p>
        </w:tc>
        <w:tc>
          <w:tcPr>
            <w:tcW w:w="13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139,100</w:t>
            </w:r>
          </w:p>
        </w:tc>
        <w:tc>
          <w:tcPr>
            <w:tcW w:w="138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133,300</w:t>
            </w:r>
          </w:p>
        </w:tc>
        <w:tc>
          <w:tcPr>
            <w:tcW w:w="140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w w:val="96"/>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-2085975</wp:posOffset>
            </wp:positionV>
            <wp:extent cx="72390" cy="3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72390" cy="31750"/>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-2085975</wp:posOffset>
            </wp:positionV>
            <wp:extent cx="72390" cy="3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72390"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103505</wp:posOffset>
            </wp:positionV>
            <wp:extent cx="125412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197" w:lineRule="exact"/>
        <w:rPr>
          <w:sz w:val="20"/>
          <w:szCs w:val="20"/>
          <w:color w:val="auto"/>
        </w:rPr>
      </w:pPr>
    </w:p>
    <w:p>
      <w:pPr>
        <w:ind w:left="705" w:hanging="705"/>
        <w:spacing w:after="0" w:line="282" w:lineRule="auto"/>
        <w:tabs>
          <w:tab w:leader="none" w:pos="705" w:val="left"/>
        </w:tabs>
        <w:numPr>
          <w:ilvl w:val="0"/>
          <w:numId w:val="33"/>
        </w:numPr>
        <w:rPr>
          <w:rFonts w:ascii="Arial" w:cs="Arial" w:eastAsia="Arial" w:hAnsi="Arial"/>
          <w:sz w:val="13"/>
          <w:szCs w:val="13"/>
          <w:color w:val="00162F"/>
        </w:rPr>
      </w:pPr>
      <w:r>
        <w:rPr>
          <w:rFonts w:ascii="Arial" w:cs="Arial" w:eastAsia="Arial" w:hAnsi="Arial"/>
          <w:sz w:val="20"/>
          <w:szCs w:val="20"/>
          <w:color w:val="00162F"/>
        </w:rPr>
        <w:t>Revenue passenger mile (RPM) – A basic measure of sales volume. One RPM represents one passenger flown one mile.</w:t>
      </w:r>
    </w:p>
    <w:p>
      <w:pPr>
        <w:sectPr>
          <w:pgSz w:w="11880" w:h="15480" w:orient="portrait"/>
          <w:cols w:equalWidth="0" w:num="1">
            <w:col w:w="10685"/>
          </w:cols>
          <w:pgMar w:left="595" w:top="992" w:right="600" w:bottom="0" w:gutter="0" w:footer="0" w:header="0"/>
        </w:sectPr>
      </w:pPr>
    </w:p>
    <w:p>
      <w:pPr>
        <w:spacing w:after="0" w:line="120" w:lineRule="exact"/>
        <w:rPr>
          <w:sz w:val="20"/>
          <w:szCs w:val="20"/>
          <w:color w:val="auto"/>
        </w:rPr>
      </w:pPr>
    </w:p>
    <w:p>
      <w:pPr>
        <w:ind w:left="5"/>
        <w:spacing w:after="0"/>
        <w:rPr>
          <w:sz w:val="20"/>
          <w:szCs w:val="20"/>
          <w:color w:val="auto"/>
        </w:rPr>
      </w:pPr>
      <w:r>
        <w:rPr>
          <w:rFonts w:ascii="Arial" w:cs="Arial" w:eastAsia="Arial" w:hAnsi="Arial"/>
          <w:sz w:val="13"/>
          <w:szCs w:val="13"/>
          <w:color w:val="00162F"/>
        </w:rPr>
        <w:t>(b)</w:t>
      </w:r>
    </w:p>
    <w:p>
      <w:pPr>
        <w:spacing w:after="0" w:line="266" w:lineRule="exact"/>
        <w:rPr>
          <w:sz w:val="20"/>
          <w:szCs w:val="20"/>
          <w:color w:val="auto"/>
        </w:rPr>
      </w:pPr>
    </w:p>
    <w:p>
      <w:pPr>
        <w:ind w:left="5"/>
        <w:spacing w:after="0"/>
        <w:rPr>
          <w:sz w:val="20"/>
          <w:szCs w:val="20"/>
          <w:color w:val="auto"/>
        </w:rPr>
      </w:pPr>
      <w:r>
        <w:rPr>
          <w:rFonts w:ascii="Arial" w:cs="Arial" w:eastAsia="Arial" w:hAnsi="Arial"/>
          <w:sz w:val="13"/>
          <w:szCs w:val="13"/>
          <w:color w:val="00162F"/>
        </w:rPr>
        <w:t>(c)</w:t>
      </w:r>
    </w:p>
    <w:p>
      <w:pPr>
        <w:spacing w:after="0" w:line="266" w:lineRule="exact"/>
        <w:rPr>
          <w:sz w:val="20"/>
          <w:szCs w:val="20"/>
          <w:color w:val="auto"/>
        </w:rPr>
      </w:pPr>
    </w:p>
    <w:p>
      <w:pPr>
        <w:ind w:left="5"/>
        <w:spacing w:after="0"/>
        <w:rPr>
          <w:sz w:val="20"/>
          <w:szCs w:val="20"/>
          <w:color w:val="auto"/>
        </w:rPr>
      </w:pPr>
      <w:r>
        <w:rPr>
          <w:rFonts w:ascii="Arial" w:cs="Arial" w:eastAsia="Arial" w:hAnsi="Arial"/>
          <w:sz w:val="13"/>
          <w:szCs w:val="13"/>
          <w:color w:val="00162F"/>
        </w:rPr>
        <w:t>(d)</w:t>
      </w:r>
    </w:p>
    <w:p>
      <w:pPr>
        <w:spacing w:after="0" w:line="266" w:lineRule="exact"/>
        <w:rPr>
          <w:sz w:val="20"/>
          <w:szCs w:val="20"/>
          <w:color w:val="auto"/>
        </w:rPr>
      </w:pPr>
    </w:p>
    <w:p>
      <w:pPr>
        <w:ind w:left="5"/>
        <w:spacing w:after="0"/>
        <w:rPr>
          <w:sz w:val="20"/>
          <w:szCs w:val="20"/>
          <w:color w:val="auto"/>
        </w:rPr>
      </w:pPr>
      <w:r>
        <w:rPr>
          <w:rFonts w:ascii="Arial" w:cs="Arial" w:eastAsia="Arial" w:hAnsi="Arial"/>
          <w:sz w:val="13"/>
          <w:szCs w:val="13"/>
          <w:color w:val="00162F"/>
        </w:rPr>
        <w:t>(e)</w:t>
      </w:r>
    </w:p>
    <w:p>
      <w:pPr>
        <w:spacing w:after="0" w:line="266" w:lineRule="exact"/>
        <w:rPr>
          <w:sz w:val="20"/>
          <w:szCs w:val="20"/>
          <w:color w:val="auto"/>
        </w:rPr>
      </w:pPr>
    </w:p>
    <w:p>
      <w:pPr>
        <w:ind w:left="5"/>
        <w:spacing w:after="0"/>
        <w:rPr>
          <w:sz w:val="20"/>
          <w:szCs w:val="20"/>
          <w:color w:val="auto"/>
        </w:rPr>
      </w:pPr>
      <w:r>
        <w:rPr>
          <w:rFonts w:ascii="Arial" w:cs="Arial" w:eastAsia="Arial" w:hAnsi="Arial"/>
          <w:sz w:val="13"/>
          <w:szCs w:val="13"/>
          <w:color w:val="00162F"/>
        </w:rPr>
        <w:t>(f)</w:t>
      </w:r>
    </w:p>
    <w:p>
      <w:pPr>
        <w:spacing w:after="0" w:line="266" w:lineRule="exact"/>
        <w:rPr>
          <w:sz w:val="20"/>
          <w:szCs w:val="20"/>
          <w:color w:val="auto"/>
        </w:rPr>
      </w:pPr>
    </w:p>
    <w:p>
      <w:pPr>
        <w:ind w:left="5"/>
        <w:spacing w:after="0"/>
        <w:rPr>
          <w:sz w:val="20"/>
          <w:szCs w:val="20"/>
          <w:color w:val="auto"/>
        </w:rPr>
      </w:pPr>
      <w:r>
        <w:rPr>
          <w:rFonts w:ascii="Arial" w:cs="Arial" w:eastAsia="Arial" w:hAnsi="Arial"/>
          <w:sz w:val="13"/>
          <w:szCs w:val="13"/>
          <w:color w:val="00162F"/>
        </w:rPr>
        <w:t>(g)</w:t>
      </w:r>
    </w:p>
    <w:p>
      <w:pPr>
        <w:spacing w:after="0" w:line="266" w:lineRule="exact"/>
        <w:rPr>
          <w:sz w:val="20"/>
          <w:szCs w:val="20"/>
          <w:color w:val="auto"/>
        </w:rPr>
      </w:pPr>
    </w:p>
    <w:p>
      <w:pPr>
        <w:ind w:left="5"/>
        <w:spacing w:after="0"/>
        <w:rPr>
          <w:sz w:val="20"/>
          <w:szCs w:val="20"/>
          <w:color w:val="auto"/>
        </w:rPr>
      </w:pPr>
      <w:r>
        <w:rPr>
          <w:rFonts w:ascii="Arial" w:cs="Arial" w:eastAsia="Arial" w:hAnsi="Arial"/>
          <w:sz w:val="13"/>
          <w:szCs w:val="13"/>
          <w:color w:val="00162F"/>
        </w:rPr>
        <w:t>(h)</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0162F"/>
        </w:rPr>
        <w:t>Available seat mile (ASM) – A basic measure of production. One ASM represents one seat flown one mile.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0162F"/>
        </w:rPr>
        <w:t>Passenger load factor – The percentage of available seats that are filled with revenue passengers.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0162F"/>
        </w:rPr>
        <w:t>Yield – A measure of airline revenue derived by dividing passenger revenue by RPMs.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0162F"/>
        </w:rPr>
        <w:t>Passenger revenue per available seat mile (PRASM) – Passenger revenue divided by ASMs.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0162F"/>
        </w:rPr>
        <w:t>Total revenue per available seat mile (TRASM) – Total revenues divided by ASMs.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0162F"/>
        </w:rPr>
        <w:t>Total operating cost per available seat mile (CASM) – Total operating expenses divided by ASMs.</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00162F"/>
        </w:rPr>
        <w:t>Includes aircraft owned and leased by American as well as aircraft operated by third-party regional carriers under capacity purchase agreements. Excluded from the aircraft count above as of December 31, 2025 are three Airbus A321XLR mainline aircraft and four Bombardier CRJ900 regional aircraft held in temporary storage.</w:t>
      </w:r>
    </w:p>
    <w:p>
      <w:pPr>
        <w:spacing w:after="0" w:line="200" w:lineRule="exact"/>
        <w:rPr>
          <w:sz w:val="20"/>
          <w:szCs w:val="20"/>
          <w:color w:val="auto"/>
        </w:rPr>
      </w:pPr>
    </w:p>
    <w:p>
      <w:pPr>
        <w:sectPr>
          <w:pgSz w:w="11880" w:h="15480" w:orient="portrait"/>
          <w:cols w:equalWidth="0" w:num="2">
            <w:col w:w="165" w:space="540"/>
            <w:col w:w="9980"/>
          </w:cols>
          <w:pgMar w:left="595" w:top="992" w:right="600" w:bottom="0" w:gutter="0" w:footer="0" w:header="0"/>
          <w:type w:val="continuous"/>
        </w:sectPr>
      </w:pPr>
    </w:p>
    <w:p>
      <w:pPr>
        <w:spacing w:after="0" w:line="19"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Operating Revenues</w:t>
      </w:r>
    </w:p>
    <w:p>
      <w:pPr>
        <w:spacing w:after="0" w:line="220"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2560" w:type="dxa"/>
            <w:vAlign w:val="bottom"/>
            <w:tcBorders>
              <w:bottom w:val="single" w:sz="8" w:color="00162F"/>
            </w:tcBorders>
            <w:gridSpan w:val="5"/>
          </w:tcPr>
          <w:p>
            <w:pPr>
              <w:jc w:val="right"/>
              <w:ind w:right="365"/>
              <w:spacing w:after="0"/>
              <w:rPr>
                <w:sz w:val="20"/>
                <w:szCs w:val="20"/>
                <w:color w:val="auto"/>
              </w:rPr>
            </w:pPr>
            <w:r>
              <w:rPr>
                <w:rFonts w:ascii="Arial" w:cs="Arial" w:eastAsia="Arial" w:hAnsi="Arial"/>
                <w:sz w:val="16"/>
                <w:szCs w:val="16"/>
                <w:b w:val="1"/>
                <w:bCs w:val="1"/>
                <w:color w:val="00162F"/>
              </w:rPr>
              <w:t>Year Ended December 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restart"/>
          </w:tcPr>
          <w:p>
            <w:pPr>
              <w:jc w:val="center"/>
              <w:ind w:right="128"/>
              <w:spacing w:after="0"/>
              <w:rPr>
                <w:sz w:val="20"/>
                <w:szCs w:val="20"/>
                <w:color w:val="auto"/>
              </w:rPr>
            </w:pPr>
            <w:r>
              <w:rPr>
                <w:rFonts w:ascii="Arial" w:cs="Arial" w:eastAsia="Arial" w:hAnsi="Arial"/>
                <w:sz w:val="16"/>
                <w:szCs w:val="16"/>
                <w:b w:val="1"/>
                <w:bCs w:val="1"/>
                <w:color w:val="00162F"/>
                <w:w w:val="98"/>
              </w:rPr>
              <w:t>Percent</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388"/>
              <w:spacing w:after="0"/>
              <w:rPr>
                <w:sz w:val="20"/>
                <w:szCs w:val="20"/>
                <w:color w:val="auto"/>
              </w:rPr>
            </w:pPr>
            <w:r>
              <w:rPr>
                <w:rFonts w:ascii="Arial" w:cs="Arial" w:eastAsia="Arial" w:hAnsi="Arial"/>
                <w:sz w:val="16"/>
                <w:szCs w:val="16"/>
                <w:b w:val="1"/>
                <w:bCs w:val="1"/>
                <w:color w:val="00162F"/>
              </w:rPr>
              <w:t>2025</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vMerge w:val="restart"/>
          </w:tcPr>
          <w:p>
            <w:pPr>
              <w:jc w:val="right"/>
              <w:ind w:right="425"/>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vMerge w:val="restart"/>
          </w:tcPr>
          <w:p>
            <w:pPr>
              <w:jc w:val="right"/>
              <w:ind w:right="285"/>
              <w:spacing w:after="0"/>
              <w:rPr>
                <w:sz w:val="20"/>
                <w:szCs w:val="20"/>
                <w:color w:val="auto"/>
              </w:rPr>
            </w:pPr>
            <w:r>
              <w:rPr>
                <w:rFonts w:ascii="Arial" w:cs="Arial" w:eastAsia="Arial" w:hAnsi="Arial"/>
                <w:sz w:val="16"/>
                <w:szCs w:val="16"/>
                <w:b w:val="1"/>
                <w:bCs w:val="1"/>
                <w:color w:val="00162F"/>
              </w:rPr>
              <w:t>Increase</w:t>
            </w: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1060" w:type="dxa"/>
            <w:vAlign w:val="bottom"/>
            <w:tcBorders>
              <w:bottom w:val="single" w:sz="8" w:color="00162F"/>
            </w:tcBorders>
            <w:vMerge w:val="continue"/>
          </w:tcPr>
          <w:p>
            <w:pPr>
              <w:spacing w:after="0"/>
              <w:rPr>
                <w:sz w:val="18"/>
                <w:szCs w:val="18"/>
                <w:color w:val="auto"/>
              </w:rPr>
            </w:pPr>
          </w:p>
        </w:tc>
        <w:tc>
          <w:tcPr>
            <w:tcW w:w="40" w:type="dxa"/>
            <w:vAlign w:val="bottom"/>
            <w:tcBorders>
              <w:bottom w:val="single" w:sz="8" w:color="00162F"/>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040" w:type="dxa"/>
            <w:vAlign w:val="bottom"/>
            <w:tcBorders>
              <w:bottom w:val="single" w:sz="8" w:color="00162F"/>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00162F"/>
            </w:tcBorders>
          </w:tcPr>
          <w:p>
            <w:pPr>
              <w:spacing w:after="0"/>
              <w:rPr>
                <w:sz w:val="18"/>
                <w:szCs w:val="18"/>
                <w:color w:val="auto"/>
              </w:rPr>
            </w:pPr>
          </w:p>
        </w:tc>
        <w:tc>
          <w:tcPr>
            <w:tcW w:w="1140" w:type="dxa"/>
            <w:vAlign w:val="bottom"/>
            <w:tcBorders>
              <w:bottom w:val="single" w:sz="8" w:color="00162F"/>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00162F"/>
            </w:tcBorders>
            <w:vMerge w:val="continue"/>
          </w:tcPr>
          <w:p>
            <w:pPr>
              <w:spacing w:after="0"/>
              <w:rPr>
                <w:sz w:val="18"/>
                <w:szCs w:val="18"/>
                <w:color w:val="auto"/>
              </w:rPr>
            </w:pPr>
          </w:p>
        </w:tc>
        <w:tc>
          <w:tcPr>
            <w:tcW w:w="1200" w:type="dxa"/>
            <w:vAlign w:val="bottom"/>
            <w:tcBorders>
              <w:bottom w:val="single" w:sz="8" w:color="00162F"/>
            </w:tcBorders>
          </w:tcPr>
          <w:p>
            <w:pPr>
              <w:jc w:val="center"/>
              <w:ind w:right="108"/>
              <w:spacing w:after="0"/>
              <w:rPr>
                <w:sz w:val="20"/>
                <w:szCs w:val="20"/>
                <w:color w:val="auto"/>
              </w:rPr>
            </w:pPr>
            <w:r>
              <w:rPr>
                <w:rFonts w:ascii="Arial" w:cs="Arial" w:eastAsia="Arial" w:hAnsi="Arial"/>
                <w:sz w:val="16"/>
                <w:szCs w:val="16"/>
                <w:b w:val="1"/>
                <w:bCs w:val="1"/>
                <w:color w:val="00162F"/>
                <w:w w:val="98"/>
              </w:rPr>
              <w:t>Increase</w:t>
            </w:r>
          </w:p>
        </w:tc>
        <w:tc>
          <w:tcPr>
            <w:tcW w:w="0" w:type="dxa"/>
            <w:vAlign w:val="bottom"/>
          </w:tcPr>
          <w:p>
            <w:pPr>
              <w:spacing w:after="0"/>
              <w:rPr>
                <w:sz w:val="1"/>
                <w:szCs w:val="1"/>
                <w:color w:val="auto"/>
              </w:rPr>
            </w:pPr>
          </w:p>
        </w:tc>
      </w:tr>
      <w:tr>
        <w:trPr>
          <w:trHeight w:val="240"/>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60" w:type="dxa"/>
            <w:vAlign w:val="bottom"/>
            <w:gridSpan w:val="9"/>
          </w:tcPr>
          <w:p>
            <w:pPr>
              <w:ind w:left="20"/>
              <w:spacing w:after="0"/>
              <w:rPr>
                <w:sz w:val="20"/>
                <w:szCs w:val="20"/>
                <w:color w:val="auto"/>
              </w:rPr>
            </w:pPr>
            <w:r>
              <w:rPr>
                <w:rFonts w:ascii="Arial" w:cs="Arial" w:eastAsia="Arial" w:hAnsi="Arial"/>
                <w:sz w:val="16"/>
                <w:szCs w:val="16"/>
                <w:b w:val="1"/>
                <w:bCs w:val="1"/>
                <w:color w:val="00162F"/>
              </w:rPr>
              <w:t>(In millions, except percentage changes)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48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Passenger</w:t>
            </w:r>
          </w:p>
        </w:tc>
        <w:tc>
          <w:tcPr>
            <w:tcW w:w="300" w:type="dxa"/>
            <w:vAlign w:val="bottom"/>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49,643</w:t>
            </w:r>
          </w:p>
        </w:tc>
        <w:tc>
          <w:tcPr>
            <w:tcW w:w="460" w:type="dxa"/>
            <w:vAlign w:val="bottom"/>
            <w:gridSpan w:val="3"/>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49,586</w:t>
            </w:r>
          </w:p>
        </w:tc>
        <w:tc>
          <w:tcPr>
            <w:tcW w:w="340" w:type="dxa"/>
            <w:vAlign w:val="bottom"/>
            <w:gridSpan w:val="2"/>
            <w:shd w:val="clear" w:color="auto" w:fill="EDEDED"/>
          </w:tcPr>
          <w:p>
            <w:pPr>
              <w:jc w:val="right"/>
              <w:ind w:right="100"/>
              <w:spacing w:after="0"/>
              <w:rPr>
                <w:sz w:val="20"/>
                <w:szCs w:val="20"/>
                <w:color w:val="auto"/>
              </w:rPr>
            </w:pPr>
            <w:r>
              <w:rPr>
                <w:rFonts w:ascii="Arial" w:cs="Arial" w:eastAsia="Arial" w:hAnsi="Arial"/>
                <w:sz w:val="20"/>
                <w:szCs w:val="20"/>
                <w:color w:val="00162F"/>
              </w:rPr>
              <w:t>$</w:t>
            </w: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57</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00" w:type="dxa"/>
            <w:vAlign w:val="bottom"/>
            <w:shd w:val="clear" w:color="auto" w:fill="EDEDED"/>
          </w:tcPr>
          <w:p>
            <w:pPr>
              <w:jc w:val="center"/>
              <w:ind w:right="68"/>
              <w:spacing w:after="0"/>
              <w:rPr>
                <w:sz w:val="20"/>
                <w:szCs w:val="20"/>
                <w:color w:val="auto"/>
              </w:rPr>
            </w:pPr>
            <w:r>
              <w:rPr>
                <w:rFonts w:ascii="Arial" w:cs="Arial" w:eastAsia="Arial" w:hAnsi="Arial"/>
                <w:sz w:val="20"/>
                <w:szCs w:val="20"/>
                <w:color w:val="00162F"/>
              </w:rPr>
              <w:t>0.1</w:t>
            </w:r>
          </w:p>
        </w:tc>
        <w:tc>
          <w:tcPr>
            <w:tcW w:w="0" w:type="dxa"/>
            <w:vAlign w:val="bottom"/>
          </w:tcPr>
          <w:p>
            <w:pPr>
              <w:spacing w:after="0"/>
              <w:rPr>
                <w:sz w:val="1"/>
                <w:szCs w:val="1"/>
                <w:color w:val="auto"/>
              </w:rPr>
            </w:pPr>
          </w:p>
        </w:tc>
      </w:tr>
      <w:tr>
        <w:trPr>
          <w:trHeight w:val="293"/>
        </w:trPr>
        <w:tc>
          <w:tcPr>
            <w:tcW w:w="4860" w:type="dxa"/>
            <w:vAlign w:val="bottom"/>
          </w:tcPr>
          <w:p>
            <w:pPr>
              <w:ind w:left="40"/>
              <w:spacing w:after="0"/>
              <w:rPr>
                <w:sz w:val="20"/>
                <w:szCs w:val="20"/>
                <w:color w:val="auto"/>
              </w:rPr>
            </w:pPr>
            <w:r>
              <w:rPr>
                <w:rFonts w:ascii="Arial" w:cs="Arial" w:eastAsia="Arial" w:hAnsi="Arial"/>
                <w:sz w:val="20"/>
                <w:szCs w:val="20"/>
                <w:color w:val="00162F"/>
              </w:rPr>
              <w:t>Cargo</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839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804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68"/>
              <w:spacing w:after="0"/>
              <w:rPr>
                <w:sz w:val="20"/>
                <w:szCs w:val="20"/>
                <w:color w:val="auto"/>
              </w:rPr>
            </w:pPr>
            <w:r>
              <w:rPr>
                <w:rFonts w:ascii="Arial" w:cs="Arial" w:eastAsia="Arial" w:hAnsi="Arial"/>
                <w:sz w:val="20"/>
                <w:szCs w:val="20"/>
                <w:color w:val="00162F"/>
              </w:rPr>
              <w:t>4.3</w:t>
            </w:r>
          </w:p>
        </w:tc>
        <w:tc>
          <w:tcPr>
            <w:tcW w:w="0" w:type="dxa"/>
            <w:vAlign w:val="bottom"/>
          </w:tcPr>
          <w:p>
            <w:pPr>
              <w:spacing w:after="0"/>
              <w:rPr>
                <w:sz w:val="1"/>
                <w:szCs w:val="1"/>
                <w:color w:val="auto"/>
              </w:rPr>
            </w:pPr>
          </w:p>
        </w:tc>
      </w:tr>
      <w:tr>
        <w:trPr>
          <w:trHeight w:val="311"/>
        </w:trPr>
        <w:tc>
          <w:tcPr>
            <w:tcW w:w="48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Other</w:t>
            </w:r>
          </w:p>
        </w:tc>
        <w:tc>
          <w:tcPr>
            <w:tcW w:w="30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4,151</w:t>
            </w:r>
          </w:p>
        </w:tc>
        <w:tc>
          <w:tcPr>
            <w:tcW w:w="40" w:type="dxa"/>
            <w:vAlign w:val="bottom"/>
            <w:tcBorders>
              <w:bottom w:val="single" w:sz="8" w:color="00162F"/>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3,821</w:t>
            </w:r>
          </w:p>
        </w:tc>
        <w:tc>
          <w:tcPr>
            <w:tcW w:w="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spacing w:after="0"/>
              <w:rPr>
                <w:sz w:val="24"/>
                <w:szCs w:val="24"/>
                <w:color w:val="auto"/>
              </w:rPr>
            </w:pPr>
          </w:p>
        </w:tc>
        <w:tc>
          <w:tcPr>
            <w:tcW w:w="11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330</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EDEDED"/>
            </w:tcBorders>
            <w:shd w:val="clear" w:color="auto" w:fill="EDEDED"/>
          </w:tcPr>
          <w:p>
            <w:pPr>
              <w:spacing w:after="0"/>
              <w:rPr>
                <w:sz w:val="24"/>
                <w:szCs w:val="24"/>
                <w:color w:val="auto"/>
              </w:rPr>
            </w:pPr>
          </w:p>
        </w:tc>
        <w:tc>
          <w:tcPr>
            <w:tcW w:w="1200" w:type="dxa"/>
            <w:vAlign w:val="bottom"/>
            <w:tcBorders>
              <w:bottom w:val="single" w:sz="8" w:color="EDEDED"/>
            </w:tcBorders>
            <w:shd w:val="clear" w:color="auto" w:fill="EDEDED"/>
          </w:tcPr>
          <w:p>
            <w:pPr>
              <w:jc w:val="center"/>
              <w:ind w:right="68"/>
              <w:spacing w:after="0"/>
              <w:rPr>
                <w:sz w:val="20"/>
                <w:szCs w:val="20"/>
                <w:color w:val="auto"/>
              </w:rPr>
            </w:pPr>
            <w:r>
              <w:rPr>
                <w:rFonts w:ascii="Arial" w:cs="Arial" w:eastAsia="Arial" w:hAnsi="Arial"/>
                <w:sz w:val="20"/>
                <w:szCs w:val="20"/>
                <w:color w:val="00162F"/>
              </w:rPr>
              <w:t>8.7</w:t>
            </w:r>
          </w:p>
        </w:tc>
        <w:tc>
          <w:tcPr>
            <w:tcW w:w="0" w:type="dxa"/>
            <w:vAlign w:val="bottom"/>
          </w:tcPr>
          <w:p>
            <w:pPr>
              <w:spacing w:after="0"/>
              <w:rPr>
                <w:sz w:val="1"/>
                <w:szCs w:val="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20"/>
                <w:szCs w:val="20"/>
                <w:color w:val="00162F"/>
              </w:rPr>
              <w:t>Total operating revenues</w:t>
            </w:r>
          </w:p>
        </w:tc>
        <w:tc>
          <w:tcPr>
            <w:tcW w:w="300" w:type="dxa"/>
            <w:vAlign w:val="bottom"/>
          </w:tcPr>
          <w:p>
            <w:pPr>
              <w:jc w:val="right"/>
              <w:ind w:right="41"/>
              <w:spacing w:after="0"/>
              <w:rPr>
                <w:sz w:val="20"/>
                <w:szCs w:val="20"/>
                <w:color w:val="auto"/>
              </w:rPr>
            </w:pPr>
            <w:r>
              <w:rPr>
                <w:rFonts w:ascii="Arial" w:cs="Arial" w:eastAsia="Arial" w:hAnsi="Arial"/>
                <w:sz w:val="20"/>
                <w:szCs w:val="20"/>
                <w:color w:val="00162F"/>
              </w:rPr>
              <w:t>$</w:t>
            </w:r>
          </w:p>
        </w:tc>
        <w:tc>
          <w:tcPr>
            <w:tcW w:w="1060" w:type="dxa"/>
            <w:vAlign w:val="bottom"/>
          </w:tcPr>
          <w:p>
            <w:pPr>
              <w:jc w:val="right"/>
              <w:spacing w:after="0"/>
              <w:rPr>
                <w:sz w:val="20"/>
                <w:szCs w:val="20"/>
                <w:color w:val="auto"/>
              </w:rPr>
            </w:pPr>
            <w:r>
              <w:rPr>
                <w:rFonts w:ascii="Arial" w:cs="Arial" w:eastAsia="Arial" w:hAnsi="Arial"/>
                <w:sz w:val="20"/>
                <w:szCs w:val="20"/>
                <w:color w:val="00162F"/>
              </w:rPr>
              <w:t>54,633</w:t>
            </w:r>
          </w:p>
        </w:tc>
        <w:tc>
          <w:tcPr>
            <w:tcW w:w="460" w:type="dxa"/>
            <w:vAlign w:val="bottom"/>
            <w:gridSpan w:val="3"/>
          </w:tcPr>
          <w:p>
            <w:pPr>
              <w:jc w:val="right"/>
              <w:ind w:right="180"/>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54,211</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00162F"/>
              </w:rPr>
              <w:t>$</w:t>
            </w:r>
          </w:p>
        </w:tc>
        <w:tc>
          <w:tcPr>
            <w:tcW w:w="1140" w:type="dxa"/>
            <w:vAlign w:val="bottom"/>
          </w:tcPr>
          <w:p>
            <w:pPr>
              <w:jc w:val="right"/>
              <w:spacing w:after="0"/>
              <w:rPr>
                <w:sz w:val="20"/>
                <w:szCs w:val="20"/>
                <w:color w:val="auto"/>
              </w:rPr>
            </w:pPr>
            <w:r>
              <w:rPr>
                <w:rFonts w:ascii="Arial" w:cs="Arial" w:eastAsia="Arial" w:hAnsi="Arial"/>
                <w:sz w:val="20"/>
                <w:szCs w:val="20"/>
                <w:color w:val="00162F"/>
              </w:rPr>
              <w:t>422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68"/>
              <w:spacing w:after="0"/>
              <w:rPr>
                <w:sz w:val="20"/>
                <w:szCs w:val="20"/>
                <w:color w:val="auto"/>
              </w:rPr>
            </w:pPr>
            <w:r>
              <w:rPr>
                <w:rFonts w:ascii="Arial" w:cs="Arial" w:eastAsia="Arial" w:hAnsi="Arial"/>
                <w:sz w:val="20"/>
                <w:szCs w:val="20"/>
                <w:color w:val="00162F"/>
              </w:rPr>
              <w:t>0.8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top w:val="single" w:sz="8" w:color="00162F"/>
              <w:bottom w:val="single" w:sz="8" w:color="00162F"/>
            </w:tcBorders>
          </w:tcPr>
          <w:p>
            <w:pPr>
              <w:spacing w:after="0" w:line="20" w:lineRule="exact"/>
              <w:rPr>
                <w:sz w:val="1"/>
                <w:szCs w:val="1"/>
                <w:color w:val="auto"/>
              </w:rPr>
            </w:pPr>
          </w:p>
        </w:tc>
        <w:tc>
          <w:tcPr>
            <w:tcW w:w="1060" w:type="dxa"/>
            <w:vAlign w:val="bottom"/>
            <w:tcBorders>
              <w:top w:val="single" w:sz="8" w:color="00162F"/>
              <w:bottom w:val="single" w:sz="8" w:color="00162F"/>
            </w:tcBorders>
          </w:tcPr>
          <w:p>
            <w:pPr>
              <w:spacing w:after="0" w:line="20" w:lineRule="exact"/>
              <w:rPr>
                <w:sz w:val="1"/>
                <w:szCs w:val="1"/>
                <w:color w:val="auto"/>
              </w:rPr>
            </w:pPr>
          </w:p>
        </w:tc>
        <w:tc>
          <w:tcPr>
            <w:tcW w:w="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04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00162F"/>
              <w:bottom w:val="single" w:sz="8" w:color="00162F"/>
            </w:tcBorders>
          </w:tcPr>
          <w:p>
            <w:pPr>
              <w:spacing w:after="0" w:line="20" w:lineRule="exact"/>
              <w:rPr>
                <w:sz w:val="1"/>
                <w:szCs w:val="1"/>
                <w:color w:val="auto"/>
              </w:rPr>
            </w:pPr>
          </w:p>
        </w:tc>
        <w:tc>
          <w:tcPr>
            <w:tcW w:w="11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-219710</wp:posOffset>
            </wp:positionV>
            <wp:extent cx="27876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2787650" cy="25400"/>
                    </a:xfrm>
                    <a:prstGeom prst="rect">
                      <a:avLst/>
                    </a:prstGeom>
                    <a:noFill/>
                  </pic:spPr>
                </pic:pic>
              </a:graphicData>
            </a:graphic>
          </wp:anchor>
        </w:drawing>
      </w:r>
    </w:p>
    <w:p>
      <w:pPr>
        <w:sectPr>
          <w:pgSz w:w="11880" w:h="15480" w:orient="portrait"/>
          <w:cols w:equalWidth="0" w:num="1">
            <w:col w:w="10685"/>
          </w:cols>
          <w:pgMar w:left="595" w:top="992"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65</w:t>
      </w:r>
    </w:p>
    <w:p>
      <w:pPr>
        <w:sectPr>
          <w:pgSz w:w="11880" w:h="15480" w:orient="portrait"/>
          <w:cols w:equalWidth="0" w:num="1">
            <w:col w:w="10685"/>
          </w:cols>
          <w:pgMar w:left="595" w:top="992" w:right="600" w:bottom="0" w:gutter="0" w:footer="0" w:header="0"/>
          <w:type w:val="continuous"/>
        </w:sectPr>
      </w:pPr>
    </w:p>
    <w:bookmarkStart w:id="66" w:name="page67"/>
    <w:bookmarkEnd w:id="66"/>
    <w:p>
      <w:pPr>
        <w:ind w:left="260"/>
        <w:spacing w:after="0"/>
        <w:rPr>
          <w:sz w:val="20"/>
          <w:szCs w:val="20"/>
          <w:color w:val="auto"/>
        </w:rPr>
      </w:pPr>
      <w:r>
        <w:rPr>
          <w:rFonts w:ascii="Arial" w:cs="Arial" w:eastAsia="Arial" w:hAnsi="Arial"/>
          <w:sz w:val="20"/>
          <w:szCs w:val="20"/>
          <w:color w:val="00162F"/>
        </w:rPr>
        <w:t>This table presents our passenger revenue and the year-over-year change in certain operating statistics: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3"/>
          </w:tcPr>
          <w:p>
            <w:pPr>
              <w:jc w:val="right"/>
              <w:ind w:right="154"/>
              <w:spacing w:after="0"/>
              <w:rPr>
                <w:sz w:val="20"/>
                <w:szCs w:val="20"/>
                <w:color w:val="auto"/>
              </w:rPr>
            </w:pPr>
            <w:r>
              <w:rPr>
                <w:rFonts w:ascii="Arial" w:cs="Arial" w:eastAsia="Arial" w:hAnsi="Arial"/>
                <w:sz w:val="16"/>
                <w:szCs w:val="16"/>
                <w:b w:val="1"/>
                <w:bCs w:val="1"/>
                <w:color w:val="00162F"/>
              </w:rPr>
              <w:t>Increase (Decrease)</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3980" w:type="dxa"/>
            <w:vAlign w:val="bottom"/>
            <w:tcBorders>
              <w:bottom w:val="single" w:sz="8" w:color="00162F"/>
            </w:tcBorders>
            <w:gridSpan w:val="7"/>
          </w:tcPr>
          <w:p>
            <w:pPr>
              <w:ind w:left="700"/>
              <w:spacing w:after="0"/>
              <w:rPr>
                <w:sz w:val="20"/>
                <w:szCs w:val="20"/>
                <w:color w:val="auto"/>
              </w:rPr>
            </w:pPr>
            <w:r>
              <w:rPr>
                <w:rFonts w:ascii="Arial" w:cs="Arial" w:eastAsia="Arial" w:hAnsi="Arial"/>
                <w:sz w:val="16"/>
                <w:szCs w:val="16"/>
                <w:b w:val="1"/>
                <w:bCs w:val="1"/>
                <w:color w:val="00162F"/>
              </w:rPr>
              <w:t>vs. Year Ended December 31, 2024</w:t>
            </w:r>
          </w:p>
        </w:tc>
        <w:tc>
          <w:tcPr>
            <w:tcW w:w="80" w:type="dxa"/>
            <w:vAlign w:val="bottom"/>
            <w:tcBorders>
              <w:bottom w:val="single" w:sz="8" w:color="00162F"/>
            </w:tcBorders>
          </w:tcPr>
          <w:p>
            <w:pPr>
              <w:spacing w:after="0"/>
              <w:rPr>
                <w:sz w:val="18"/>
                <w:szCs w:val="18"/>
                <w:color w:val="auto"/>
              </w:rPr>
            </w:pPr>
          </w:p>
        </w:tc>
        <w:tc>
          <w:tcPr>
            <w:tcW w:w="940" w:type="dxa"/>
            <w:vAlign w:val="bottom"/>
            <w:tcBorders>
              <w:bottom w:val="single" w:sz="8" w:color="00162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20"/>
              <w:spacing w:after="0" w:line="170" w:lineRule="exact"/>
              <w:rPr>
                <w:sz w:val="20"/>
                <w:szCs w:val="20"/>
                <w:color w:val="auto"/>
              </w:rPr>
            </w:pPr>
            <w:r>
              <w:rPr>
                <w:rFonts w:ascii="Arial" w:cs="Arial" w:eastAsia="Arial" w:hAnsi="Arial"/>
                <w:sz w:val="16"/>
                <w:szCs w:val="16"/>
                <w:b w:val="1"/>
                <w:bCs w:val="1"/>
                <w:color w:val="00162F"/>
                <w:w w:val="99"/>
              </w:rPr>
              <w:t>Year Ended</w:t>
            </w:r>
          </w:p>
        </w:tc>
        <w:tc>
          <w:tcPr>
            <w:tcW w:w="920" w:type="dxa"/>
            <w:vAlign w:val="bottom"/>
          </w:tcPr>
          <w:p>
            <w:pPr>
              <w:jc w:val="center"/>
              <w:spacing w:after="0" w:line="170" w:lineRule="exact"/>
              <w:rPr>
                <w:sz w:val="20"/>
                <w:szCs w:val="20"/>
                <w:color w:val="auto"/>
              </w:rPr>
            </w:pPr>
            <w:r>
              <w:rPr>
                <w:rFonts w:ascii="Arial" w:cs="Arial" w:eastAsia="Arial" w:hAnsi="Arial"/>
                <w:sz w:val="16"/>
                <w:szCs w:val="16"/>
                <w:b w:val="1"/>
                <w:bCs w:val="1"/>
                <w:color w:val="00162F"/>
                <w:w w:val="98"/>
              </w:rPr>
              <w:t>Passenger</w:t>
            </w:r>
          </w:p>
        </w:tc>
        <w:tc>
          <w:tcPr>
            <w:tcW w:w="80" w:type="dxa"/>
            <w:vAlign w:val="bottom"/>
          </w:tcPr>
          <w:p>
            <w:pPr>
              <w:spacing w:after="0"/>
              <w:rPr>
                <w:sz w:val="14"/>
                <w:szCs w:val="14"/>
                <w:color w:val="auto"/>
              </w:rPr>
            </w:pPr>
          </w:p>
        </w:tc>
        <w:tc>
          <w:tcPr>
            <w:tcW w:w="96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00162F"/>
              </w:rPr>
              <w:t>RPMs</w:t>
            </w:r>
          </w:p>
        </w:tc>
        <w:tc>
          <w:tcPr>
            <w:tcW w:w="60" w:type="dxa"/>
            <w:vAlign w:val="bottom"/>
          </w:tcPr>
          <w:p>
            <w:pPr>
              <w:spacing w:after="0"/>
              <w:rPr>
                <w:sz w:val="14"/>
                <w:szCs w:val="14"/>
                <w:color w:val="auto"/>
              </w:rPr>
            </w:pPr>
          </w:p>
        </w:tc>
        <w:tc>
          <w:tcPr>
            <w:tcW w:w="94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00162F"/>
              </w:rPr>
              <w:t>ASMs</w:t>
            </w:r>
          </w:p>
        </w:tc>
        <w:tc>
          <w:tcPr>
            <w:tcW w:w="80" w:type="dxa"/>
            <w:vAlign w:val="bottom"/>
          </w:tcPr>
          <w:p>
            <w:pPr>
              <w:spacing w:after="0"/>
              <w:rPr>
                <w:sz w:val="14"/>
                <w:szCs w:val="14"/>
                <w:color w:val="auto"/>
              </w:rPr>
            </w:pPr>
          </w:p>
        </w:tc>
        <w:tc>
          <w:tcPr>
            <w:tcW w:w="940" w:type="dxa"/>
            <w:vAlign w:val="bottom"/>
          </w:tcPr>
          <w:p>
            <w:pPr>
              <w:jc w:val="right"/>
              <w:ind w:right="194"/>
              <w:spacing w:after="0" w:line="170" w:lineRule="exact"/>
              <w:rPr>
                <w:sz w:val="20"/>
                <w:szCs w:val="20"/>
                <w:color w:val="auto"/>
              </w:rPr>
            </w:pPr>
            <w:r>
              <w:rPr>
                <w:rFonts w:ascii="Arial" w:cs="Arial" w:eastAsia="Arial" w:hAnsi="Arial"/>
                <w:sz w:val="16"/>
                <w:szCs w:val="16"/>
                <w:b w:val="1"/>
                <w:bCs w:val="1"/>
                <w:color w:val="00162F"/>
              </w:rPr>
              <w:t>Load</w:t>
            </w:r>
          </w:p>
        </w:tc>
        <w:tc>
          <w:tcPr>
            <w:tcW w:w="60" w:type="dxa"/>
            <w:vAlign w:val="bottom"/>
          </w:tcPr>
          <w:p>
            <w:pPr>
              <w:spacing w:after="0"/>
              <w:rPr>
                <w:sz w:val="14"/>
                <w:szCs w:val="14"/>
                <w:color w:val="auto"/>
              </w:rPr>
            </w:pPr>
          </w:p>
        </w:tc>
        <w:tc>
          <w:tcPr>
            <w:tcW w:w="940" w:type="dxa"/>
            <w:vAlign w:val="bottom"/>
          </w:tcPr>
          <w:p>
            <w:pPr>
              <w:ind w:left="80"/>
              <w:spacing w:after="0" w:line="170" w:lineRule="exact"/>
              <w:rPr>
                <w:sz w:val="20"/>
                <w:szCs w:val="20"/>
                <w:color w:val="auto"/>
              </w:rPr>
            </w:pPr>
            <w:r>
              <w:rPr>
                <w:rFonts w:ascii="Arial" w:cs="Arial" w:eastAsia="Arial" w:hAnsi="Arial"/>
                <w:sz w:val="16"/>
                <w:szCs w:val="16"/>
                <w:b w:val="1"/>
                <w:bCs w:val="1"/>
                <w:color w:val="00162F"/>
              </w:rPr>
              <w:t>Passenger</w:t>
            </w:r>
          </w:p>
        </w:tc>
        <w:tc>
          <w:tcPr>
            <w:tcW w:w="80" w:type="dxa"/>
            <w:vAlign w:val="bottom"/>
          </w:tcPr>
          <w:p>
            <w:pPr>
              <w:spacing w:after="0"/>
              <w:rPr>
                <w:sz w:val="14"/>
                <w:szCs w:val="14"/>
                <w:color w:val="auto"/>
              </w:rPr>
            </w:pPr>
          </w:p>
        </w:tc>
        <w:tc>
          <w:tcPr>
            <w:tcW w:w="9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00162F"/>
              </w:rPr>
              <w:t>PRASM</w:t>
            </w:r>
          </w:p>
        </w:tc>
        <w:tc>
          <w:tcPr>
            <w:tcW w:w="0" w:type="dxa"/>
            <w:vAlign w:val="bottom"/>
          </w:tcPr>
          <w:p>
            <w:pPr>
              <w:spacing w:after="0"/>
              <w:rPr>
                <w:sz w:val="1"/>
                <w:szCs w:val="1"/>
                <w:color w:val="auto"/>
              </w:rPr>
            </w:pPr>
          </w:p>
        </w:tc>
      </w:tr>
      <w:tr>
        <w:trPr>
          <w:trHeight w:val="211"/>
        </w:trPr>
        <w:tc>
          <w:tcPr>
            <w:tcW w:w="3040" w:type="dxa"/>
            <w:vAlign w:val="bottom"/>
          </w:tcPr>
          <w:p>
            <w:pPr>
              <w:spacing w:after="0"/>
              <w:rPr>
                <w:sz w:val="18"/>
                <w:szCs w:val="18"/>
                <w:color w:val="auto"/>
              </w:rPr>
            </w:pPr>
          </w:p>
        </w:tc>
        <w:tc>
          <w:tcPr>
            <w:tcW w:w="1560" w:type="dxa"/>
            <w:vAlign w:val="bottom"/>
            <w:tcBorders>
              <w:bottom w:val="single" w:sz="8" w:color="00162F"/>
            </w:tcBorders>
            <w:gridSpan w:val="2"/>
          </w:tcPr>
          <w:p>
            <w:pPr>
              <w:jc w:val="center"/>
              <w:spacing w:after="0"/>
              <w:rPr>
                <w:sz w:val="20"/>
                <w:szCs w:val="20"/>
                <w:color w:val="auto"/>
              </w:rPr>
            </w:pPr>
            <w:r>
              <w:rPr>
                <w:rFonts w:ascii="Arial" w:cs="Arial" w:eastAsia="Arial" w:hAnsi="Arial"/>
                <w:sz w:val="16"/>
                <w:szCs w:val="16"/>
                <w:b w:val="1"/>
                <w:bCs w:val="1"/>
                <w:color w:val="00162F"/>
                <w:w w:val="99"/>
              </w:rPr>
              <w:t>December 31, 2025</w:t>
            </w:r>
          </w:p>
        </w:tc>
        <w:tc>
          <w:tcPr>
            <w:tcW w:w="80" w:type="dxa"/>
            <w:vAlign w:val="bottom"/>
          </w:tcPr>
          <w:p>
            <w:pPr>
              <w:spacing w:after="0"/>
              <w:rPr>
                <w:sz w:val="18"/>
                <w:szCs w:val="18"/>
                <w:color w:val="auto"/>
              </w:rPr>
            </w:pPr>
          </w:p>
        </w:tc>
        <w:tc>
          <w:tcPr>
            <w:tcW w:w="92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5"/>
              </w:rPr>
              <w:t>Revenue</w:t>
            </w:r>
          </w:p>
        </w:tc>
        <w:tc>
          <w:tcPr>
            <w:tcW w:w="80" w:type="dxa"/>
            <w:vAlign w:val="bottom"/>
          </w:tcPr>
          <w:p>
            <w:pPr>
              <w:spacing w:after="0"/>
              <w:rPr>
                <w:sz w:val="18"/>
                <w:szCs w:val="18"/>
                <w:color w:val="auto"/>
              </w:rPr>
            </w:pPr>
          </w:p>
        </w:tc>
        <w:tc>
          <w:tcPr>
            <w:tcW w:w="960" w:type="dxa"/>
            <w:vAlign w:val="bottom"/>
            <w:tcBorders>
              <w:bottom w:val="single" w:sz="8" w:color="00162F"/>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bottom w:val="single" w:sz="8" w:color="00162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00162F"/>
            </w:tcBorders>
          </w:tcPr>
          <w:p>
            <w:pPr>
              <w:jc w:val="right"/>
              <w:ind w:right="154"/>
              <w:spacing w:after="0"/>
              <w:rPr>
                <w:sz w:val="20"/>
                <w:szCs w:val="20"/>
                <w:color w:val="auto"/>
              </w:rPr>
            </w:pPr>
            <w:r>
              <w:rPr>
                <w:rFonts w:ascii="Arial" w:cs="Arial" w:eastAsia="Arial" w:hAnsi="Arial"/>
                <w:sz w:val="16"/>
                <w:szCs w:val="16"/>
                <w:b w:val="1"/>
                <w:bCs w:val="1"/>
                <w:color w:val="00162F"/>
              </w:rPr>
              <w:t>Factor</w:t>
            </w:r>
          </w:p>
        </w:tc>
        <w:tc>
          <w:tcPr>
            <w:tcW w:w="60" w:type="dxa"/>
            <w:vAlign w:val="bottom"/>
          </w:tcPr>
          <w:p>
            <w:pPr>
              <w:spacing w:after="0"/>
              <w:rPr>
                <w:sz w:val="18"/>
                <w:szCs w:val="18"/>
                <w:color w:val="auto"/>
              </w:rPr>
            </w:pPr>
          </w:p>
        </w:tc>
        <w:tc>
          <w:tcPr>
            <w:tcW w:w="940" w:type="dxa"/>
            <w:vAlign w:val="bottom"/>
            <w:tcBorders>
              <w:bottom w:val="single" w:sz="8" w:color="00162F"/>
            </w:tcBorders>
          </w:tcPr>
          <w:p>
            <w:pPr>
              <w:ind w:left="280"/>
              <w:spacing w:after="0"/>
              <w:rPr>
                <w:sz w:val="20"/>
                <w:szCs w:val="20"/>
                <w:color w:val="auto"/>
              </w:rPr>
            </w:pPr>
            <w:r>
              <w:rPr>
                <w:rFonts w:ascii="Arial" w:cs="Arial" w:eastAsia="Arial" w:hAnsi="Arial"/>
                <w:sz w:val="16"/>
                <w:szCs w:val="16"/>
                <w:b w:val="1"/>
                <w:bCs w:val="1"/>
                <w:color w:val="00162F"/>
              </w:rPr>
              <w:t>Yield</w:t>
            </w:r>
          </w:p>
        </w:tc>
        <w:tc>
          <w:tcPr>
            <w:tcW w:w="80" w:type="dxa"/>
            <w:vAlign w:val="bottom"/>
          </w:tcPr>
          <w:p>
            <w:pPr>
              <w:spacing w:after="0"/>
              <w:rPr>
                <w:sz w:val="18"/>
                <w:szCs w:val="18"/>
                <w:color w:val="auto"/>
              </w:rPr>
            </w:pPr>
          </w:p>
        </w:tc>
        <w:tc>
          <w:tcPr>
            <w:tcW w:w="940" w:type="dxa"/>
            <w:vAlign w:val="bottom"/>
            <w:tcBorders>
              <w:bottom w:val="single" w:sz="8" w:color="00162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00162F"/>
                <w:w w:val="97"/>
              </w:rPr>
              <w:t>(In millions)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30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Passenger revenue</w:t>
            </w:r>
          </w:p>
        </w:tc>
        <w:tc>
          <w:tcPr>
            <w:tcW w:w="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3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49,643</w:t>
            </w:r>
          </w:p>
        </w:tc>
        <w:tc>
          <w:tcPr>
            <w:tcW w:w="8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0.1%</w:t>
            </w:r>
          </w:p>
        </w:tc>
        <w:tc>
          <w:tcPr>
            <w:tcW w:w="10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0.6%</w:t>
            </w:r>
          </w:p>
        </w:tc>
        <w:tc>
          <w:tcPr>
            <w:tcW w:w="10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2.2%</w:t>
            </w:r>
          </w:p>
        </w:tc>
        <w:tc>
          <w:tcPr>
            <w:tcW w:w="8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(1.3)pts</w:t>
            </w:r>
          </w:p>
        </w:tc>
        <w:tc>
          <w:tcPr>
            <w:tcW w:w="1000" w:type="dxa"/>
            <w:vAlign w:val="bottom"/>
            <w:gridSpan w:val="2"/>
            <w:shd w:val="clear" w:color="auto" w:fill="EDEDED"/>
          </w:tcPr>
          <w:p>
            <w:pPr>
              <w:ind w:left="360"/>
              <w:spacing w:after="0"/>
              <w:rPr>
                <w:sz w:val="20"/>
                <w:szCs w:val="20"/>
                <w:color w:val="auto"/>
              </w:rPr>
            </w:pPr>
            <w:r>
              <w:rPr>
                <w:rFonts w:ascii="Arial" w:cs="Arial" w:eastAsia="Arial" w:hAnsi="Arial"/>
                <w:sz w:val="20"/>
                <w:szCs w:val="20"/>
                <w:color w:val="00162F"/>
              </w:rPr>
              <w:t>(0.5)%</w:t>
            </w:r>
          </w:p>
        </w:tc>
        <w:tc>
          <w:tcPr>
            <w:tcW w:w="10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(2.0)%</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Passenger revenue remained relatively flat in 2025 as compared to 2024. Our passenger revenue in 2025 was impacted by the American Eagle flight 5342 accident and softness in domestic demand for air travel in the first half of the year, offset by strength in international travel, particularly in the Atlantic and Pacific regions, and recovery in domestic travel in the second half of the year despite the negative revenue impact from the temporary shutdown of the U.S. Government in the fourth quarter of 2025.</w:t>
      </w:r>
    </w:p>
    <w:p>
      <w:pPr>
        <w:spacing w:after="0" w:line="139"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Other operating revenue increased $330 million, or 8.7%, in 2025 from 2024 driven primarily by higher revenue associated with our loyalty program. During 2025 and 2024, cash payments from co-branded credit card and other partners were $6.2 billion and $6.1 billion, respectively. Cash remuneration in 2024 included a one-time cash payment related to the new co-branded credit card agreement announced in December 2024. This one-time cash payment will be amortized over the life of the new agreement beginning in 2026.</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Operating Expenses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vMerge w:val="restart"/>
          </w:tcPr>
          <w:p>
            <w:pPr>
              <w:jc w:val="right"/>
              <w:ind w:right="323"/>
              <w:spacing w:after="0"/>
              <w:rPr>
                <w:sz w:val="20"/>
                <w:szCs w:val="20"/>
                <w:color w:val="auto"/>
              </w:rPr>
            </w:pPr>
            <w:r>
              <w:rPr>
                <w:rFonts w:ascii="Arial" w:cs="Arial" w:eastAsia="Arial" w:hAnsi="Arial"/>
                <w:sz w:val="16"/>
                <w:szCs w:val="16"/>
                <w:b w:val="1"/>
                <w:bCs w:val="1"/>
                <w:color w:val="00162F"/>
              </w:rPr>
              <w:t>Year Ended 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85"/>
              <w:spacing w:after="0"/>
              <w:rPr>
                <w:sz w:val="20"/>
                <w:szCs w:val="20"/>
                <w:color w:val="auto"/>
              </w:rPr>
            </w:pPr>
            <w:r>
              <w:rPr>
                <w:rFonts w:ascii="Arial" w:cs="Arial" w:eastAsia="Arial" w:hAnsi="Arial"/>
                <w:sz w:val="16"/>
                <w:szCs w:val="16"/>
                <w:b w:val="1"/>
                <w:bCs w:val="1"/>
                <w:color w:val="00162F"/>
                <w:w w:val="98"/>
              </w:rPr>
              <w:t>Percent</w:t>
            </w: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300" w:type="dxa"/>
            <w:vAlign w:val="bottom"/>
            <w:tcBorders>
              <w:bottom w:val="single" w:sz="8" w:color="00162F"/>
            </w:tcBorders>
          </w:tcPr>
          <w:p>
            <w:pPr>
              <w:spacing w:after="0"/>
              <w:rPr>
                <w:sz w:val="10"/>
                <w:szCs w:val="10"/>
                <w:color w:val="auto"/>
              </w:rPr>
            </w:pPr>
          </w:p>
        </w:tc>
        <w:tc>
          <w:tcPr>
            <w:tcW w:w="2480" w:type="dxa"/>
            <w:vAlign w:val="bottom"/>
            <w:tcBorders>
              <w:bottom w:val="single" w:sz="8" w:color="00162F"/>
            </w:tcBorders>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3"/>
            <w:vMerge w:val="restart"/>
          </w:tcPr>
          <w:p>
            <w:pPr>
              <w:ind w:left="140"/>
              <w:spacing w:after="0" w:line="158" w:lineRule="exact"/>
              <w:rPr>
                <w:sz w:val="20"/>
                <w:szCs w:val="20"/>
                <w:color w:val="auto"/>
              </w:rPr>
            </w:pPr>
            <w:r>
              <w:rPr>
                <w:rFonts w:ascii="Arial" w:cs="Arial" w:eastAsia="Arial" w:hAnsi="Arial"/>
                <w:sz w:val="16"/>
                <w:szCs w:val="16"/>
                <w:b w:val="1"/>
                <w:bCs w:val="1"/>
                <w:color w:val="00162F"/>
              </w:rPr>
              <w:t>Increase</w:t>
            </w:r>
          </w:p>
        </w:tc>
        <w:tc>
          <w:tcPr>
            <w:tcW w:w="1200" w:type="dxa"/>
            <w:vAlign w:val="bottom"/>
            <w:vMerge w:val="restart"/>
          </w:tcPr>
          <w:p>
            <w:pPr>
              <w:jc w:val="center"/>
              <w:ind w:right="65"/>
              <w:spacing w:after="0" w:line="158" w:lineRule="exact"/>
              <w:rPr>
                <w:sz w:val="20"/>
                <w:szCs w:val="20"/>
                <w:color w:val="auto"/>
              </w:rPr>
            </w:pPr>
            <w:r>
              <w:rPr>
                <w:rFonts w:ascii="Arial" w:cs="Arial" w:eastAsia="Arial" w:hAnsi="Arial"/>
                <w:sz w:val="16"/>
                <w:szCs w:val="16"/>
                <w:b w:val="1"/>
                <w:bCs w:val="1"/>
                <w:color w:val="00162F"/>
                <w:w w:val="98"/>
              </w:rPr>
              <w:t>Increase</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vMerge w:val="restart"/>
          </w:tcPr>
          <w:p>
            <w:pPr>
              <w:jc w:val="right"/>
              <w:ind w:right="344"/>
              <w:spacing w:after="0"/>
              <w:rPr>
                <w:sz w:val="20"/>
                <w:szCs w:val="20"/>
                <w:color w:val="auto"/>
              </w:rPr>
            </w:pPr>
            <w:r>
              <w:rPr>
                <w:rFonts w:ascii="Arial" w:cs="Arial" w:eastAsia="Arial" w:hAnsi="Arial"/>
                <w:sz w:val="16"/>
                <w:szCs w:val="16"/>
                <w:b w:val="1"/>
                <w:bCs w:val="1"/>
                <w:color w:val="00162F"/>
              </w:rPr>
              <w:t>2025</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vMerge w:val="restart"/>
          </w:tcPr>
          <w:p>
            <w:pPr>
              <w:jc w:val="right"/>
              <w:ind w:right="383"/>
              <w:spacing w:after="0"/>
              <w:rPr>
                <w:sz w:val="20"/>
                <w:szCs w:val="20"/>
                <w:color w:val="auto"/>
              </w:rPr>
            </w:pPr>
            <w:r>
              <w:rPr>
                <w:rFonts w:ascii="Arial" w:cs="Arial" w:eastAsia="Arial" w:hAnsi="Arial"/>
                <w:sz w:val="16"/>
                <w:szCs w:val="16"/>
                <w:b w:val="1"/>
                <w:bCs w:val="1"/>
                <w:color w:val="00162F"/>
              </w:rPr>
              <w:t>2024</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00" w:type="dxa"/>
            <w:vAlign w:val="bottom"/>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100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00162F"/>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162F"/>
            </w:tcBorders>
          </w:tcPr>
          <w:p>
            <w:pPr>
              <w:spacing w:after="0"/>
              <w:rPr>
                <w:sz w:val="18"/>
                <w:szCs w:val="18"/>
                <w:color w:val="auto"/>
              </w:rPr>
            </w:pPr>
          </w:p>
        </w:tc>
        <w:tc>
          <w:tcPr>
            <w:tcW w:w="1020" w:type="dxa"/>
            <w:vAlign w:val="bottom"/>
            <w:tcBorders>
              <w:bottom w:val="single" w:sz="8" w:color="00162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00162F"/>
            </w:tcBorders>
          </w:tcPr>
          <w:p>
            <w:pPr>
              <w:spacing w:after="0"/>
              <w:rPr>
                <w:sz w:val="18"/>
                <w:szCs w:val="18"/>
                <w:color w:val="auto"/>
              </w:rPr>
            </w:pPr>
          </w:p>
        </w:tc>
        <w:tc>
          <w:tcPr>
            <w:tcW w:w="1140" w:type="dxa"/>
            <w:vAlign w:val="bottom"/>
            <w:tcBorders>
              <w:bottom w:val="single" w:sz="8" w:color="00162F"/>
            </w:tcBorders>
          </w:tcPr>
          <w:p>
            <w:pPr>
              <w:jc w:val="right"/>
              <w:ind w:right="164"/>
              <w:spacing w:after="0"/>
              <w:rPr>
                <w:sz w:val="20"/>
                <w:szCs w:val="20"/>
                <w:color w:val="auto"/>
              </w:rPr>
            </w:pPr>
            <w:r>
              <w:rPr>
                <w:rFonts w:ascii="Arial" w:cs="Arial" w:eastAsia="Arial" w:hAnsi="Arial"/>
                <w:sz w:val="16"/>
                <w:szCs w:val="16"/>
                <w:b w:val="1"/>
                <w:bCs w:val="1"/>
                <w:color w:val="00162F"/>
              </w:rPr>
              <w:t>(Decrease)</w:t>
            </w:r>
          </w:p>
        </w:tc>
        <w:tc>
          <w:tcPr>
            <w:tcW w:w="80" w:type="dxa"/>
            <w:vAlign w:val="bottom"/>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1200" w:type="dxa"/>
            <w:vAlign w:val="bottom"/>
            <w:tcBorders>
              <w:bottom w:val="single" w:sz="8" w:color="00162F"/>
            </w:tcBorders>
          </w:tcPr>
          <w:p>
            <w:pPr>
              <w:jc w:val="center"/>
              <w:ind w:right="65"/>
              <w:spacing w:after="0"/>
              <w:rPr>
                <w:sz w:val="20"/>
                <w:szCs w:val="20"/>
                <w:color w:val="auto"/>
              </w:rPr>
            </w:pPr>
            <w:r>
              <w:rPr>
                <w:rFonts w:ascii="Arial" w:cs="Arial" w:eastAsia="Arial" w:hAnsi="Arial"/>
                <w:sz w:val="16"/>
                <w:szCs w:val="16"/>
                <w:b w:val="1"/>
                <w:bCs w:val="1"/>
                <w:color w:val="00162F"/>
                <w:w w:val="97"/>
              </w:rPr>
              <w:t>(Decrease)</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80" w:type="dxa"/>
            <w:vAlign w:val="bottom"/>
            <w:gridSpan w:val="9"/>
          </w:tcPr>
          <w:p>
            <w:pPr>
              <w:ind w:left="20"/>
              <w:spacing w:after="0"/>
              <w:rPr>
                <w:sz w:val="20"/>
                <w:szCs w:val="20"/>
                <w:color w:val="auto"/>
              </w:rPr>
            </w:pPr>
            <w:r>
              <w:rPr>
                <w:rFonts w:ascii="Arial" w:cs="Arial" w:eastAsia="Arial" w:hAnsi="Arial"/>
                <w:sz w:val="16"/>
                <w:szCs w:val="16"/>
                <w:b w:val="1"/>
                <w:bCs w:val="1"/>
                <w:color w:val="00162F"/>
              </w:rPr>
              <w:t>(In millions, except percentage changes)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5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Aircraft fuel and related taxes</w:t>
            </w:r>
          </w:p>
        </w:tc>
        <w:tc>
          <w:tcPr>
            <w:tcW w:w="300" w:type="dxa"/>
            <w:vAlign w:val="bottom"/>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10,718</w:t>
            </w:r>
          </w:p>
        </w:tc>
        <w:tc>
          <w:tcPr>
            <w:tcW w:w="460" w:type="dxa"/>
            <w:vAlign w:val="bottom"/>
            <w:gridSpan w:val="3"/>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11,418</w:t>
            </w:r>
          </w:p>
        </w:tc>
        <w:tc>
          <w:tcPr>
            <w:tcW w:w="3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(700)</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200" w:type="dxa"/>
            <w:vAlign w:val="bottom"/>
            <w:shd w:val="clear" w:color="auto" w:fill="EDEDED"/>
          </w:tcPr>
          <w:p>
            <w:pPr>
              <w:jc w:val="center"/>
              <w:ind w:right="45"/>
              <w:spacing w:after="0"/>
              <w:rPr>
                <w:sz w:val="20"/>
                <w:szCs w:val="20"/>
                <w:color w:val="auto"/>
              </w:rPr>
            </w:pPr>
            <w:r>
              <w:rPr>
                <w:rFonts w:ascii="Arial" w:cs="Arial" w:eastAsia="Arial" w:hAnsi="Arial"/>
                <w:sz w:val="20"/>
                <w:szCs w:val="20"/>
                <w:color w:val="00162F"/>
              </w:rPr>
              <w:t>(6.1)</w:t>
            </w:r>
          </w:p>
        </w:tc>
        <w:tc>
          <w:tcPr>
            <w:tcW w:w="0" w:type="dxa"/>
            <w:vAlign w:val="bottom"/>
          </w:tcPr>
          <w:p>
            <w:pPr>
              <w:spacing w:after="0"/>
              <w:rPr>
                <w:sz w:val="1"/>
                <w:szCs w:val="1"/>
                <w:color w:val="auto"/>
              </w:rPr>
            </w:pPr>
          </w:p>
        </w:tc>
      </w:tr>
      <w:tr>
        <w:trPr>
          <w:trHeight w:val="293"/>
        </w:trPr>
        <w:tc>
          <w:tcPr>
            <w:tcW w:w="5000" w:type="dxa"/>
            <w:vAlign w:val="bottom"/>
          </w:tcPr>
          <w:p>
            <w:pPr>
              <w:ind w:left="40"/>
              <w:spacing w:after="0"/>
              <w:rPr>
                <w:sz w:val="20"/>
                <w:szCs w:val="20"/>
                <w:color w:val="auto"/>
              </w:rPr>
            </w:pPr>
            <w:r>
              <w:rPr>
                <w:rFonts w:ascii="Arial" w:cs="Arial" w:eastAsia="Arial" w:hAnsi="Arial"/>
                <w:sz w:val="20"/>
                <w:szCs w:val="20"/>
                <w:color w:val="00162F"/>
              </w:rPr>
              <w:t>Salaries, wages and benefits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17,566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16,021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1,545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25"/>
              <w:spacing w:after="0"/>
              <w:rPr>
                <w:sz w:val="20"/>
                <w:szCs w:val="20"/>
                <w:color w:val="auto"/>
              </w:rPr>
            </w:pPr>
            <w:r>
              <w:rPr>
                <w:rFonts w:ascii="Arial" w:cs="Arial" w:eastAsia="Arial" w:hAnsi="Arial"/>
                <w:sz w:val="20"/>
                <w:szCs w:val="20"/>
                <w:color w:val="00162F"/>
              </w:rPr>
              <w:t>9.6</w:t>
            </w:r>
          </w:p>
        </w:tc>
        <w:tc>
          <w:tcPr>
            <w:tcW w:w="0" w:type="dxa"/>
            <w:vAlign w:val="bottom"/>
          </w:tcPr>
          <w:p>
            <w:pPr>
              <w:spacing w:after="0"/>
              <w:rPr>
                <w:sz w:val="1"/>
                <w:szCs w:val="1"/>
                <w:color w:val="auto"/>
              </w:rPr>
            </w:pPr>
          </w:p>
        </w:tc>
      </w:tr>
      <w:tr>
        <w:trPr>
          <w:trHeight w:val="301"/>
        </w:trPr>
        <w:tc>
          <w:tcPr>
            <w:tcW w:w="5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Regional expenses</w:t>
            </w:r>
          </w:p>
        </w:tc>
        <w:tc>
          <w:tcPr>
            <w:tcW w:w="30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5,448</w:t>
            </w:r>
          </w:p>
        </w:tc>
        <w:tc>
          <w:tcPr>
            <w:tcW w:w="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5,042</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406</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200" w:type="dxa"/>
            <w:vAlign w:val="bottom"/>
            <w:shd w:val="clear" w:color="auto" w:fill="EDEDED"/>
          </w:tcPr>
          <w:p>
            <w:pPr>
              <w:jc w:val="center"/>
              <w:ind w:right="25"/>
              <w:spacing w:after="0"/>
              <w:rPr>
                <w:sz w:val="20"/>
                <w:szCs w:val="20"/>
                <w:color w:val="auto"/>
              </w:rPr>
            </w:pPr>
            <w:r>
              <w:rPr>
                <w:rFonts w:ascii="Arial" w:cs="Arial" w:eastAsia="Arial" w:hAnsi="Arial"/>
                <w:sz w:val="20"/>
                <w:szCs w:val="20"/>
                <w:color w:val="00162F"/>
              </w:rPr>
              <w:t>8.1</w:t>
            </w:r>
          </w:p>
        </w:tc>
        <w:tc>
          <w:tcPr>
            <w:tcW w:w="0" w:type="dxa"/>
            <w:vAlign w:val="bottom"/>
          </w:tcPr>
          <w:p>
            <w:pPr>
              <w:spacing w:after="0"/>
              <w:rPr>
                <w:sz w:val="1"/>
                <w:szCs w:val="1"/>
                <w:color w:val="auto"/>
              </w:rPr>
            </w:pPr>
          </w:p>
        </w:tc>
      </w:tr>
      <w:tr>
        <w:trPr>
          <w:trHeight w:val="293"/>
        </w:trPr>
        <w:tc>
          <w:tcPr>
            <w:tcW w:w="5000" w:type="dxa"/>
            <w:vAlign w:val="bottom"/>
          </w:tcPr>
          <w:p>
            <w:pPr>
              <w:ind w:left="40"/>
              <w:spacing w:after="0"/>
              <w:rPr>
                <w:sz w:val="20"/>
                <w:szCs w:val="20"/>
                <w:color w:val="auto"/>
              </w:rPr>
            </w:pPr>
            <w:r>
              <w:rPr>
                <w:rFonts w:ascii="Arial" w:cs="Arial" w:eastAsia="Arial" w:hAnsi="Arial"/>
                <w:sz w:val="20"/>
                <w:szCs w:val="20"/>
                <w:color w:val="00162F"/>
              </w:rPr>
              <w:t>Maintenance, materials and repairs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3,844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3,794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25"/>
              <w:spacing w:after="0"/>
              <w:rPr>
                <w:sz w:val="20"/>
                <w:szCs w:val="20"/>
                <w:color w:val="auto"/>
              </w:rPr>
            </w:pPr>
            <w:r>
              <w:rPr>
                <w:rFonts w:ascii="Arial" w:cs="Arial" w:eastAsia="Arial" w:hAnsi="Arial"/>
                <w:sz w:val="20"/>
                <w:szCs w:val="20"/>
                <w:color w:val="00162F"/>
              </w:rPr>
              <w:t>1.3</w:t>
            </w:r>
          </w:p>
        </w:tc>
        <w:tc>
          <w:tcPr>
            <w:tcW w:w="0" w:type="dxa"/>
            <w:vAlign w:val="bottom"/>
          </w:tcPr>
          <w:p>
            <w:pPr>
              <w:spacing w:after="0"/>
              <w:rPr>
                <w:sz w:val="1"/>
                <w:szCs w:val="1"/>
                <w:color w:val="auto"/>
              </w:rPr>
            </w:pPr>
          </w:p>
        </w:tc>
      </w:tr>
      <w:tr>
        <w:trPr>
          <w:trHeight w:val="301"/>
        </w:trPr>
        <w:tc>
          <w:tcPr>
            <w:tcW w:w="5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Other rent and landing fees</w:t>
            </w:r>
          </w:p>
        </w:tc>
        <w:tc>
          <w:tcPr>
            <w:tcW w:w="30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3,476</w:t>
            </w:r>
          </w:p>
        </w:tc>
        <w:tc>
          <w:tcPr>
            <w:tcW w:w="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3,303</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173</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200" w:type="dxa"/>
            <w:vAlign w:val="bottom"/>
            <w:shd w:val="clear" w:color="auto" w:fill="EDEDED"/>
          </w:tcPr>
          <w:p>
            <w:pPr>
              <w:jc w:val="center"/>
              <w:ind w:right="25"/>
              <w:spacing w:after="0"/>
              <w:rPr>
                <w:sz w:val="20"/>
                <w:szCs w:val="20"/>
                <w:color w:val="auto"/>
              </w:rPr>
            </w:pPr>
            <w:r>
              <w:rPr>
                <w:rFonts w:ascii="Arial" w:cs="Arial" w:eastAsia="Arial" w:hAnsi="Arial"/>
                <w:sz w:val="20"/>
                <w:szCs w:val="20"/>
                <w:color w:val="00162F"/>
              </w:rPr>
              <w:t>5.2</w:t>
            </w:r>
          </w:p>
        </w:tc>
        <w:tc>
          <w:tcPr>
            <w:tcW w:w="0" w:type="dxa"/>
            <w:vAlign w:val="bottom"/>
          </w:tcPr>
          <w:p>
            <w:pPr>
              <w:spacing w:after="0"/>
              <w:rPr>
                <w:sz w:val="1"/>
                <w:szCs w:val="1"/>
                <w:color w:val="auto"/>
              </w:rPr>
            </w:pPr>
          </w:p>
        </w:tc>
      </w:tr>
      <w:tr>
        <w:trPr>
          <w:trHeight w:val="293"/>
        </w:trPr>
        <w:tc>
          <w:tcPr>
            <w:tcW w:w="5000" w:type="dxa"/>
            <w:vAlign w:val="bottom"/>
          </w:tcPr>
          <w:p>
            <w:pPr>
              <w:ind w:left="40"/>
              <w:spacing w:after="0"/>
              <w:rPr>
                <w:sz w:val="20"/>
                <w:szCs w:val="20"/>
                <w:color w:val="auto"/>
              </w:rPr>
            </w:pPr>
            <w:r>
              <w:rPr>
                <w:rFonts w:ascii="Arial" w:cs="Arial" w:eastAsia="Arial" w:hAnsi="Arial"/>
                <w:sz w:val="20"/>
                <w:szCs w:val="20"/>
                <w:color w:val="00162F"/>
              </w:rPr>
              <w:t>Aircraft rent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1,220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1,242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45"/>
              <w:spacing w:after="0"/>
              <w:rPr>
                <w:sz w:val="20"/>
                <w:szCs w:val="20"/>
                <w:color w:val="auto"/>
              </w:rPr>
            </w:pPr>
            <w:r>
              <w:rPr>
                <w:rFonts w:ascii="Arial" w:cs="Arial" w:eastAsia="Arial" w:hAnsi="Arial"/>
                <w:sz w:val="20"/>
                <w:szCs w:val="20"/>
                <w:color w:val="00162F"/>
              </w:rPr>
              <w:t>(1.8)</w:t>
            </w:r>
          </w:p>
        </w:tc>
        <w:tc>
          <w:tcPr>
            <w:tcW w:w="0" w:type="dxa"/>
            <w:vAlign w:val="bottom"/>
          </w:tcPr>
          <w:p>
            <w:pPr>
              <w:spacing w:after="0"/>
              <w:rPr>
                <w:sz w:val="1"/>
                <w:szCs w:val="1"/>
                <w:color w:val="auto"/>
              </w:rPr>
            </w:pPr>
          </w:p>
        </w:tc>
      </w:tr>
      <w:tr>
        <w:trPr>
          <w:trHeight w:val="301"/>
        </w:trPr>
        <w:tc>
          <w:tcPr>
            <w:tcW w:w="5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Selling expenses</w:t>
            </w:r>
          </w:p>
        </w:tc>
        <w:tc>
          <w:tcPr>
            <w:tcW w:w="30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1,997</w:t>
            </w:r>
          </w:p>
        </w:tc>
        <w:tc>
          <w:tcPr>
            <w:tcW w:w="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1,812</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185</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200" w:type="dxa"/>
            <w:vAlign w:val="bottom"/>
            <w:shd w:val="clear" w:color="auto" w:fill="EDEDED"/>
          </w:tcPr>
          <w:p>
            <w:pPr>
              <w:jc w:val="center"/>
              <w:ind w:right="45"/>
              <w:spacing w:after="0"/>
              <w:rPr>
                <w:sz w:val="20"/>
                <w:szCs w:val="20"/>
                <w:color w:val="auto"/>
              </w:rPr>
            </w:pPr>
            <w:r>
              <w:rPr>
                <w:rFonts w:ascii="Arial" w:cs="Arial" w:eastAsia="Arial" w:hAnsi="Arial"/>
                <w:sz w:val="20"/>
                <w:szCs w:val="20"/>
                <w:color w:val="00162F"/>
                <w:w w:val="97"/>
              </w:rPr>
              <w:t>10.2</w:t>
            </w:r>
          </w:p>
        </w:tc>
        <w:tc>
          <w:tcPr>
            <w:tcW w:w="0" w:type="dxa"/>
            <w:vAlign w:val="bottom"/>
          </w:tcPr>
          <w:p>
            <w:pPr>
              <w:spacing w:after="0"/>
              <w:rPr>
                <w:sz w:val="1"/>
                <w:szCs w:val="1"/>
                <w:color w:val="auto"/>
              </w:rPr>
            </w:pPr>
          </w:p>
        </w:tc>
      </w:tr>
      <w:tr>
        <w:trPr>
          <w:trHeight w:val="293"/>
        </w:trPr>
        <w:tc>
          <w:tcPr>
            <w:tcW w:w="5000" w:type="dxa"/>
            <w:vAlign w:val="bottom"/>
          </w:tcPr>
          <w:p>
            <w:pPr>
              <w:ind w:left="40"/>
              <w:spacing w:after="0"/>
              <w:rPr>
                <w:sz w:val="20"/>
                <w:szCs w:val="20"/>
                <w:color w:val="auto"/>
              </w:rPr>
            </w:pPr>
            <w:r>
              <w:rPr>
                <w:rFonts w:ascii="Arial" w:cs="Arial" w:eastAsia="Arial" w:hAnsi="Arial"/>
                <w:sz w:val="20"/>
                <w:szCs w:val="20"/>
                <w:color w:val="00162F"/>
              </w:rPr>
              <w:t>Depreciation and amortization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1,890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1,926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(36)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45"/>
              <w:spacing w:after="0"/>
              <w:rPr>
                <w:sz w:val="20"/>
                <w:szCs w:val="20"/>
                <w:color w:val="auto"/>
              </w:rPr>
            </w:pPr>
            <w:r>
              <w:rPr>
                <w:rFonts w:ascii="Arial" w:cs="Arial" w:eastAsia="Arial" w:hAnsi="Arial"/>
                <w:sz w:val="20"/>
                <w:szCs w:val="20"/>
                <w:color w:val="00162F"/>
              </w:rPr>
              <w:t>(1.9)</w:t>
            </w:r>
          </w:p>
        </w:tc>
        <w:tc>
          <w:tcPr>
            <w:tcW w:w="0" w:type="dxa"/>
            <w:vAlign w:val="bottom"/>
          </w:tcPr>
          <w:p>
            <w:pPr>
              <w:spacing w:after="0"/>
              <w:rPr>
                <w:sz w:val="1"/>
                <w:szCs w:val="1"/>
                <w:color w:val="auto"/>
              </w:rPr>
            </w:pPr>
          </w:p>
        </w:tc>
      </w:tr>
      <w:tr>
        <w:trPr>
          <w:trHeight w:val="301"/>
        </w:trPr>
        <w:tc>
          <w:tcPr>
            <w:tcW w:w="5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Mainline operating special items, net</w:t>
            </w:r>
          </w:p>
        </w:tc>
        <w:tc>
          <w:tcPr>
            <w:tcW w:w="30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159</w:t>
            </w:r>
          </w:p>
        </w:tc>
        <w:tc>
          <w:tcPr>
            <w:tcW w:w="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610</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(451)</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200" w:type="dxa"/>
            <w:vAlign w:val="bottom"/>
            <w:shd w:val="clear" w:color="auto" w:fill="EDEDED"/>
          </w:tcPr>
          <w:p>
            <w:pPr>
              <w:jc w:val="center"/>
              <w:ind w:right="25"/>
              <w:spacing w:after="0"/>
              <w:rPr>
                <w:sz w:val="20"/>
                <w:szCs w:val="20"/>
                <w:color w:val="auto"/>
              </w:rPr>
            </w:pPr>
            <w:r>
              <w:rPr>
                <w:rFonts w:ascii="Arial" w:cs="Arial" w:eastAsia="Arial" w:hAnsi="Arial"/>
                <w:sz w:val="20"/>
                <w:szCs w:val="20"/>
                <w:color w:val="00162F"/>
                <w:w w:val="99"/>
              </w:rPr>
              <w:t>(73.9)</w:t>
            </w:r>
          </w:p>
        </w:tc>
        <w:tc>
          <w:tcPr>
            <w:tcW w:w="0" w:type="dxa"/>
            <w:vAlign w:val="bottom"/>
          </w:tcPr>
          <w:p>
            <w:pPr>
              <w:spacing w:after="0"/>
              <w:rPr>
                <w:sz w:val="1"/>
                <w:szCs w:val="1"/>
                <w:color w:val="auto"/>
              </w:rPr>
            </w:pPr>
          </w:p>
        </w:tc>
      </w:tr>
      <w:tr>
        <w:trPr>
          <w:trHeight w:val="287"/>
        </w:trPr>
        <w:tc>
          <w:tcPr>
            <w:tcW w:w="500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Other</w:t>
            </w:r>
          </w:p>
        </w:tc>
        <w:tc>
          <w:tcPr>
            <w:tcW w:w="30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6,848</w:t>
            </w:r>
          </w:p>
        </w:tc>
        <w:tc>
          <w:tcPr>
            <w:tcW w:w="60" w:type="dxa"/>
            <w:vAlign w:val="bottom"/>
            <w:tcBorders>
              <w:bottom w:val="single" w:sz="8" w:color="00162F"/>
            </w:tcBorders>
          </w:tcPr>
          <w:p>
            <w:pPr>
              <w:spacing w:after="0"/>
              <w:rPr>
                <w:sz w:val="24"/>
                <w:szCs w:val="24"/>
                <w:color w:val="auto"/>
              </w:rPr>
            </w:pPr>
          </w:p>
        </w:tc>
        <w:tc>
          <w:tcPr>
            <w:tcW w:w="80" w:type="dxa"/>
            <w:vAlign w:val="bottom"/>
            <w:tcBorders>
              <w:bottom w:val="single" w:sz="8" w:color="EDEDED"/>
            </w:tcBorders>
          </w:tcPr>
          <w:p>
            <w:pPr>
              <w:spacing w:after="0"/>
              <w:rPr>
                <w:sz w:val="24"/>
                <w:szCs w:val="24"/>
                <w:color w:val="auto"/>
              </w:rPr>
            </w:pPr>
          </w:p>
        </w:tc>
        <w:tc>
          <w:tcPr>
            <w:tcW w:w="320" w:type="dxa"/>
            <w:vAlign w:val="bottom"/>
            <w:tcBorders>
              <w:bottom w:val="single" w:sz="8" w:color="00162F"/>
            </w:tcBorders>
          </w:tcPr>
          <w:p>
            <w:pPr>
              <w:spacing w:after="0"/>
              <w:rPr>
                <w:sz w:val="24"/>
                <w:szCs w:val="24"/>
                <w:color w:val="auto"/>
              </w:rPr>
            </w:pPr>
          </w:p>
        </w:tc>
        <w:tc>
          <w:tcPr>
            <w:tcW w:w="10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6,429</w:t>
            </w:r>
          </w:p>
        </w:tc>
        <w:tc>
          <w:tcPr>
            <w:tcW w:w="80" w:type="dxa"/>
            <w:vAlign w:val="bottom"/>
            <w:tcBorders>
              <w:bottom w:val="single" w:sz="8" w:color="EDEDED"/>
            </w:tcBorders>
          </w:tcPr>
          <w:p>
            <w:pPr>
              <w:spacing w:after="0"/>
              <w:rPr>
                <w:sz w:val="24"/>
                <w:szCs w:val="24"/>
                <w:color w:val="auto"/>
              </w:rPr>
            </w:pPr>
          </w:p>
        </w:tc>
        <w:tc>
          <w:tcPr>
            <w:tcW w:w="220" w:type="dxa"/>
            <w:vAlign w:val="bottom"/>
            <w:tcBorders>
              <w:bottom w:val="single" w:sz="8" w:color="00162F"/>
            </w:tcBorders>
          </w:tcPr>
          <w:p>
            <w:pPr>
              <w:spacing w:after="0"/>
              <w:rPr>
                <w:sz w:val="24"/>
                <w:szCs w:val="24"/>
                <w:color w:val="auto"/>
              </w:rPr>
            </w:pPr>
          </w:p>
        </w:tc>
        <w:tc>
          <w:tcPr>
            <w:tcW w:w="11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419</w:t>
            </w:r>
          </w:p>
        </w:tc>
        <w:tc>
          <w:tcPr>
            <w:tcW w:w="80" w:type="dxa"/>
            <w:vAlign w:val="bottom"/>
            <w:tcBorders>
              <w:bottom w:val="single" w:sz="8" w:color="EDEDED"/>
            </w:tcBorders>
          </w:tcPr>
          <w:p>
            <w:pPr>
              <w:spacing w:after="0"/>
              <w:rPr>
                <w:sz w:val="24"/>
                <w:szCs w:val="24"/>
                <w:color w:val="auto"/>
              </w:rPr>
            </w:pPr>
          </w:p>
        </w:tc>
        <w:tc>
          <w:tcPr>
            <w:tcW w:w="180" w:type="dxa"/>
            <w:vAlign w:val="bottom"/>
            <w:tcBorders>
              <w:bottom w:val="single" w:sz="8" w:color="EDEDED"/>
            </w:tcBorders>
          </w:tcPr>
          <w:p>
            <w:pPr>
              <w:spacing w:after="0"/>
              <w:rPr>
                <w:sz w:val="24"/>
                <w:szCs w:val="24"/>
                <w:color w:val="auto"/>
              </w:rPr>
            </w:pPr>
          </w:p>
        </w:tc>
        <w:tc>
          <w:tcPr>
            <w:tcW w:w="1200" w:type="dxa"/>
            <w:vAlign w:val="bottom"/>
            <w:tcBorders>
              <w:bottom w:val="single" w:sz="8" w:color="EDEDED"/>
            </w:tcBorders>
          </w:tcPr>
          <w:p>
            <w:pPr>
              <w:jc w:val="center"/>
              <w:ind w:right="25"/>
              <w:spacing w:after="0"/>
              <w:rPr>
                <w:sz w:val="20"/>
                <w:szCs w:val="20"/>
                <w:color w:val="auto"/>
              </w:rPr>
            </w:pPr>
            <w:r>
              <w:rPr>
                <w:rFonts w:ascii="Arial" w:cs="Arial" w:eastAsia="Arial" w:hAnsi="Arial"/>
                <w:sz w:val="20"/>
                <w:szCs w:val="20"/>
                <w:color w:val="00162F"/>
              </w:rPr>
              <w:t>6.5</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Total operating expenses</w:t>
            </w:r>
          </w:p>
        </w:tc>
        <w:tc>
          <w:tcPr>
            <w:tcW w:w="300" w:type="dxa"/>
            <w:vAlign w:val="bottom"/>
            <w:tcBorders>
              <w:bottom w:val="single" w:sz="8" w:color="00162F"/>
            </w:tcBorders>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10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53,166</w:t>
            </w:r>
          </w:p>
        </w:tc>
        <w:tc>
          <w:tcPr>
            <w:tcW w:w="60" w:type="dxa"/>
            <w:vAlign w:val="bottom"/>
            <w:tcBorders>
              <w:bottom w:val="single" w:sz="8" w:color="00162F"/>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51,597</w:t>
            </w:r>
          </w:p>
        </w:tc>
        <w:tc>
          <w:tcPr>
            <w:tcW w:w="8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1,569</w:t>
            </w:r>
          </w:p>
        </w:tc>
        <w:tc>
          <w:tcPr>
            <w:tcW w:w="8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EDEDED"/>
            </w:tcBorders>
            <w:shd w:val="clear" w:color="auto" w:fill="EDEDED"/>
          </w:tcPr>
          <w:p>
            <w:pPr>
              <w:spacing w:after="0"/>
              <w:rPr>
                <w:sz w:val="24"/>
                <w:szCs w:val="24"/>
                <w:color w:val="auto"/>
              </w:rPr>
            </w:pPr>
          </w:p>
        </w:tc>
        <w:tc>
          <w:tcPr>
            <w:tcW w:w="1200" w:type="dxa"/>
            <w:vAlign w:val="bottom"/>
            <w:tcBorders>
              <w:bottom w:val="single" w:sz="8" w:color="EDEDED"/>
            </w:tcBorders>
            <w:shd w:val="clear" w:color="auto" w:fill="EDEDED"/>
          </w:tcPr>
          <w:p>
            <w:pPr>
              <w:jc w:val="center"/>
              <w:ind w:right="25"/>
              <w:spacing w:after="0"/>
              <w:rPr>
                <w:sz w:val="20"/>
                <w:szCs w:val="20"/>
                <w:color w:val="auto"/>
              </w:rPr>
            </w:pPr>
            <w:r>
              <w:rPr>
                <w:rFonts w:ascii="Arial" w:cs="Arial" w:eastAsia="Arial" w:hAnsi="Arial"/>
                <w:sz w:val="20"/>
                <w:szCs w:val="20"/>
                <w:color w:val="00162F"/>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-219710</wp:posOffset>
            </wp:positionV>
            <wp:extent cx="27127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2712720" cy="2540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-43815</wp:posOffset>
            </wp:positionV>
            <wp:extent cx="271272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2712720" cy="50800"/>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Aircraft fuel and related taxes decreased $700 million, or 6.1%, in 2025 from 2024 primarily due to an 8.2% decrease in the average price per gallon of aircraft fuel including related taxes to $2.39 in 2025 from $2.60 in 2024, offset in part by a 2.2% increase in gallons of fuel consumed due to increased capacity.</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Salaries, wages and benefits increased $1.5 billion, or 9.6%, in 2025 from 2024 primarily due to contractual wage rate increases and higher costs for benefit-related items associated with newly ratified and extended labor agreements reached in 2024, as well as annual contractual wage rate increases in our other labor agreements.</w:t>
      </w:r>
    </w:p>
    <w:p>
      <w:pPr>
        <w:spacing w:after="0" w:line="12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Regional expenses increased $406 million, or 8.1%, in 2025 from 2024 primarily due to an increase in regional flight operations as regional capacity, as measured by ASMs, increased 10.3% year over year. Higher maintenance, materials and repair costs driven by an increase in the volume of airframe heavy checks and cost of materials also contributed to the increase in regional expenses.</w:t>
      </w:r>
    </w:p>
    <w:p>
      <w:pPr>
        <w:spacing w:after="0" w:line="136"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Maintenance, materials and repairs increased $50 million, or 1.3%, in 2025 from 2024 primarily due to increased costs for airframe heavy checks and component part repairs driven by higher volume, offset in part by a decrease in the volume of engine overhauls.</w:t>
      </w:r>
    </w:p>
    <w:p>
      <w:pPr>
        <w:spacing w:after="0" w:line="129"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Other rent and landing fees increased $173 million, or 5.2%, in 2025 from 2024 primarily due to rate increases at certain airports, offset in part by a decrease in leased engines.</w:t>
      </w:r>
    </w:p>
    <w:p>
      <w:pPr>
        <w:sectPr>
          <w:pgSz w:w="11880" w:h="15480" w:orient="portrait"/>
          <w:cols w:equalWidth="0" w:num="1">
            <w:col w:w="10680"/>
          </w:cols>
          <w:pgMar w:left="600" w:top="992" w:right="600"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66</w:t>
      </w:r>
    </w:p>
    <w:p>
      <w:pPr>
        <w:sectPr>
          <w:pgSz w:w="11880" w:h="15480" w:orient="portrait"/>
          <w:cols w:equalWidth="0" w:num="1">
            <w:col w:w="10680"/>
          </w:cols>
          <w:pgMar w:left="600" w:top="992" w:right="600" w:bottom="0" w:gutter="0" w:footer="0" w:header="0"/>
          <w:type w:val="continuous"/>
        </w:sectPr>
      </w:pPr>
    </w:p>
    <w:bookmarkStart w:id="67" w:name="page68"/>
    <w:bookmarkEnd w:id="67"/>
    <w:p>
      <w:pPr>
        <w:jc w:val="both"/>
        <w:ind w:left="5" w:firstLine="267"/>
        <w:spacing w:after="0" w:line="265" w:lineRule="auto"/>
        <w:rPr>
          <w:sz w:val="20"/>
          <w:szCs w:val="20"/>
          <w:color w:val="auto"/>
        </w:rPr>
      </w:pPr>
      <w:r>
        <w:rPr>
          <w:rFonts w:ascii="Arial" w:cs="Arial" w:eastAsia="Arial" w:hAnsi="Arial"/>
          <w:sz w:val="20"/>
          <w:szCs w:val="20"/>
          <w:color w:val="00162F"/>
        </w:rPr>
        <w:t>Selling expenses increased $185 million, or 10.2%, in 2025 from 2024 primarily due to an increase in commissions expense, driven by higher costs resulting from renegotiated agency contracts, as well as an increase in advertising expenses. Higher credit card fees driven by higher rates also contributed to the increase in selling expenses.</w:t>
      </w:r>
    </w:p>
    <w:p>
      <w:pPr>
        <w:spacing w:after="0" w:line="129"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Other operating expenses increased $419 million, or 6.5%, in 2025 from 2024 primarily driven by increased costs for crew travel, onboard food and catering, ground and cargo handling, and airport lounge operations, as well as certain general and administrative expenses.</w:t>
      </w:r>
    </w:p>
    <w:p>
      <w:pPr>
        <w:spacing w:after="0" w:line="219"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Operating Special Items, Net</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880" w:type="dxa"/>
            <w:vAlign w:val="bottom"/>
            <w:tcBorders>
              <w:bottom w:val="single" w:sz="8" w:color="00162F"/>
            </w:tcBorders>
            <w:gridSpan w:val="4"/>
          </w:tcPr>
          <w:p>
            <w:pPr>
              <w:jc w:val="right"/>
              <w:ind w:right="121"/>
              <w:spacing w:after="0"/>
              <w:rPr>
                <w:sz w:val="20"/>
                <w:szCs w:val="20"/>
                <w:color w:val="auto"/>
              </w:rPr>
            </w:pPr>
            <w:r>
              <w:rPr>
                <w:rFonts w:ascii="Arial" w:cs="Arial" w:eastAsia="Arial" w:hAnsi="Arial"/>
                <w:sz w:val="16"/>
                <w:szCs w:val="16"/>
                <w:b w:val="1"/>
                <w:bCs w:val="1"/>
                <w:color w:val="00162F"/>
              </w:rPr>
              <w:t>Year Ended December 31,</w:t>
            </w:r>
          </w:p>
        </w:tc>
        <w:tc>
          <w:tcPr>
            <w:tcW w:w="540" w:type="dxa"/>
            <w:vAlign w:val="bottom"/>
            <w:tcBorders>
              <w:bottom w:val="single" w:sz="8" w:color="00162F"/>
            </w:tcBorders>
          </w:tcPr>
          <w:p>
            <w:pPr>
              <w:spacing w:after="0"/>
              <w:rPr>
                <w:sz w:val="18"/>
                <w:szCs w:val="18"/>
                <w:color w:val="auto"/>
              </w:rPr>
            </w:pPr>
          </w:p>
        </w:tc>
      </w:tr>
      <w:tr>
        <w:trPr>
          <w:trHeight w:val="218"/>
        </w:trPr>
        <w:tc>
          <w:tcPr>
            <w:tcW w:w="19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40" w:type="dxa"/>
            <w:vAlign w:val="bottom"/>
            <w:tcBorders>
              <w:bottom w:val="single" w:sz="8" w:color="00162F"/>
            </w:tcBorders>
          </w:tcPr>
          <w:p>
            <w:pPr>
              <w:jc w:val="right"/>
              <w:ind w:right="51"/>
              <w:spacing w:after="0"/>
              <w:rPr>
                <w:sz w:val="20"/>
                <w:szCs w:val="20"/>
                <w:color w:val="auto"/>
              </w:rPr>
            </w:pPr>
            <w:r>
              <w:rPr>
                <w:rFonts w:ascii="Arial" w:cs="Arial" w:eastAsia="Arial" w:hAnsi="Arial"/>
                <w:sz w:val="16"/>
                <w:szCs w:val="16"/>
                <w:b w:val="1"/>
                <w:bCs w:val="1"/>
                <w:color w:val="00162F"/>
              </w:rPr>
              <w:t>2025</w:t>
            </w:r>
          </w:p>
        </w:tc>
        <w:tc>
          <w:tcPr>
            <w:tcW w:w="540" w:type="dxa"/>
            <w:vAlign w:val="bottom"/>
            <w:tcBorders>
              <w:bottom w:val="single" w:sz="8" w:color="00162F"/>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00162F"/>
            </w:tcBorders>
          </w:tcPr>
          <w:p>
            <w:pPr>
              <w:jc w:val="right"/>
              <w:ind w:right="41"/>
              <w:spacing w:after="0"/>
              <w:rPr>
                <w:sz w:val="20"/>
                <w:szCs w:val="20"/>
                <w:color w:val="auto"/>
              </w:rPr>
            </w:pPr>
            <w:r>
              <w:rPr>
                <w:rFonts w:ascii="Arial" w:cs="Arial" w:eastAsia="Arial" w:hAnsi="Arial"/>
                <w:sz w:val="16"/>
                <w:szCs w:val="16"/>
                <w:b w:val="1"/>
                <w:bCs w:val="1"/>
                <w:color w:val="00162F"/>
              </w:rPr>
              <w:t>2024</w:t>
            </w:r>
          </w:p>
        </w:tc>
        <w:tc>
          <w:tcPr>
            <w:tcW w:w="540" w:type="dxa"/>
            <w:vAlign w:val="bottom"/>
            <w:tcBorders>
              <w:bottom w:val="single" w:sz="8" w:color="00162F"/>
            </w:tcBorders>
          </w:tcPr>
          <w:p>
            <w:pPr>
              <w:spacing w:after="0"/>
              <w:rPr>
                <w:sz w:val="18"/>
                <w:szCs w:val="18"/>
                <w:color w:val="auto"/>
              </w:rPr>
            </w:pPr>
          </w:p>
        </w:tc>
      </w:tr>
      <w:tr>
        <w:trPr>
          <w:trHeight w:val="225"/>
        </w:trPr>
        <w:tc>
          <w:tcPr>
            <w:tcW w:w="196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gridSpan w:val="3"/>
          </w:tcPr>
          <w:p>
            <w:pPr>
              <w:jc w:val="right"/>
              <w:ind w:right="641"/>
              <w:spacing w:after="0"/>
              <w:rPr>
                <w:sz w:val="20"/>
                <w:szCs w:val="20"/>
                <w:color w:val="auto"/>
              </w:rPr>
            </w:pPr>
            <w:r>
              <w:rPr>
                <w:rFonts w:ascii="Arial" w:cs="Arial" w:eastAsia="Arial" w:hAnsi="Arial"/>
                <w:sz w:val="16"/>
                <w:szCs w:val="16"/>
                <w:b w:val="1"/>
                <w:bCs w:val="1"/>
                <w:color w:val="00162F"/>
              </w:rPr>
              <w:t>(In millions)</w:t>
            </w:r>
          </w:p>
        </w:tc>
        <w:tc>
          <w:tcPr>
            <w:tcW w:w="540" w:type="dxa"/>
            <w:vAlign w:val="bottom"/>
          </w:tcPr>
          <w:p>
            <w:pPr>
              <w:spacing w:after="0"/>
              <w:rPr>
                <w:sz w:val="19"/>
                <w:szCs w:val="19"/>
                <w:color w:val="auto"/>
              </w:rPr>
            </w:pPr>
          </w:p>
        </w:tc>
      </w:tr>
      <w:tr>
        <w:trPr>
          <w:trHeight w:val="299"/>
        </w:trPr>
        <w:tc>
          <w:tcPr>
            <w:tcW w:w="726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Litigation reserve adjustments</w:t>
            </w:r>
          </w:p>
        </w:tc>
        <w:tc>
          <w:tcPr>
            <w:tcW w:w="1140" w:type="dxa"/>
            <w:vAlign w:val="bottom"/>
            <w:shd w:val="clear" w:color="auto" w:fill="EDEDED"/>
          </w:tcPr>
          <w:p>
            <w:pPr>
              <w:jc w:val="right"/>
              <w:ind w:right="891"/>
              <w:spacing w:after="0"/>
              <w:rPr>
                <w:sz w:val="20"/>
                <w:szCs w:val="20"/>
                <w:color w:val="auto"/>
              </w:rPr>
            </w:pPr>
            <w:r>
              <w:rPr>
                <w:rFonts w:ascii="Arial" w:cs="Arial" w:eastAsia="Arial" w:hAnsi="Arial"/>
                <w:sz w:val="20"/>
                <w:szCs w:val="20"/>
                <w:color w:val="00162F"/>
              </w:rPr>
              <w:t>$</w:t>
            </w:r>
          </w:p>
        </w:tc>
        <w:tc>
          <w:tcPr>
            <w:tcW w:w="5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77</w:t>
            </w:r>
          </w:p>
        </w:tc>
        <w:tc>
          <w:tcPr>
            <w:tcW w:w="1200" w:type="dxa"/>
            <w:vAlign w:val="bottom"/>
            <w:gridSpan w:val="2"/>
            <w:shd w:val="clear" w:color="auto" w:fill="EDEDED"/>
          </w:tcPr>
          <w:p>
            <w:pPr>
              <w:jc w:val="right"/>
              <w:ind w:right="901"/>
              <w:spacing w:after="0"/>
              <w:rPr>
                <w:sz w:val="20"/>
                <w:szCs w:val="20"/>
                <w:color w:val="auto"/>
              </w:rPr>
            </w:pPr>
            <w:r>
              <w:rPr>
                <w:rFonts w:ascii="Arial" w:cs="Arial" w:eastAsia="Arial" w:hAnsi="Arial"/>
                <w:sz w:val="20"/>
                <w:szCs w:val="20"/>
                <w:color w:val="00162F"/>
              </w:rPr>
              <w:t>$</w:t>
            </w:r>
          </w:p>
        </w:tc>
        <w:tc>
          <w:tcPr>
            <w:tcW w:w="5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93"/>
        </w:trPr>
        <w:tc>
          <w:tcPr>
            <w:tcW w:w="7260" w:type="dxa"/>
            <w:vAlign w:val="bottom"/>
            <w:gridSpan w:val="2"/>
          </w:tcPr>
          <w:p>
            <w:pPr>
              <w:ind w:left="40"/>
              <w:spacing w:after="0"/>
              <w:rPr>
                <w:sz w:val="20"/>
                <w:szCs w:val="20"/>
                <w:color w:val="auto"/>
              </w:rPr>
            </w:pPr>
            <w:r>
              <w:rPr>
                <w:rFonts w:ascii="Arial" w:cs="Arial" w:eastAsia="Arial" w:hAnsi="Arial"/>
                <w:sz w:val="20"/>
                <w:szCs w:val="20"/>
                <w:color w:val="00162F"/>
              </w:rPr>
              <w:t xml:space="preserve">Labor contract expenses </w:t>
            </w:r>
            <w:r>
              <w:rPr>
                <w:rFonts w:ascii="Arial" w:cs="Arial" w:eastAsia="Arial" w:hAnsi="Arial"/>
                <w:sz w:val="12"/>
                <w:szCs w:val="12"/>
                <w:color w:val="00162F"/>
              </w:rPr>
              <w:t>(1)</w:t>
            </w: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31</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605</w:t>
            </w:r>
          </w:p>
        </w:tc>
      </w:tr>
      <w:tr>
        <w:trPr>
          <w:trHeight w:val="301"/>
        </w:trPr>
        <w:tc>
          <w:tcPr>
            <w:tcW w:w="726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Severance expenses</w:t>
            </w:r>
          </w:p>
        </w:tc>
        <w:tc>
          <w:tcPr>
            <w:tcW w:w="1140" w:type="dxa"/>
            <w:vAlign w:val="bottom"/>
            <w:shd w:val="clear" w:color="auto" w:fill="EDEDED"/>
          </w:tcPr>
          <w:p>
            <w:pPr>
              <w:spacing w:after="0"/>
              <w:rPr>
                <w:sz w:val="24"/>
                <w:szCs w:val="24"/>
                <w:color w:val="auto"/>
              </w:rPr>
            </w:pPr>
          </w:p>
        </w:tc>
        <w:tc>
          <w:tcPr>
            <w:tcW w:w="5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44</w:t>
            </w:r>
          </w:p>
        </w:tc>
        <w:tc>
          <w:tcPr>
            <w:tcW w:w="6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5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w:t>
            </w:r>
          </w:p>
        </w:tc>
      </w:tr>
      <w:tr>
        <w:trPr>
          <w:trHeight w:val="293"/>
        </w:trPr>
        <w:tc>
          <w:tcPr>
            <w:tcW w:w="7260" w:type="dxa"/>
            <w:vAlign w:val="bottom"/>
            <w:gridSpan w:val="2"/>
          </w:tcPr>
          <w:p>
            <w:pPr>
              <w:ind w:left="40"/>
              <w:spacing w:after="0"/>
              <w:rPr>
                <w:sz w:val="20"/>
                <w:szCs w:val="20"/>
                <w:color w:val="auto"/>
              </w:rPr>
            </w:pPr>
            <w:r>
              <w:rPr>
                <w:rFonts w:ascii="Arial" w:cs="Arial" w:eastAsia="Arial" w:hAnsi="Arial"/>
                <w:sz w:val="20"/>
                <w:szCs w:val="20"/>
                <w:color w:val="00162F"/>
              </w:rPr>
              <w:t xml:space="preserve">A330 fleet-related adjustments </w:t>
            </w:r>
            <w:r>
              <w:rPr>
                <w:rFonts w:ascii="Arial" w:cs="Arial" w:eastAsia="Arial" w:hAnsi="Arial"/>
                <w:sz w:val="12"/>
                <w:szCs w:val="12"/>
                <w:color w:val="00162F"/>
              </w:rPr>
              <w:t>(2)</w:t>
            </w: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(42)</w:t>
            </w:r>
          </w:p>
        </w:tc>
      </w:tr>
      <w:tr>
        <w:trPr>
          <w:trHeight w:val="291"/>
        </w:trPr>
        <w:tc>
          <w:tcPr>
            <w:tcW w:w="726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Other operating special items, net</w:t>
            </w:r>
          </w:p>
        </w:tc>
        <w:tc>
          <w:tcPr>
            <w:tcW w:w="1140" w:type="dxa"/>
            <w:vAlign w:val="bottom"/>
            <w:tcBorders>
              <w:bottom w:val="single" w:sz="8" w:color="00162F"/>
            </w:tcBorders>
            <w:shd w:val="clear" w:color="auto" w:fill="EDEDED"/>
          </w:tcPr>
          <w:p>
            <w:pPr>
              <w:spacing w:after="0"/>
              <w:rPr>
                <w:sz w:val="24"/>
                <w:szCs w:val="24"/>
                <w:color w:val="auto"/>
              </w:rPr>
            </w:pPr>
          </w:p>
        </w:tc>
        <w:tc>
          <w:tcPr>
            <w:tcW w:w="5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w:t>
            </w:r>
          </w:p>
        </w:tc>
        <w:tc>
          <w:tcPr>
            <w:tcW w:w="60" w:type="dxa"/>
            <w:vAlign w:val="bottom"/>
            <w:tcBorders>
              <w:bottom w:val="single" w:sz="8" w:color="EDEDED"/>
            </w:tcBorders>
            <w:shd w:val="clear" w:color="auto" w:fill="EDEDED"/>
          </w:tcPr>
          <w:p>
            <w:pPr>
              <w:spacing w:after="0"/>
              <w:rPr>
                <w:sz w:val="24"/>
                <w:szCs w:val="24"/>
                <w:color w:val="auto"/>
              </w:rPr>
            </w:pPr>
          </w:p>
        </w:tc>
        <w:tc>
          <w:tcPr>
            <w:tcW w:w="1140" w:type="dxa"/>
            <w:vAlign w:val="bottom"/>
            <w:tcBorders>
              <w:bottom w:val="single" w:sz="8" w:color="00162F"/>
            </w:tcBorders>
            <w:shd w:val="clear" w:color="auto" w:fill="EDEDED"/>
          </w:tcPr>
          <w:p>
            <w:pPr>
              <w:spacing w:after="0"/>
              <w:rPr>
                <w:sz w:val="24"/>
                <w:szCs w:val="24"/>
                <w:color w:val="auto"/>
              </w:rPr>
            </w:pPr>
          </w:p>
        </w:tc>
        <w:tc>
          <w:tcPr>
            <w:tcW w:w="5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34</w:t>
            </w:r>
          </w:p>
        </w:tc>
      </w:tr>
      <w:tr>
        <w:trPr>
          <w:trHeight w:val="283"/>
        </w:trPr>
        <w:tc>
          <w:tcPr>
            <w:tcW w:w="7260" w:type="dxa"/>
            <w:vAlign w:val="bottom"/>
            <w:gridSpan w:val="2"/>
          </w:tcPr>
          <w:p>
            <w:pPr>
              <w:ind w:left="260"/>
              <w:spacing w:after="0"/>
              <w:rPr>
                <w:sz w:val="20"/>
                <w:szCs w:val="20"/>
                <w:color w:val="auto"/>
              </w:rPr>
            </w:pPr>
            <w:r>
              <w:rPr>
                <w:rFonts w:ascii="Arial" w:cs="Arial" w:eastAsia="Arial" w:hAnsi="Arial"/>
                <w:sz w:val="20"/>
                <w:szCs w:val="20"/>
                <w:color w:val="00162F"/>
              </w:rPr>
              <w:t>Mainline operating special items, net</w:t>
            </w: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159</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610</w:t>
            </w:r>
          </w:p>
        </w:tc>
      </w:tr>
      <w:tr>
        <w:trPr>
          <w:trHeight w:val="291"/>
        </w:trPr>
        <w:tc>
          <w:tcPr>
            <w:tcW w:w="7260" w:type="dxa"/>
            <w:vAlign w:val="bottom"/>
            <w:tcBorders>
              <w:bottom w:val="single" w:sz="8" w:color="EDEDED"/>
            </w:tcBorders>
            <w:gridSpan w:val="2"/>
            <w:shd w:val="clear" w:color="auto" w:fill="EDEDED"/>
          </w:tcPr>
          <w:p>
            <w:pPr>
              <w:ind w:left="280"/>
              <w:spacing w:after="0"/>
              <w:rPr>
                <w:sz w:val="20"/>
                <w:szCs w:val="20"/>
                <w:color w:val="auto"/>
              </w:rPr>
            </w:pPr>
            <w:r>
              <w:rPr>
                <w:rFonts w:ascii="Arial" w:cs="Arial" w:eastAsia="Arial" w:hAnsi="Arial"/>
                <w:sz w:val="20"/>
                <w:szCs w:val="20"/>
                <w:color w:val="00162F"/>
              </w:rPr>
              <w:t xml:space="preserve">Regional operating special items, net </w:t>
            </w:r>
            <w:r>
              <w:rPr>
                <w:rFonts w:ascii="Arial" w:cs="Arial" w:eastAsia="Arial" w:hAnsi="Arial"/>
                <w:sz w:val="12"/>
                <w:szCs w:val="12"/>
                <w:color w:val="00162F"/>
              </w:rPr>
              <w:t>(3)</w:t>
            </w:r>
          </w:p>
        </w:tc>
        <w:tc>
          <w:tcPr>
            <w:tcW w:w="1140" w:type="dxa"/>
            <w:vAlign w:val="bottom"/>
            <w:tcBorders>
              <w:bottom w:val="single" w:sz="8" w:color="00162F"/>
            </w:tcBorders>
            <w:shd w:val="clear" w:color="auto" w:fill="EDEDED"/>
          </w:tcPr>
          <w:p>
            <w:pPr>
              <w:spacing w:after="0"/>
              <w:rPr>
                <w:sz w:val="24"/>
                <w:szCs w:val="24"/>
                <w:color w:val="auto"/>
              </w:rPr>
            </w:pPr>
          </w:p>
        </w:tc>
        <w:tc>
          <w:tcPr>
            <w:tcW w:w="5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w:t>
            </w:r>
          </w:p>
        </w:tc>
        <w:tc>
          <w:tcPr>
            <w:tcW w:w="60" w:type="dxa"/>
            <w:vAlign w:val="bottom"/>
            <w:tcBorders>
              <w:bottom w:val="single" w:sz="8" w:color="EDEDED"/>
            </w:tcBorders>
            <w:shd w:val="clear" w:color="auto" w:fill="EDEDED"/>
          </w:tcPr>
          <w:p>
            <w:pPr>
              <w:spacing w:after="0"/>
              <w:rPr>
                <w:sz w:val="24"/>
                <w:szCs w:val="24"/>
                <w:color w:val="auto"/>
              </w:rPr>
            </w:pPr>
          </w:p>
        </w:tc>
        <w:tc>
          <w:tcPr>
            <w:tcW w:w="1140" w:type="dxa"/>
            <w:vAlign w:val="bottom"/>
            <w:tcBorders>
              <w:bottom w:val="single" w:sz="8" w:color="00162F"/>
            </w:tcBorders>
            <w:shd w:val="clear" w:color="auto" w:fill="EDEDED"/>
          </w:tcPr>
          <w:p>
            <w:pPr>
              <w:spacing w:after="0"/>
              <w:rPr>
                <w:sz w:val="24"/>
                <w:szCs w:val="24"/>
                <w:color w:val="auto"/>
              </w:rPr>
            </w:pPr>
          </w:p>
        </w:tc>
        <w:tc>
          <w:tcPr>
            <w:tcW w:w="5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w:t>
            </w:r>
          </w:p>
        </w:tc>
      </w:tr>
      <w:tr>
        <w:trPr>
          <w:trHeight w:val="257"/>
        </w:trPr>
        <w:tc>
          <w:tcPr>
            <w:tcW w:w="7260" w:type="dxa"/>
            <w:vAlign w:val="bottom"/>
            <w:gridSpan w:val="2"/>
          </w:tcPr>
          <w:p>
            <w:pPr>
              <w:ind w:left="540"/>
              <w:spacing w:after="0"/>
              <w:rPr>
                <w:sz w:val="20"/>
                <w:szCs w:val="20"/>
                <w:color w:val="auto"/>
              </w:rPr>
            </w:pPr>
            <w:r>
              <w:rPr>
                <w:rFonts w:ascii="Arial" w:cs="Arial" w:eastAsia="Arial" w:hAnsi="Arial"/>
                <w:sz w:val="20"/>
                <w:szCs w:val="20"/>
                <w:color w:val="00162F"/>
              </w:rPr>
              <w:t>Operating special items, net</w:t>
            </w:r>
          </w:p>
        </w:tc>
        <w:tc>
          <w:tcPr>
            <w:tcW w:w="1140" w:type="dxa"/>
            <w:vAlign w:val="bottom"/>
          </w:tcPr>
          <w:p>
            <w:pPr>
              <w:jc w:val="right"/>
              <w:ind w:right="891"/>
              <w:spacing w:after="0"/>
              <w:rPr>
                <w:sz w:val="20"/>
                <w:szCs w:val="20"/>
                <w:color w:val="auto"/>
              </w:rPr>
            </w:pPr>
            <w:r>
              <w:rPr>
                <w:rFonts w:ascii="Arial" w:cs="Arial" w:eastAsia="Arial" w:hAnsi="Arial"/>
                <w:sz w:val="20"/>
                <w:szCs w:val="20"/>
                <w:color w:val="00162F"/>
              </w:rPr>
              <w:t>$</w:t>
            </w:r>
          </w:p>
        </w:tc>
        <w:tc>
          <w:tcPr>
            <w:tcW w:w="540" w:type="dxa"/>
            <w:vAlign w:val="bottom"/>
          </w:tcPr>
          <w:p>
            <w:pPr>
              <w:jc w:val="right"/>
              <w:spacing w:after="0"/>
              <w:rPr>
                <w:sz w:val="20"/>
                <w:szCs w:val="20"/>
                <w:color w:val="auto"/>
              </w:rPr>
            </w:pPr>
            <w:r>
              <w:rPr>
                <w:rFonts w:ascii="Arial" w:cs="Arial" w:eastAsia="Arial" w:hAnsi="Arial"/>
                <w:sz w:val="20"/>
                <w:szCs w:val="20"/>
                <w:color w:val="00162F"/>
              </w:rPr>
              <w:t>162</w:t>
            </w:r>
          </w:p>
        </w:tc>
        <w:tc>
          <w:tcPr>
            <w:tcW w:w="1200" w:type="dxa"/>
            <w:vAlign w:val="bottom"/>
            <w:gridSpan w:val="2"/>
          </w:tcPr>
          <w:p>
            <w:pPr>
              <w:jc w:val="right"/>
              <w:ind w:right="901"/>
              <w:spacing w:after="0"/>
              <w:rPr>
                <w:sz w:val="20"/>
                <w:szCs w:val="20"/>
                <w:color w:val="auto"/>
              </w:rPr>
            </w:pPr>
            <w:r>
              <w:rPr>
                <w:rFonts w:ascii="Arial" w:cs="Arial" w:eastAsia="Arial" w:hAnsi="Arial"/>
                <w:sz w:val="20"/>
                <w:szCs w:val="20"/>
                <w:color w:val="00162F"/>
              </w:rPr>
              <w:t>$</w:t>
            </w:r>
          </w:p>
        </w:tc>
        <w:tc>
          <w:tcPr>
            <w:tcW w:w="540" w:type="dxa"/>
            <w:vAlign w:val="bottom"/>
          </w:tcPr>
          <w:p>
            <w:pPr>
              <w:jc w:val="right"/>
              <w:spacing w:after="0"/>
              <w:rPr>
                <w:sz w:val="20"/>
                <w:szCs w:val="20"/>
                <w:color w:val="auto"/>
              </w:rPr>
            </w:pPr>
            <w:r>
              <w:rPr>
                <w:rFonts w:ascii="Arial" w:cs="Arial" w:eastAsia="Arial" w:hAnsi="Arial"/>
                <w:sz w:val="20"/>
                <w:szCs w:val="20"/>
                <w:color w:val="00162F"/>
              </w:rPr>
              <w:t>643</w:t>
            </w:r>
          </w:p>
        </w:tc>
      </w:tr>
      <w:tr>
        <w:trPr>
          <w:trHeight w:val="20"/>
        </w:trPr>
        <w:tc>
          <w:tcPr>
            <w:tcW w:w="19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40" w:type="dxa"/>
            <w:vAlign w:val="bottom"/>
            <w:tcBorders>
              <w:top w:val="single" w:sz="8" w:color="00162F"/>
              <w:bottom w:val="single" w:sz="8" w:color="00162F"/>
            </w:tcBorders>
          </w:tcPr>
          <w:p>
            <w:pPr>
              <w:spacing w:after="0" w:line="20" w:lineRule="exact"/>
              <w:rPr>
                <w:sz w:val="1"/>
                <w:szCs w:val="1"/>
                <w:color w:val="auto"/>
              </w:rPr>
            </w:pPr>
          </w:p>
        </w:tc>
        <w:tc>
          <w:tcPr>
            <w:tcW w:w="54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00162F"/>
              <w:bottom w:val="single" w:sz="8" w:color="00162F"/>
            </w:tcBorders>
          </w:tcPr>
          <w:p>
            <w:pPr>
              <w:spacing w:after="0" w:line="20" w:lineRule="exact"/>
              <w:rPr>
                <w:sz w:val="1"/>
                <w:szCs w:val="1"/>
                <w:color w:val="auto"/>
              </w:rPr>
            </w:pPr>
          </w:p>
        </w:tc>
        <w:tc>
          <w:tcPr>
            <w:tcW w:w="540" w:type="dxa"/>
            <w:vAlign w:val="bottom"/>
            <w:tcBorders>
              <w:top w:val="single" w:sz="8" w:color="00162F"/>
              <w:bottom w:val="single" w:sz="8" w:color="00162F"/>
            </w:tcBorders>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5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-694055</wp:posOffset>
            </wp:positionV>
            <wp:extent cx="11252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-316865</wp:posOffset>
            </wp:positionV>
            <wp:extent cx="11252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1125220" cy="25400"/>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65" w:lineRule="auto"/>
        <w:tabs>
          <w:tab w:leader="none" w:pos="365" w:val="left"/>
        </w:tabs>
        <w:numPr>
          <w:ilvl w:val="0"/>
          <w:numId w:val="34"/>
        </w:numPr>
        <w:rPr>
          <w:rFonts w:ascii="Arial" w:cs="Arial" w:eastAsia="Arial" w:hAnsi="Arial"/>
          <w:sz w:val="13"/>
          <w:szCs w:val="13"/>
          <w:color w:val="00162F"/>
        </w:rPr>
      </w:pPr>
      <w:r>
        <w:rPr>
          <w:rFonts w:ascii="Arial" w:cs="Arial" w:eastAsia="Arial" w:hAnsi="Arial"/>
          <w:sz w:val="20"/>
          <w:szCs w:val="20"/>
          <w:color w:val="00162F"/>
        </w:rPr>
        <w:t>Labor contract expenses for 2025 included a one-time charge resulting from adjustments to vacation accruals due to pay rate increases effective January 1, 2025, following the ratification of the contract extension in the fourth quarter of 2024 with our mainline maintenance and fleet service team members.</w:t>
      </w:r>
    </w:p>
    <w:p>
      <w:pPr>
        <w:spacing w:after="0" w:line="129" w:lineRule="exact"/>
        <w:rPr>
          <w:rFonts w:ascii="Arial" w:cs="Arial" w:eastAsia="Arial" w:hAnsi="Arial"/>
          <w:sz w:val="13"/>
          <w:szCs w:val="13"/>
          <w:color w:val="00162F"/>
        </w:rPr>
      </w:pPr>
    </w:p>
    <w:p>
      <w:pPr>
        <w:jc w:val="both"/>
        <w:ind w:left="365"/>
        <w:spacing w:after="0" w:line="265" w:lineRule="auto"/>
        <w:rPr>
          <w:rFonts w:ascii="Arial" w:cs="Arial" w:eastAsia="Arial" w:hAnsi="Arial"/>
          <w:sz w:val="13"/>
          <w:szCs w:val="13"/>
          <w:color w:val="00162F"/>
        </w:rPr>
      </w:pPr>
      <w:r>
        <w:rPr>
          <w:rFonts w:ascii="Arial" w:cs="Arial" w:eastAsia="Arial" w:hAnsi="Arial"/>
          <w:sz w:val="20"/>
          <w:szCs w:val="20"/>
          <w:color w:val="00162F"/>
        </w:rPr>
        <w:t>Labor contract expenses for 2024 included one-time charges resulting from the ratifications of new CBAs with our mainline flight attendants and passenger service team members, including one-time payments and adjustments to vacation accruals resulting from pay rate increases.</w:t>
      </w:r>
    </w:p>
    <w:p>
      <w:pPr>
        <w:spacing w:after="0" w:line="129" w:lineRule="exact"/>
        <w:rPr>
          <w:rFonts w:ascii="Arial" w:cs="Arial" w:eastAsia="Arial" w:hAnsi="Arial"/>
          <w:sz w:val="13"/>
          <w:szCs w:val="13"/>
          <w:color w:val="00162F"/>
        </w:rPr>
      </w:pPr>
    </w:p>
    <w:p>
      <w:pPr>
        <w:jc w:val="both"/>
        <w:ind w:left="365" w:hanging="365"/>
        <w:spacing w:after="0" w:line="265" w:lineRule="auto"/>
        <w:tabs>
          <w:tab w:leader="none" w:pos="365" w:val="left"/>
        </w:tabs>
        <w:numPr>
          <w:ilvl w:val="0"/>
          <w:numId w:val="34"/>
        </w:numPr>
        <w:rPr>
          <w:rFonts w:ascii="Arial" w:cs="Arial" w:eastAsia="Arial" w:hAnsi="Arial"/>
          <w:sz w:val="13"/>
          <w:szCs w:val="13"/>
          <w:color w:val="00162F"/>
        </w:rPr>
      </w:pPr>
      <w:r>
        <w:rPr>
          <w:rFonts w:ascii="Arial" w:cs="Arial" w:eastAsia="Arial" w:hAnsi="Arial"/>
          <w:sz w:val="20"/>
          <w:szCs w:val="20"/>
          <w:color w:val="00162F"/>
        </w:rPr>
        <w:t>In 2024, we entered into a sales agreement for certain Airbus A330 aircraft, resulting in a $42 million gain. These aircraft were previously retired in 2020 as a result of the decline in demand for air travel due to the COVID-19 pandemic.</w:t>
      </w:r>
    </w:p>
    <w:p>
      <w:pPr>
        <w:spacing w:after="0" w:line="129"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34"/>
        </w:numPr>
        <w:rPr>
          <w:rFonts w:ascii="Arial" w:cs="Arial" w:eastAsia="Arial" w:hAnsi="Arial"/>
          <w:sz w:val="13"/>
          <w:szCs w:val="13"/>
          <w:color w:val="00162F"/>
        </w:rPr>
      </w:pPr>
      <w:r>
        <w:rPr>
          <w:rFonts w:ascii="Arial" w:cs="Arial" w:eastAsia="Arial" w:hAnsi="Arial"/>
          <w:sz w:val="20"/>
          <w:szCs w:val="20"/>
          <w:color w:val="00162F"/>
        </w:rPr>
        <w:t>Regional operating special items, net for 2024 included a $33 million non-cash write down of regional aircraft resulting from the decision to permanently park 43 Embraer ERJ145 aircraft.</w:t>
      </w:r>
    </w:p>
    <w:p>
      <w:pPr>
        <w:spacing w:after="0" w:line="203"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Nonoperating Results</w:t>
      </w:r>
    </w:p>
    <w:p>
      <w:pPr>
        <w:spacing w:after="0" w:line="131"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4"/>
            <w:vMerge w:val="restart"/>
          </w:tcPr>
          <w:p>
            <w:pPr>
              <w:jc w:val="right"/>
              <w:ind w:right="365"/>
              <w:spacing w:after="0"/>
              <w:rPr>
                <w:sz w:val="20"/>
                <w:szCs w:val="20"/>
                <w:color w:val="auto"/>
              </w:rPr>
            </w:pPr>
            <w:r>
              <w:rPr>
                <w:rFonts w:ascii="Arial" w:cs="Arial" w:eastAsia="Arial" w:hAnsi="Arial"/>
                <w:sz w:val="16"/>
                <w:szCs w:val="16"/>
                <w:b w:val="1"/>
                <w:bCs w:val="1"/>
                <w:color w:val="00162F"/>
              </w:rPr>
              <w:t>Year Ended December 31,</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95"/>
              <w:spacing w:after="0"/>
              <w:rPr>
                <w:sz w:val="20"/>
                <w:szCs w:val="20"/>
                <w:color w:val="auto"/>
              </w:rPr>
            </w:pPr>
            <w:r>
              <w:rPr>
                <w:rFonts w:ascii="Arial" w:cs="Arial" w:eastAsia="Arial" w:hAnsi="Arial"/>
                <w:sz w:val="16"/>
                <w:szCs w:val="16"/>
                <w:b w:val="1"/>
                <w:bCs w:val="1"/>
                <w:color w:val="00162F"/>
                <w:w w:val="98"/>
              </w:rPr>
              <w:t>Percent</w:t>
            </w: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00" w:type="dxa"/>
            <w:vAlign w:val="bottom"/>
            <w:tcBorders>
              <w:bottom w:val="single" w:sz="8" w:color="00162F"/>
            </w:tcBorders>
          </w:tcPr>
          <w:p>
            <w:pPr>
              <w:spacing w:after="0"/>
              <w:rPr>
                <w:sz w:val="10"/>
                <w:szCs w:val="10"/>
                <w:color w:val="auto"/>
              </w:rPr>
            </w:pPr>
          </w:p>
        </w:tc>
        <w:tc>
          <w:tcPr>
            <w:tcW w:w="2560" w:type="dxa"/>
            <w:vAlign w:val="bottom"/>
            <w:tcBorders>
              <w:bottom w:val="single" w:sz="8" w:color="00162F"/>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restart"/>
          </w:tcPr>
          <w:p>
            <w:pPr>
              <w:ind w:left="160"/>
              <w:spacing w:after="0" w:line="158" w:lineRule="exact"/>
              <w:rPr>
                <w:sz w:val="20"/>
                <w:szCs w:val="20"/>
                <w:color w:val="auto"/>
              </w:rPr>
            </w:pPr>
            <w:r>
              <w:rPr>
                <w:rFonts w:ascii="Arial" w:cs="Arial" w:eastAsia="Arial" w:hAnsi="Arial"/>
                <w:sz w:val="16"/>
                <w:szCs w:val="16"/>
                <w:b w:val="1"/>
                <w:bCs w:val="1"/>
                <w:color w:val="00162F"/>
              </w:rPr>
              <w:t>Increase</w:t>
            </w:r>
          </w:p>
        </w:tc>
        <w:tc>
          <w:tcPr>
            <w:tcW w:w="1240" w:type="dxa"/>
            <w:vAlign w:val="bottom"/>
            <w:vMerge w:val="restart"/>
          </w:tcPr>
          <w:p>
            <w:pPr>
              <w:jc w:val="center"/>
              <w:ind w:right="75"/>
              <w:spacing w:after="0" w:line="158" w:lineRule="exact"/>
              <w:rPr>
                <w:sz w:val="20"/>
                <w:szCs w:val="20"/>
                <w:color w:val="auto"/>
              </w:rPr>
            </w:pPr>
            <w:r>
              <w:rPr>
                <w:rFonts w:ascii="Arial" w:cs="Arial" w:eastAsia="Arial" w:hAnsi="Arial"/>
                <w:sz w:val="16"/>
                <w:szCs w:val="16"/>
                <w:b w:val="1"/>
                <w:bCs w:val="1"/>
                <w:color w:val="00162F"/>
                <w:w w:val="98"/>
              </w:rPr>
              <w:t>Increase</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vMerge w:val="restart"/>
          </w:tcPr>
          <w:p>
            <w:pPr>
              <w:jc w:val="right"/>
              <w:ind w:right="425"/>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1100" w:type="dxa"/>
            <w:vAlign w:val="bottom"/>
            <w:tcBorders>
              <w:bottom w:val="single" w:sz="8" w:color="00162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040" w:type="dxa"/>
            <w:vAlign w:val="bottom"/>
            <w:tcBorders>
              <w:bottom w:val="single" w:sz="8" w:color="00162F"/>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180" w:type="dxa"/>
            <w:vAlign w:val="bottom"/>
            <w:tcBorders>
              <w:bottom w:val="single" w:sz="8" w:color="00162F"/>
            </w:tcBorders>
          </w:tcPr>
          <w:p>
            <w:pPr>
              <w:jc w:val="right"/>
              <w:ind w:right="208"/>
              <w:spacing w:after="0"/>
              <w:rPr>
                <w:sz w:val="20"/>
                <w:szCs w:val="20"/>
                <w:color w:val="auto"/>
              </w:rPr>
            </w:pPr>
            <w:r>
              <w:rPr>
                <w:rFonts w:ascii="Arial" w:cs="Arial" w:eastAsia="Arial" w:hAnsi="Arial"/>
                <w:sz w:val="16"/>
                <w:szCs w:val="16"/>
                <w:b w:val="1"/>
                <w:bCs w:val="1"/>
                <w:color w:val="00162F"/>
              </w:rPr>
              <w:t>(Decrease)</w:t>
            </w:r>
          </w:p>
        </w:tc>
        <w:tc>
          <w:tcPr>
            <w:tcW w:w="80" w:type="dxa"/>
            <w:vAlign w:val="bottom"/>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240" w:type="dxa"/>
            <w:vAlign w:val="bottom"/>
            <w:tcBorders>
              <w:bottom w:val="single" w:sz="8" w:color="00162F"/>
            </w:tcBorders>
          </w:tcPr>
          <w:p>
            <w:pPr>
              <w:jc w:val="center"/>
              <w:ind w:right="75"/>
              <w:spacing w:after="0"/>
              <w:rPr>
                <w:sz w:val="20"/>
                <w:szCs w:val="20"/>
                <w:color w:val="auto"/>
              </w:rPr>
            </w:pPr>
            <w:r>
              <w:rPr>
                <w:rFonts w:ascii="Arial" w:cs="Arial" w:eastAsia="Arial" w:hAnsi="Arial"/>
                <w:sz w:val="16"/>
                <w:szCs w:val="16"/>
                <w:b w:val="1"/>
                <w:bCs w:val="1"/>
                <w:color w:val="00162F"/>
                <w:w w:val="97"/>
              </w:rPr>
              <w:t>(Decrease)</w:t>
            </w: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80" w:type="dxa"/>
            <w:vAlign w:val="bottom"/>
            <w:gridSpan w:val="9"/>
          </w:tcPr>
          <w:p>
            <w:pPr>
              <w:ind w:left="1080"/>
              <w:spacing w:after="0"/>
              <w:rPr>
                <w:sz w:val="20"/>
                <w:szCs w:val="20"/>
                <w:color w:val="auto"/>
              </w:rPr>
            </w:pPr>
            <w:r>
              <w:rPr>
                <w:rFonts w:ascii="Arial" w:cs="Arial" w:eastAsia="Arial" w:hAnsi="Arial"/>
                <w:sz w:val="16"/>
                <w:szCs w:val="16"/>
                <w:b w:val="1"/>
                <w:bCs w:val="1"/>
                <w:color w:val="00162F"/>
              </w:rPr>
              <w:t>(In millions, except percentage changes)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486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Interest income</w:t>
            </w:r>
          </w:p>
        </w:tc>
        <w:tc>
          <w:tcPr>
            <w:tcW w:w="300" w:type="dxa"/>
            <w:vAlign w:val="bottom"/>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357</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468</w:t>
            </w:r>
          </w:p>
        </w:tc>
        <w:tc>
          <w:tcPr>
            <w:tcW w:w="300" w:type="dxa"/>
            <w:vAlign w:val="bottom"/>
            <w:gridSpan w:val="2"/>
            <w:shd w:val="clear" w:color="auto" w:fill="EDEDED"/>
          </w:tcPr>
          <w:p>
            <w:pPr>
              <w:jc w:val="right"/>
              <w:ind w:right="60"/>
              <w:spacing w:after="0"/>
              <w:rPr>
                <w:sz w:val="20"/>
                <w:szCs w:val="20"/>
                <w:color w:val="auto"/>
              </w:rPr>
            </w:pPr>
            <w:r>
              <w:rPr>
                <w:rFonts w:ascii="Arial" w:cs="Arial" w:eastAsia="Arial" w:hAnsi="Arial"/>
                <w:sz w:val="20"/>
                <w:szCs w:val="20"/>
                <w:color w:val="00162F"/>
              </w:rPr>
              <w:t>$</w:t>
            </w: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(111)</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240" w:type="dxa"/>
            <w:vAlign w:val="bottom"/>
            <w:shd w:val="clear" w:color="auto" w:fill="EDEDED"/>
          </w:tcPr>
          <w:p>
            <w:pPr>
              <w:jc w:val="center"/>
              <w:ind w:right="35"/>
              <w:spacing w:after="0"/>
              <w:rPr>
                <w:sz w:val="20"/>
                <w:szCs w:val="20"/>
                <w:color w:val="auto"/>
              </w:rPr>
            </w:pPr>
            <w:r>
              <w:rPr>
                <w:rFonts w:ascii="Arial" w:cs="Arial" w:eastAsia="Arial" w:hAnsi="Arial"/>
                <w:sz w:val="20"/>
                <w:szCs w:val="20"/>
                <w:color w:val="00162F"/>
                <w:w w:val="99"/>
              </w:rPr>
              <w:t>(23.7)</w:t>
            </w:r>
          </w:p>
        </w:tc>
        <w:tc>
          <w:tcPr>
            <w:tcW w:w="0" w:type="dxa"/>
            <w:vAlign w:val="bottom"/>
          </w:tcPr>
          <w:p>
            <w:pPr>
              <w:spacing w:after="0"/>
              <w:rPr>
                <w:sz w:val="1"/>
                <w:szCs w:val="1"/>
                <w:color w:val="auto"/>
              </w:rPr>
            </w:pPr>
          </w:p>
        </w:tc>
      </w:tr>
      <w:tr>
        <w:trPr>
          <w:trHeight w:val="293"/>
        </w:trPr>
        <w:tc>
          <w:tcPr>
            <w:tcW w:w="4860" w:type="dxa"/>
            <w:vAlign w:val="bottom"/>
            <w:gridSpan w:val="2"/>
          </w:tcPr>
          <w:p>
            <w:pPr>
              <w:ind w:left="40"/>
              <w:spacing w:after="0"/>
              <w:rPr>
                <w:sz w:val="20"/>
                <w:szCs w:val="20"/>
                <w:color w:val="auto"/>
              </w:rPr>
            </w:pPr>
            <w:r>
              <w:rPr>
                <w:rFonts w:ascii="Arial" w:cs="Arial" w:eastAsia="Arial" w:hAnsi="Arial"/>
                <w:sz w:val="20"/>
                <w:szCs w:val="20"/>
                <w:color w:val="00162F"/>
              </w:rPr>
              <w:t>Interest expense, net</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(1,716)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(1,934)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218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35"/>
              <w:spacing w:after="0"/>
              <w:rPr>
                <w:sz w:val="20"/>
                <w:szCs w:val="20"/>
                <w:color w:val="auto"/>
              </w:rPr>
            </w:pPr>
            <w:r>
              <w:rPr>
                <w:rFonts w:ascii="Arial" w:cs="Arial" w:eastAsia="Arial" w:hAnsi="Arial"/>
                <w:sz w:val="20"/>
                <w:szCs w:val="20"/>
                <w:color w:val="00162F"/>
                <w:w w:val="99"/>
              </w:rPr>
              <w:t>(11.2)</w:t>
            </w:r>
          </w:p>
        </w:tc>
        <w:tc>
          <w:tcPr>
            <w:tcW w:w="0" w:type="dxa"/>
            <w:vAlign w:val="bottom"/>
          </w:tcPr>
          <w:p>
            <w:pPr>
              <w:spacing w:after="0"/>
              <w:rPr>
                <w:sz w:val="1"/>
                <w:szCs w:val="1"/>
                <w:color w:val="auto"/>
              </w:rPr>
            </w:pPr>
          </w:p>
        </w:tc>
      </w:tr>
      <w:tr>
        <w:trPr>
          <w:trHeight w:val="311"/>
        </w:trPr>
        <w:tc>
          <w:tcPr>
            <w:tcW w:w="486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Other income, net</w:t>
            </w:r>
          </w:p>
        </w:tc>
        <w:tc>
          <w:tcPr>
            <w:tcW w:w="30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82</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w:t>
            </w:r>
          </w:p>
        </w:tc>
        <w:tc>
          <w:tcPr>
            <w:tcW w:w="60" w:type="dxa"/>
            <w:vAlign w:val="bottom"/>
            <w:tcBorders>
              <w:bottom w:val="single" w:sz="8" w:color="EDEDED"/>
            </w:tcBorders>
            <w:shd w:val="clear" w:color="auto" w:fill="EDEDED"/>
          </w:tcPr>
          <w:p>
            <w:pPr>
              <w:spacing w:after="0"/>
              <w:rPr>
                <w:sz w:val="24"/>
                <w:szCs w:val="24"/>
                <w:color w:val="auto"/>
              </w:rPr>
            </w:pPr>
          </w:p>
        </w:tc>
        <w:tc>
          <w:tcPr>
            <w:tcW w:w="240" w:type="dxa"/>
            <w:vAlign w:val="bottom"/>
            <w:tcBorders>
              <w:bottom w:val="single" w:sz="8" w:color="00162F"/>
            </w:tcBorders>
            <w:shd w:val="clear" w:color="auto" w:fill="EDEDED"/>
          </w:tcPr>
          <w:p>
            <w:pPr>
              <w:spacing w:after="0"/>
              <w:rPr>
                <w:sz w:val="24"/>
                <w:szCs w:val="24"/>
                <w:color w:val="auto"/>
              </w:rPr>
            </w:pPr>
          </w:p>
        </w:tc>
        <w:tc>
          <w:tcPr>
            <w:tcW w:w="11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76</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EDEDED"/>
            </w:tcBorders>
            <w:shd w:val="clear" w:color="auto" w:fill="EDEDED"/>
          </w:tcPr>
          <w:p>
            <w:pPr>
              <w:spacing w:after="0"/>
              <w:rPr>
                <w:sz w:val="24"/>
                <w:szCs w:val="24"/>
                <w:color w:val="auto"/>
              </w:rPr>
            </w:pPr>
          </w:p>
        </w:tc>
        <w:tc>
          <w:tcPr>
            <w:tcW w:w="1240" w:type="dxa"/>
            <w:vAlign w:val="bottom"/>
            <w:tcBorders>
              <w:bottom w:val="single" w:sz="8" w:color="EDEDED"/>
            </w:tcBorders>
            <w:shd w:val="clear" w:color="auto" w:fill="EDEDED"/>
          </w:tcPr>
          <w:p>
            <w:pPr>
              <w:ind w:left="320"/>
              <w:spacing w:after="0" w:line="290" w:lineRule="exact"/>
              <w:rPr>
                <w:sz w:val="20"/>
                <w:szCs w:val="20"/>
                <w:color w:val="auto"/>
              </w:rPr>
            </w:pPr>
            <w:r>
              <w:rPr>
                <w:rFonts w:ascii="Arial" w:cs="Arial" w:eastAsia="Arial" w:hAnsi="Arial"/>
                <w:sz w:val="33"/>
                <w:szCs w:val="33"/>
                <w:color w:val="00162F"/>
                <w:vertAlign w:val="subscript"/>
              </w:rPr>
              <w:t>nm</w:t>
            </w:r>
            <w:r>
              <w:rPr>
                <w:rFonts w:ascii="Arial" w:cs="Arial" w:eastAsia="Arial" w:hAnsi="Arial"/>
                <w:sz w:val="12"/>
                <w:szCs w:val="12"/>
                <w:color w:val="00162F"/>
              </w:rPr>
              <w:t xml:space="preserve"> (1)</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60"/>
              <w:spacing w:after="0"/>
              <w:rPr>
                <w:sz w:val="20"/>
                <w:szCs w:val="20"/>
                <w:color w:val="auto"/>
              </w:rPr>
            </w:pPr>
            <w:r>
              <w:rPr>
                <w:rFonts w:ascii="Arial" w:cs="Arial" w:eastAsia="Arial" w:hAnsi="Arial"/>
                <w:sz w:val="20"/>
                <w:szCs w:val="20"/>
                <w:color w:val="00162F"/>
              </w:rPr>
              <w:t>Total nonoperating expense, net</w:t>
            </w:r>
          </w:p>
        </w:tc>
        <w:tc>
          <w:tcPr>
            <w:tcW w:w="300" w:type="dxa"/>
            <w:vAlign w:val="bottom"/>
          </w:tcPr>
          <w:p>
            <w:pPr>
              <w:jc w:val="right"/>
              <w:ind w:right="4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1,277)</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1,460)</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00162F"/>
              </w:rPr>
              <w:t>$</w:t>
            </w:r>
          </w:p>
        </w:tc>
        <w:tc>
          <w:tcPr>
            <w:tcW w:w="1180" w:type="dxa"/>
            <w:vAlign w:val="bottom"/>
          </w:tcPr>
          <w:p>
            <w:pPr>
              <w:jc w:val="right"/>
              <w:spacing w:after="0"/>
              <w:rPr>
                <w:sz w:val="20"/>
                <w:szCs w:val="20"/>
                <w:color w:val="auto"/>
              </w:rPr>
            </w:pPr>
            <w:r>
              <w:rPr>
                <w:rFonts w:ascii="Arial" w:cs="Arial" w:eastAsia="Arial" w:hAnsi="Arial"/>
                <w:sz w:val="20"/>
                <w:szCs w:val="20"/>
                <w:color w:val="00162F"/>
              </w:rPr>
              <w:t>183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35"/>
              <w:spacing w:after="0"/>
              <w:rPr>
                <w:sz w:val="20"/>
                <w:szCs w:val="20"/>
                <w:color w:val="auto"/>
              </w:rPr>
            </w:pPr>
            <w:r>
              <w:rPr>
                <w:rFonts w:ascii="Arial" w:cs="Arial" w:eastAsia="Arial" w:hAnsi="Arial"/>
                <w:sz w:val="20"/>
                <w:szCs w:val="20"/>
                <w:color w:val="00162F"/>
                <w:w w:val="99"/>
              </w:rPr>
              <w:t>(12.5)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04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00162F"/>
              <w:bottom w:val="single" w:sz="8" w:color="00162F"/>
            </w:tcBorders>
          </w:tcPr>
          <w:p>
            <w:pPr>
              <w:spacing w:after="0" w:line="20" w:lineRule="exact"/>
              <w:rPr>
                <w:sz w:val="1"/>
                <w:szCs w:val="1"/>
                <w:color w:val="auto"/>
              </w:rPr>
            </w:pPr>
          </w:p>
        </w:tc>
        <w:tc>
          <w:tcPr>
            <w:tcW w:w="118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2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-316865</wp:posOffset>
            </wp:positionV>
            <wp:extent cx="27876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2787650" cy="25400"/>
                    </a:xfrm>
                    <a:prstGeom prst="rect">
                      <a:avLst/>
                    </a:prstGeom>
                    <a:noFill/>
                  </pic:spPr>
                </pic:pic>
              </a:graphicData>
            </a:graphic>
          </wp:anchor>
        </w:drawing>
      </w:r>
    </w:p>
    <w:p>
      <w:pPr>
        <w:spacing w:after="0" w:line="14" w:lineRule="exact"/>
        <w:rPr>
          <w:sz w:val="20"/>
          <w:szCs w:val="20"/>
          <w:color w:val="auto"/>
        </w:rPr>
      </w:pPr>
    </w:p>
    <w:p>
      <w:pPr>
        <w:ind w:left="365" w:hanging="365"/>
        <w:spacing w:after="0"/>
        <w:tabs>
          <w:tab w:leader="none" w:pos="365" w:val="left"/>
        </w:tabs>
        <w:numPr>
          <w:ilvl w:val="0"/>
          <w:numId w:val="35"/>
        </w:numPr>
        <w:rPr>
          <w:rFonts w:ascii="Arial" w:cs="Arial" w:eastAsia="Arial" w:hAnsi="Arial"/>
          <w:sz w:val="13"/>
          <w:szCs w:val="13"/>
          <w:color w:val="00162F"/>
        </w:rPr>
      </w:pPr>
      <w:r>
        <w:rPr>
          <w:rFonts w:ascii="Arial" w:cs="Arial" w:eastAsia="Arial" w:hAnsi="Arial"/>
          <w:sz w:val="20"/>
          <w:szCs w:val="20"/>
          <w:color w:val="00162F"/>
        </w:rPr>
        <w:t>Not meaningful or greater than 100% change.</w:t>
      </w:r>
    </w:p>
    <w:p>
      <w:pPr>
        <w:spacing w:after="0" w:line="186"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Interest income decreased $111 million, or 23.7%, in 2025 compared to 2024 primarily due to lower interest rates and a decrease in the average balance of our short-term investments, resulting in reduced returns. Interest expense, net decreased $218 million, or 11.2%, in 2025 compared to 2024 primarily due to lower interest rates on our variable-rate debt instruments and lower outstanding debt in 2025, as we continue our efforts to strengthen the balance sheet.</w:t>
      </w:r>
    </w:p>
    <w:p>
      <w:pPr>
        <w:spacing w:after="0" w:line="136"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In 2025, other nonoperating income, net included $57 million of non-service related pension and other postretirement benefit plan income, $51 million of net earnings related to our equity investments accounted for under the equity method</w:t>
      </w:r>
    </w:p>
    <w:p>
      <w:pPr>
        <w:sectPr>
          <w:pgSz w:w="11880" w:h="15480" w:orient="portrait"/>
          <w:cols w:equalWidth="0" w:num="1">
            <w:col w:w="10685"/>
          </w:cols>
          <w:pgMar w:left="595" w:top="992" w:right="600" w:bottom="0" w:gutter="0" w:footer="0" w:header="0"/>
        </w:sectPr>
      </w:pPr>
    </w:p>
    <w:p>
      <w:pPr>
        <w:spacing w:after="0" w:line="328"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67</w:t>
      </w:r>
    </w:p>
    <w:p>
      <w:pPr>
        <w:sectPr>
          <w:pgSz w:w="11880" w:h="15480" w:orient="portrait"/>
          <w:cols w:equalWidth="0" w:num="1">
            <w:col w:w="10685"/>
          </w:cols>
          <w:pgMar w:left="595" w:top="992" w:right="600" w:bottom="0" w:gutter="0" w:footer="0" w:header="0"/>
          <w:type w:val="continuous"/>
        </w:sectPr>
      </w:pPr>
    </w:p>
    <w:bookmarkStart w:id="68" w:name="page69"/>
    <w:bookmarkEnd w:id="68"/>
    <w:p>
      <w:pPr>
        <w:jc w:val="both"/>
        <w:spacing w:after="0" w:line="265" w:lineRule="auto"/>
        <w:rPr>
          <w:sz w:val="20"/>
          <w:szCs w:val="20"/>
          <w:color w:val="auto"/>
        </w:rPr>
      </w:pPr>
      <w:r>
        <w:rPr>
          <w:rFonts w:ascii="Arial" w:cs="Arial" w:eastAsia="Arial" w:hAnsi="Arial"/>
          <w:sz w:val="20"/>
          <w:szCs w:val="20"/>
          <w:color w:val="00162F"/>
        </w:rPr>
        <w:t>and $40 million of mark-to-market net unrealized gains associated with certain equity investments recognized as net special items. These amounts were offset in part by $40 million of net special charges related to debt refinancings and extinguishments and other costs, as well as $15 million of foreign currency losses.</w:t>
      </w:r>
    </w:p>
    <w:p>
      <w:pPr>
        <w:spacing w:after="0" w:line="129"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9"/>
          <w:szCs w:val="19"/>
          <w:color w:val="00162F"/>
        </w:rPr>
        <w:t>In 2024, other nonoperating income, net included $113 million of non-service related pension and other postretirement benefit plan income, offset in part by $48 million of foreign currency losses, $24 million of net special charges primarily for debt refinancings and extinguishments and mark-to-market net unrealized losses associated with certain equity investments and $24 million of net losses related to our equity investments accounted for under the equity method.</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Income Taxes</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In 2025, we recorded an income tax provision of $79 million with an effective rate of approximately 41.2%, which was substantially non-cash. Substantially all of our income before income taxes is attributable to the United States. At December 31, 2025, we had approximately $11.9 billion of gross federal NOLs and $6.0 billion of other carryforwards available to reduce future federal taxable income, of which $1.6 billion will expire beginning in 2033 if unused and $16.3 billion can be carried forward indefinitely. We also had approximately $5.0 billion of NOL carryforwards to reduce future state taxable income at December 31, 2025, which will expire in taxable years 2025 through 2045 if unused.</w:t>
      </w:r>
    </w:p>
    <w:p>
      <w:pPr>
        <w:spacing w:after="0" w:line="143"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In 2024, we recorded an income tax provision of $308 million at an effective rate of approximately 26.7%, which was substantially non-cash.</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See Note 6 to AAG’s Consolidated Financial Statements in Part II, Item 8A for additional information on income taxes.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American’s Results of Operations</w:t>
      </w:r>
    </w:p>
    <w:p>
      <w:pPr>
        <w:spacing w:after="0" w:line="97"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For a comparison of the 2024 to 2023 reporting periods, see Part II, Item 7. Management’s Discussion and Analysis of Financial Condition and Results of Operations – “</w:t>
      </w:r>
      <w:r>
        <w:rPr>
          <w:rFonts w:ascii="Arial" w:cs="Arial" w:eastAsia="Arial" w:hAnsi="Arial"/>
          <w:sz w:val="20"/>
          <w:szCs w:val="20"/>
          <w:i w:val="1"/>
          <w:iCs w:val="1"/>
          <w:color w:val="00162F"/>
        </w:rPr>
        <w:t>American’s Results of Operations”</w:t>
      </w:r>
      <w:r>
        <w:rPr>
          <w:rFonts w:ascii="Arial" w:cs="Arial" w:eastAsia="Arial" w:hAnsi="Arial"/>
          <w:sz w:val="20"/>
          <w:szCs w:val="20"/>
          <w:color w:val="00162F"/>
        </w:rPr>
        <w:t xml:space="preserve"> of American’s 2024 Form 10-K.</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Operating Revenues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2560" w:type="dxa"/>
            <w:vAlign w:val="bottom"/>
            <w:tcBorders>
              <w:bottom w:val="single" w:sz="8" w:color="00162F"/>
            </w:tcBorders>
            <w:gridSpan w:val="5"/>
          </w:tcPr>
          <w:p>
            <w:pPr>
              <w:jc w:val="right"/>
              <w:ind w:right="365"/>
              <w:spacing w:after="0"/>
              <w:rPr>
                <w:sz w:val="20"/>
                <w:szCs w:val="20"/>
                <w:color w:val="auto"/>
              </w:rPr>
            </w:pPr>
            <w:r>
              <w:rPr>
                <w:rFonts w:ascii="Arial" w:cs="Arial" w:eastAsia="Arial" w:hAnsi="Arial"/>
                <w:sz w:val="16"/>
                <w:szCs w:val="16"/>
                <w:b w:val="1"/>
                <w:bCs w:val="1"/>
                <w:color w:val="00162F"/>
              </w:rPr>
              <w:t>Year Ended December 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restart"/>
          </w:tcPr>
          <w:p>
            <w:pPr>
              <w:jc w:val="center"/>
              <w:ind w:right="128"/>
              <w:spacing w:after="0"/>
              <w:rPr>
                <w:sz w:val="20"/>
                <w:szCs w:val="20"/>
                <w:color w:val="auto"/>
              </w:rPr>
            </w:pPr>
            <w:r>
              <w:rPr>
                <w:rFonts w:ascii="Arial" w:cs="Arial" w:eastAsia="Arial" w:hAnsi="Arial"/>
                <w:sz w:val="16"/>
                <w:szCs w:val="16"/>
                <w:b w:val="1"/>
                <w:bCs w:val="1"/>
                <w:color w:val="00162F"/>
                <w:w w:val="98"/>
              </w:rPr>
              <w:t>Percent</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388"/>
              <w:spacing w:after="0"/>
              <w:rPr>
                <w:sz w:val="20"/>
                <w:szCs w:val="20"/>
                <w:color w:val="auto"/>
              </w:rPr>
            </w:pPr>
            <w:r>
              <w:rPr>
                <w:rFonts w:ascii="Arial" w:cs="Arial" w:eastAsia="Arial" w:hAnsi="Arial"/>
                <w:sz w:val="16"/>
                <w:szCs w:val="16"/>
                <w:b w:val="1"/>
                <w:bCs w:val="1"/>
                <w:color w:val="00162F"/>
              </w:rPr>
              <w:t>2025</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vMerge w:val="restart"/>
          </w:tcPr>
          <w:p>
            <w:pPr>
              <w:jc w:val="right"/>
              <w:ind w:right="425"/>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vMerge w:val="restart"/>
          </w:tcPr>
          <w:p>
            <w:pPr>
              <w:jc w:val="right"/>
              <w:ind w:right="285"/>
              <w:spacing w:after="0"/>
              <w:rPr>
                <w:sz w:val="20"/>
                <w:szCs w:val="20"/>
                <w:color w:val="auto"/>
              </w:rPr>
            </w:pPr>
            <w:r>
              <w:rPr>
                <w:rFonts w:ascii="Arial" w:cs="Arial" w:eastAsia="Arial" w:hAnsi="Arial"/>
                <w:sz w:val="16"/>
                <w:szCs w:val="16"/>
                <w:b w:val="1"/>
                <w:bCs w:val="1"/>
                <w:color w:val="00162F"/>
              </w:rPr>
              <w:t>Increase</w:t>
            </w: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1060" w:type="dxa"/>
            <w:vAlign w:val="bottom"/>
            <w:tcBorders>
              <w:bottom w:val="single" w:sz="8" w:color="00162F"/>
            </w:tcBorders>
            <w:vMerge w:val="continue"/>
          </w:tcPr>
          <w:p>
            <w:pPr>
              <w:spacing w:after="0"/>
              <w:rPr>
                <w:sz w:val="18"/>
                <w:szCs w:val="18"/>
                <w:color w:val="auto"/>
              </w:rPr>
            </w:pPr>
          </w:p>
        </w:tc>
        <w:tc>
          <w:tcPr>
            <w:tcW w:w="40" w:type="dxa"/>
            <w:vAlign w:val="bottom"/>
            <w:tcBorders>
              <w:bottom w:val="single" w:sz="8" w:color="00162F"/>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040" w:type="dxa"/>
            <w:vAlign w:val="bottom"/>
            <w:tcBorders>
              <w:bottom w:val="single" w:sz="8" w:color="00162F"/>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00162F"/>
            </w:tcBorders>
          </w:tcPr>
          <w:p>
            <w:pPr>
              <w:spacing w:after="0"/>
              <w:rPr>
                <w:sz w:val="18"/>
                <w:szCs w:val="18"/>
                <w:color w:val="auto"/>
              </w:rPr>
            </w:pPr>
          </w:p>
        </w:tc>
        <w:tc>
          <w:tcPr>
            <w:tcW w:w="1140" w:type="dxa"/>
            <w:vAlign w:val="bottom"/>
            <w:tcBorders>
              <w:bottom w:val="single" w:sz="8" w:color="00162F"/>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00162F"/>
            </w:tcBorders>
            <w:vMerge w:val="continue"/>
          </w:tcPr>
          <w:p>
            <w:pPr>
              <w:spacing w:after="0"/>
              <w:rPr>
                <w:sz w:val="18"/>
                <w:szCs w:val="18"/>
                <w:color w:val="auto"/>
              </w:rPr>
            </w:pPr>
          </w:p>
        </w:tc>
        <w:tc>
          <w:tcPr>
            <w:tcW w:w="1200" w:type="dxa"/>
            <w:vAlign w:val="bottom"/>
            <w:tcBorders>
              <w:bottom w:val="single" w:sz="8" w:color="00162F"/>
            </w:tcBorders>
          </w:tcPr>
          <w:p>
            <w:pPr>
              <w:jc w:val="center"/>
              <w:ind w:right="108"/>
              <w:spacing w:after="0"/>
              <w:rPr>
                <w:sz w:val="20"/>
                <w:szCs w:val="20"/>
                <w:color w:val="auto"/>
              </w:rPr>
            </w:pPr>
            <w:r>
              <w:rPr>
                <w:rFonts w:ascii="Arial" w:cs="Arial" w:eastAsia="Arial" w:hAnsi="Arial"/>
                <w:sz w:val="16"/>
                <w:szCs w:val="16"/>
                <w:b w:val="1"/>
                <w:bCs w:val="1"/>
                <w:color w:val="00162F"/>
                <w:w w:val="98"/>
              </w:rPr>
              <w:t>Increase</w:t>
            </w:r>
          </w:p>
        </w:tc>
        <w:tc>
          <w:tcPr>
            <w:tcW w:w="0" w:type="dxa"/>
            <w:vAlign w:val="bottom"/>
          </w:tcPr>
          <w:p>
            <w:pPr>
              <w:spacing w:after="0"/>
              <w:rPr>
                <w:sz w:val="1"/>
                <w:szCs w:val="1"/>
                <w:color w:val="auto"/>
              </w:rPr>
            </w:pPr>
          </w:p>
        </w:tc>
      </w:tr>
      <w:tr>
        <w:trPr>
          <w:trHeight w:val="240"/>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60" w:type="dxa"/>
            <w:vAlign w:val="bottom"/>
            <w:gridSpan w:val="9"/>
          </w:tcPr>
          <w:p>
            <w:pPr>
              <w:ind w:left="20"/>
              <w:spacing w:after="0"/>
              <w:rPr>
                <w:sz w:val="20"/>
                <w:szCs w:val="20"/>
                <w:color w:val="auto"/>
              </w:rPr>
            </w:pPr>
            <w:r>
              <w:rPr>
                <w:rFonts w:ascii="Arial" w:cs="Arial" w:eastAsia="Arial" w:hAnsi="Arial"/>
                <w:sz w:val="16"/>
                <w:szCs w:val="16"/>
                <w:b w:val="1"/>
                <w:bCs w:val="1"/>
                <w:color w:val="00162F"/>
              </w:rPr>
              <w:t>(In millions, except percentage changes)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48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Passenger</w:t>
            </w:r>
          </w:p>
        </w:tc>
        <w:tc>
          <w:tcPr>
            <w:tcW w:w="300" w:type="dxa"/>
            <w:vAlign w:val="bottom"/>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49,643</w:t>
            </w:r>
          </w:p>
        </w:tc>
        <w:tc>
          <w:tcPr>
            <w:tcW w:w="460" w:type="dxa"/>
            <w:vAlign w:val="bottom"/>
            <w:gridSpan w:val="3"/>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49,586</w:t>
            </w:r>
          </w:p>
        </w:tc>
        <w:tc>
          <w:tcPr>
            <w:tcW w:w="340" w:type="dxa"/>
            <w:vAlign w:val="bottom"/>
            <w:gridSpan w:val="2"/>
            <w:shd w:val="clear" w:color="auto" w:fill="EDEDED"/>
          </w:tcPr>
          <w:p>
            <w:pPr>
              <w:jc w:val="right"/>
              <w:ind w:right="100"/>
              <w:spacing w:after="0"/>
              <w:rPr>
                <w:sz w:val="20"/>
                <w:szCs w:val="20"/>
                <w:color w:val="auto"/>
              </w:rPr>
            </w:pPr>
            <w:r>
              <w:rPr>
                <w:rFonts w:ascii="Arial" w:cs="Arial" w:eastAsia="Arial" w:hAnsi="Arial"/>
                <w:sz w:val="20"/>
                <w:szCs w:val="20"/>
                <w:color w:val="00162F"/>
              </w:rPr>
              <w:t>$</w:t>
            </w: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57</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00" w:type="dxa"/>
            <w:vAlign w:val="bottom"/>
            <w:shd w:val="clear" w:color="auto" w:fill="EDEDED"/>
          </w:tcPr>
          <w:p>
            <w:pPr>
              <w:jc w:val="center"/>
              <w:ind w:right="108"/>
              <w:spacing w:after="0"/>
              <w:rPr>
                <w:sz w:val="20"/>
                <w:szCs w:val="20"/>
                <w:color w:val="auto"/>
              </w:rPr>
            </w:pPr>
            <w:r>
              <w:rPr>
                <w:rFonts w:ascii="Arial" w:cs="Arial" w:eastAsia="Arial" w:hAnsi="Arial"/>
                <w:sz w:val="20"/>
                <w:szCs w:val="20"/>
                <w:color w:val="00162F"/>
              </w:rPr>
              <w:t>0.1</w:t>
            </w:r>
          </w:p>
        </w:tc>
        <w:tc>
          <w:tcPr>
            <w:tcW w:w="0" w:type="dxa"/>
            <w:vAlign w:val="bottom"/>
          </w:tcPr>
          <w:p>
            <w:pPr>
              <w:spacing w:after="0"/>
              <w:rPr>
                <w:sz w:val="1"/>
                <w:szCs w:val="1"/>
                <w:color w:val="auto"/>
              </w:rPr>
            </w:pPr>
          </w:p>
        </w:tc>
      </w:tr>
      <w:tr>
        <w:trPr>
          <w:trHeight w:val="293"/>
        </w:trPr>
        <w:tc>
          <w:tcPr>
            <w:tcW w:w="4860" w:type="dxa"/>
            <w:vAlign w:val="bottom"/>
          </w:tcPr>
          <w:p>
            <w:pPr>
              <w:ind w:left="180"/>
              <w:spacing w:after="0"/>
              <w:rPr>
                <w:sz w:val="20"/>
                <w:szCs w:val="20"/>
                <w:color w:val="auto"/>
              </w:rPr>
            </w:pPr>
            <w:r>
              <w:rPr>
                <w:rFonts w:ascii="Arial" w:cs="Arial" w:eastAsia="Arial" w:hAnsi="Arial"/>
                <w:sz w:val="20"/>
                <w:szCs w:val="20"/>
                <w:color w:val="00162F"/>
              </w:rPr>
              <w:t>Cargo</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839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804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108"/>
              <w:spacing w:after="0"/>
              <w:rPr>
                <w:sz w:val="20"/>
                <w:szCs w:val="20"/>
                <w:color w:val="auto"/>
              </w:rPr>
            </w:pPr>
            <w:r>
              <w:rPr>
                <w:rFonts w:ascii="Arial" w:cs="Arial" w:eastAsia="Arial" w:hAnsi="Arial"/>
                <w:sz w:val="20"/>
                <w:szCs w:val="20"/>
                <w:color w:val="00162F"/>
              </w:rPr>
              <w:t>4.3</w:t>
            </w:r>
          </w:p>
        </w:tc>
        <w:tc>
          <w:tcPr>
            <w:tcW w:w="0" w:type="dxa"/>
            <w:vAlign w:val="bottom"/>
          </w:tcPr>
          <w:p>
            <w:pPr>
              <w:spacing w:after="0"/>
              <w:rPr>
                <w:sz w:val="1"/>
                <w:szCs w:val="1"/>
                <w:color w:val="auto"/>
              </w:rPr>
            </w:pPr>
          </w:p>
        </w:tc>
      </w:tr>
      <w:tr>
        <w:trPr>
          <w:trHeight w:val="311"/>
        </w:trPr>
        <w:tc>
          <w:tcPr>
            <w:tcW w:w="486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Other</w:t>
            </w:r>
          </w:p>
        </w:tc>
        <w:tc>
          <w:tcPr>
            <w:tcW w:w="30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4,144</w:t>
            </w:r>
          </w:p>
        </w:tc>
        <w:tc>
          <w:tcPr>
            <w:tcW w:w="40" w:type="dxa"/>
            <w:vAlign w:val="bottom"/>
            <w:tcBorders>
              <w:bottom w:val="single" w:sz="8" w:color="00162F"/>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3,814</w:t>
            </w:r>
          </w:p>
        </w:tc>
        <w:tc>
          <w:tcPr>
            <w:tcW w:w="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spacing w:after="0"/>
              <w:rPr>
                <w:sz w:val="24"/>
                <w:szCs w:val="24"/>
                <w:color w:val="auto"/>
              </w:rPr>
            </w:pPr>
          </w:p>
        </w:tc>
        <w:tc>
          <w:tcPr>
            <w:tcW w:w="11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330</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EDEDED"/>
            </w:tcBorders>
            <w:shd w:val="clear" w:color="auto" w:fill="EDEDED"/>
          </w:tcPr>
          <w:p>
            <w:pPr>
              <w:spacing w:after="0"/>
              <w:rPr>
                <w:sz w:val="24"/>
                <w:szCs w:val="24"/>
                <w:color w:val="auto"/>
              </w:rPr>
            </w:pPr>
          </w:p>
        </w:tc>
        <w:tc>
          <w:tcPr>
            <w:tcW w:w="1200" w:type="dxa"/>
            <w:vAlign w:val="bottom"/>
            <w:tcBorders>
              <w:bottom w:val="single" w:sz="8" w:color="EDEDED"/>
            </w:tcBorders>
            <w:shd w:val="clear" w:color="auto" w:fill="EDEDED"/>
          </w:tcPr>
          <w:p>
            <w:pPr>
              <w:jc w:val="center"/>
              <w:ind w:right="108"/>
              <w:spacing w:after="0"/>
              <w:rPr>
                <w:sz w:val="20"/>
                <w:szCs w:val="20"/>
                <w:color w:val="auto"/>
              </w:rPr>
            </w:pPr>
            <w:r>
              <w:rPr>
                <w:rFonts w:ascii="Arial" w:cs="Arial" w:eastAsia="Arial" w:hAnsi="Arial"/>
                <w:sz w:val="20"/>
                <w:szCs w:val="20"/>
                <w:color w:val="00162F"/>
              </w:rPr>
              <w:t>8.7</w:t>
            </w:r>
          </w:p>
        </w:tc>
        <w:tc>
          <w:tcPr>
            <w:tcW w:w="0" w:type="dxa"/>
            <w:vAlign w:val="bottom"/>
          </w:tcPr>
          <w:p>
            <w:pPr>
              <w:spacing w:after="0"/>
              <w:rPr>
                <w:sz w:val="1"/>
                <w:szCs w:val="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20"/>
                <w:szCs w:val="20"/>
                <w:color w:val="00162F"/>
              </w:rPr>
              <w:t>Total operating revenues</w:t>
            </w:r>
          </w:p>
        </w:tc>
        <w:tc>
          <w:tcPr>
            <w:tcW w:w="300" w:type="dxa"/>
            <w:vAlign w:val="bottom"/>
          </w:tcPr>
          <w:p>
            <w:pPr>
              <w:jc w:val="right"/>
              <w:ind w:right="41"/>
              <w:spacing w:after="0"/>
              <w:rPr>
                <w:sz w:val="20"/>
                <w:szCs w:val="20"/>
                <w:color w:val="auto"/>
              </w:rPr>
            </w:pPr>
            <w:r>
              <w:rPr>
                <w:rFonts w:ascii="Arial" w:cs="Arial" w:eastAsia="Arial" w:hAnsi="Arial"/>
                <w:sz w:val="20"/>
                <w:szCs w:val="20"/>
                <w:color w:val="00162F"/>
              </w:rPr>
              <w:t>$</w:t>
            </w:r>
          </w:p>
        </w:tc>
        <w:tc>
          <w:tcPr>
            <w:tcW w:w="1060" w:type="dxa"/>
            <w:vAlign w:val="bottom"/>
          </w:tcPr>
          <w:p>
            <w:pPr>
              <w:jc w:val="right"/>
              <w:spacing w:after="0"/>
              <w:rPr>
                <w:sz w:val="20"/>
                <w:szCs w:val="20"/>
                <w:color w:val="auto"/>
              </w:rPr>
            </w:pPr>
            <w:r>
              <w:rPr>
                <w:rFonts w:ascii="Arial" w:cs="Arial" w:eastAsia="Arial" w:hAnsi="Arial"/>
                <w:sz w:val="20"/>
                <w:szCs w:val="20"/>
                <w:color w:val="00162F"/>
              </w:rPr>
              <w:t>54,626</w:t>
            </w:r>
          </w:p>
        </w:tc>
        <w:tc>
          <w:tcPr>
            <w:tcW w:w="460" w:type="dxa"/>
            <w:vAlign w:val="bottom"/>
            <w:gridSpan w:val="3"/>
          </w:tcPr>
          <w:p>
            <w:pPr>
              <w:jc w:val="right"/>
              <w:ind w:right="180"/>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54,204</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00162F"/>
              </w:rPr>
              <w:t>$</w:t>
            </w:r>
          </w:p>
        </w:tc>
        <w:tc>
          <w:tcPr>
            <w:tcW w:w="1140" w:type="dxa"/>
            <w:vAlign w:val="bottom"/>
          </w:tcPr>
          <w:p>
            <w:pPr>
              <w:jc w:val="right"/>
              <w:spacing w:after="0"/>
              <w:rPr>
                <w:sz w:val="20"/>
                <w:szCs w:val="20"/>
                <w:color w:val="auto"/>
              </w:rPr>
            </w:pPr>
            <w:r>
              <w:rPr>
                <w:rFonts w:ascii="Arial" w:cs="Arial" w:eastAsia="Arial" w:hAnsi="Arial"/>
                <w:sz w:val="20"/>
                <w:szCs w:val="20"/>
                <w:color w:val="00162F"/>
              </w:rPr>
              <w:t>422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08"/>
              <w:spacing w:after="0"/>
              <w:rPr>
                <w:sz w:val="20"/>
                <w:szCs w:val="20"/>
                <w:color w:val="auto"/>
              </w:rPr>
            </w:pPr>
            <w:r>
              <w:rPr>
                <w:rFonts w:ascii="Arial" w:cs="Arial" w:eastAsia="Arial" w:hAnsi="Arial"/>
                <w:sz w:val="20"/>
                <w:szCs w:val="20"/>
                <w:color w:val="00162F"/>
              </w:rPr>
              <w:t>0.8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top w:val="single" w:sz="8" w:color="00162F"/>
              <w:bottom w:val="single" w:sz="8" w:color="00162F"/>
            </w:tcBorders>
          </w:tcPr>
          <w:p>
            <w:pPr>
              <w:spacing w:after="0" w:line="20" w:lineRule="exact"/>
              <w:rPr>
                <w:sz w:val="1"/>
                <w:szCs w:val="1"/>
                <w:color w:val="auto"/>
              </w:rPr>
            </w:pPr>
          </w:p>
        </w:tc>
        <w:tc>
          <w:tcPr>
            <w:tcW w:w="1060" w:type="dxa"/>
            <w:vAlign w:val="bottom"/>
            <w:tcBorders>
              <w:top w:val="single" w:sz="8" w:color="00162F"/>
              <w:bottom w:val="single" w:sz="8" w:color="00162F"/>
            </w:tcBorders>
          </w:tcPr>
          <w:p>
            <w:pPr>
              <w:spacing w:after="0" w:line="20" w:lineRule="exact"/>
              <w:rPr>
                <w:sz w:val="1"/>
                <w:szCs w:val="1"/>
                <w:color w:val="auto"/>
              </w:rPr>
            </w:pPr>
          </w:p>
        </w:tc>
        <w:tc>
          <w:tcPr>
            <w:tcW w:w="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04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00162F"/>
              <w:bottom w:val="single" w:sz="8" w:color="00162F"/>
            </w:tcBorders>
          </w:tcPr>
          <w:p>
            <w:pPr>
              <w:spacing w:after="0" w:line="20" w:lineRule="exact"/>
              <w:rPr>
                <w:sz w:val="1"/>
                <w:szCs w:val="1"/>
                <w:color w:val="auto"/>
              </w:rPr>
            </w:pPr>
          </w:p>
        </w:tc>
        <w:tc>
          <w:tcPr>
            <w:tcW w:w="11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-219710</wp:posOffset>
            </wp:positionV>
            <wp:extent cx="27876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2787650" cy="25400"/>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Passenger revenue remained relatively flat in 2025 as compared to 2024. American’s passenger revenue in 2025 was impacted by the American Eagle flight 5342 accident and softness in domestic demand for air travel in the first half of the year, offset by strength in international travel, particularly in the Atlantic and Pacific regions, and recovery in domestic travel in the second half of the year despite the negative revenue impact from the temporary shutdown of the U.S. Government in the fourth quarter of 2025.</w:t>
      </w:r>
    </w:p>
    <w:p>
      <w:pPr>
        <w:spacing w:after="0" w:line="139"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Other operating revenue increased $330 million, or 8.7%, in 2025 from 2024 driven primarily by higher revenue associated with American’s loyalty program. During 2025 and 2024, cash payments from co-branded credit card and other partners were $6.2 billion and $6.1 billion, respectively. Cash remuneration in 2024 included a one-time cash payment related to the new co-branded credit card agreement announced in December 2024. This one-time cash payment will be amortized over the life of the new agreement beginning in 2026.</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68</w:t>
      </w:r>
    </w:p>
    <w:p>
      <w:pPr>
        <w:sectPr>
          <w:pgSz w:w="11880" w:h="15480" w:orient="portrait"/>
          <w:cols w:equalWidth="0" w:num="1">
            <w:col w:w="10680"/>
          </w:cols>
          <w:pgMar w:left="600" w:top="992" w:right="600" w:bottom="0" w:gutter="0" w:footer="0" w:header="0"/>
          <w:type w:val="continuous"/>
        </w:sectPr>
      </w:pPr>
    </w:p>
    <w:bookmarkStart w:id="69" w:name="page70"/>
    <w:bookmarkEnd w:id="69"/>
    <w:p>
      <w:pPr>
        <w:ind w:left="260"/>
        <w:spacing w:after="0"/>
        <w:rPr>
          <w:sz w:val="20"/>
          <w:szCs w:val="20"/>
          <w:color w:val="auto"/>
        </w:rPr>
      </w:pPr>
      <w:r>
        <w:rPr>
          <w:rFonts w:ascii="Arial" w:cs="Arial" w:eastAsia="Arial" w:hAnsi="Arial"/>
          <w:sz w:val="20"/>
          <w:szCs w:val="20"/>
          <w:b w:val="1"/>
          <w:bCs w:val="1"/>
          <w:i w:val="1"/>
          <w:iCs w:val="1"/>
          <w:color w:val="00162F"/>
        </w:rPr>
        <w:t>Operating Expenses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vMerge w:val="restart"/>
          </w:tcPr>
          <w:p>
            <w:pPr>
              <w:jc w:val="right"/>
              <w:ind w:right="363"/>
              <w:spacing w:after="0"/>
              <w:rPr>
                <w:sz w:val="20"/>
                <w:szCs w:val="20"/>
                <w:color w:val="auto"/>
              </w:rPr>
            </w:pPr>
            <w:r>
              <w:rPr>
                <w:rFonts w:ascii="Arial" w:cs="Arial" w:eastAsia="Arial" w:hAnsi="Arial"/>
                <w:sz w:val="16"/>
                <w:szCs w:val="16"/>
                <w:b w:val="1"/>
                <w:bCs w:val="1"/>
                <w:color w:val="00162F"/>
              </w:rPr>
              <w:t>Year Ended 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85"/>
              <w:spacing w:after="0"/>
              <w:rPr>
                <w:sz w:val="20"/>
                <w:szCs w:val="20"/>
                <w:color w:val="auto"/>
              </w:rPr>
            </w:pPr>
            <w:r>
              <w:rPr>
                <w:rFonts w:ascii="Arial" w:cs="Arial" w:eastAsia="Arial" w:hAnsi="Arial"/>
                <w:sz w:val="16"/>
                <w:szCs w:val="16"/>
                <w:b w:val="1"/>
                <w:bCs w:val="1"/>
                <w:color w:val="00162F"/>
                <w:w w:val="98"/>
              </w:rPr>
              <w:t>Percent</w:t>
            </w: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300" w:type="dxa"/>
            <w:vAlign w:val="bottom"/>
            <w:tcBorders>
              <w:bottom w:val="single" w:sz="8" w:color="00162F"/>
            </w:tcBorders>
          </w:tcPr>
          <w:p>
            <w:pPr>
              <w:spacing w:after="0"/>
              <w:rPr>
                <w:sz w:val="10"/>
                <w:szCs w:val="10"/>
                <w:color w:val="auto"/>
              </w:rPr>
            </w:pPr>
          </w:p>
        </w:tc>
        <w:tc>
          <w:tcPr>
            <w:tcW w:w="2560" w:type="dxa"/>
            <w:vAlign w:val="bottom"/>
            <w:tcBorders>
              <w:bottom w:val="single" w:sz="8" w:color="00162F"/>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restart"/>
          </w:tcPr>
          <w:p>
            <w:pPr>
              <w:ind w:left="160"/>
              <w:spacing w:after="0" w:line="158" w:lineRule="exact"/>
              <w:rPr>
                <w:sz w:val="20"/>
                <w:szCs w:val="20"/>
                <w:color w:val="auto"/>
              </w:rPr>
            </w:pPr>
            <w:r>
              <w:rPr>
                <w:rFonts w:ascii="Arial" w:cs="Arial" w:eastAsia="Arial" w:hAnsi="Arial"/>
                <w:sz w:val="16"/>
                <w:szCs w:val="16"/>
                <w:b w:val="1"/>
                <w:bCs w:val="1"/>
                <w:color w:val="00162F"/>
              </w:rPr>
              <w:t>Increase</w:t>
            </w:r>
          </w:p>
        </w:tc>
        <w:tc>
          <w:tcPr>
            <w:tcW w:w="1240" w:type="dxa"/>
            <w:vAlign w:val="bottom"/>
            <w:vMerge w:val="restart"/>
          </w:tcPr>
          <w:p>
            <w:pPr>
              <w:jc w:val="center"/>
              <w:ind w:right="65"/>
              <w:spacing w:after="0" w:line="158" w:lineRule="exact"/>
              <w:rPr>
                <w:sz w:val="20"/>
                <w:szCs w:val="20"/>
                <w:color w:val="auto"/>
              </w:rPr>
            </w:pPr>
            <w:r>
              <w:rPr>
                <w:rFonts w:ascii="Arial" w:cs="Arial" w:eastAsia="Arial" w:hAnsi="Arial"/>
                <w:sz w:val="16"/>
                <w:szCs w:val="16"/>
                <w:b w:val="1"/>
                <w:bCs w:val="1"/>
                <w:color w:val="00162F"/>
                <w:w w:val="98"/>
              </w:rPr>
              <w:t>Increase</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384"/>
              <w:spacing w:after="0"/>
              <w:rPr>
                <w:sz w:val="20"/>
                <w:szCs w:val="20"/>
                <w:color w:val="auto"/>
              </w:rPr>
            </w:pPr>
            <w:r>
              <w:rPr>
                <w:rFonts w:ascii="Arial" w:cs="Arial" w:eastAsia="Arial" w:hAnsi="Arial"/>
                <w:sz w:val="16"/>
                <w:szCs w:val="16"/>
                <w:b w:val="1"/>
                <w:bCs w:val="1"/>
                <w:color w:val="00162F"/>
              </w:rPr>
              <w:t>2025</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vMerge w:val="restart"/>
          </w:tcPr>
          <w:p>
            <w:pPr>
              <w:jc w:val="right"/>
              <w:ind w:right="423"/>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1060" w:type="dxa"/>
            <w:vAlign w:val="bottom"/>
            <w:tcBorders>
              <w:bottom w:val="single" w:sz="8" w:color="00162F"/>
            </w:tcBorders>
            <w:vMerge w:val="continue"/>
          </w:tcPr>
          <w:p>
            <w:pPr>
              <w:spacing w:after="0"/>
              <w:rPr>
                <w:sz w:val="18"/>
                <w:szCs w:val="18"/>
                <w:color w:val="auto"/>
              </w:rPr>
            </w:pPr>
          </w:p>
        </w:tc>
        <w:tc>
          <w:tcPr>
            <w:tcW w:w="40" w:type="dxa"/>
            <w:vAlign w:val="bottom"/>
            <w:tcBorders>
              <w:bottom w:val="single" w:sz="8" w:color="00162F"/>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040" w:type="dxa"/>
            <w:vAlign w:val="bottom"/>
            <w:tcBorders>
              <w:bottom w:val="single" w:sz="8" w:color="00162F"/>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180" w:type="dxa"/>
            <w:vAlign w:val="bottom"/>
            <w:tcBorders>
              <w:bottom w:val="single" w:sz="8" w:color="00162F"/>
            </w:tcBorders>
          </w:tcPr>
          <w:p>
            <w:pPr>
              <w:jc w:val="right"/>
              <w:ind w:right="204"/>
              <w:spacing w:after="0"/>
              <w:rPr>
                <w:sz w:val="20"/>
                <w:szCs w:val="20"/>
                <w:color w:val="auto"/>
              </w:rPr>
            </w:pPr>
            <w:r>
              <w:rPr>
                <w:rFonts w:ascii="Arial" w:cs="Arial" w:eastAsia="Arial" w:hAnsi="Arial"/>
                <w:sz w:val="16"/>
                <w:szCs w:val="16"/>
                <w:b w:val="1"/>
                <w:bCs w:val="1"/>
                <w:color w:val="00162F"/>
              </w:rPr>
              <w:t>(Decrease)</w:t>
            </w:r>
          </w:p>
        </w:tc>
        <w:tc>
          <w:tcPr>
            <w:tcW w:w="80" w:type="dxa"/>
            <w:vAlign w:val="bottom"/>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240" w:type="dxa"/>
            <w:vAlign w:val="bottom"/>
            <w:tcBorders>
              <w:bottom w:val="single" w:sz="8" w:color="00162F"/>
            </w:tcBorders>
          </w:tcPr>
          <w:p>
            <w:pPr>
              <w:jc w:val="center"/>
              <w:ind w:right="65"/>
              <w:spacing w:after="0"/>
              <w:rPr>
                <w:sz w:val="20"/>
                <w:szCs w:val="20"/>
                <w:color w:val="auto"/>
              </w:rPr>
            </w:pPr>
            <w:r>
              <w:rPr>
                <w:rFonts w:ascii="Arial" w:cs="Arial" w:eastAsia="Arial" w:hAnsi="Arial"/>
                <w:sz w:val="16"/>
                <w:szCs w:val="16"/>
                <w:b w:val="1"/>
                <w:bCs w:val="1"/>
                <w:color w:val="00162F"/>
                <w:w w:val="97"/>
              </w:rPr>
              <w:t>(Decrease)</w:t>
            </w:r>
          </w:p>
        </w:tc>
        <w:tc>
          <w:tcPr>
            <w:tcW w:w="0" w:type="dxa"/>
            <w:vAlign w:val="bottom"/>
          </w:tcPr>
          <w:p>
            <w:pPr>
              <w:spacing w:after="0"/>
              <w:rPr>
                <w:sz w:val="1"/>
                <w:szCs w:val="1"/>
                <w:color w:val="auto"/>
              </w:rPr>
            </w:pPr>
          </w:p>
        </w:tc>
      </w:tr>
      <w:tr>
        <w:trPr>
          <w:trHeight w:val="240"/>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20" w:type="dxa"/>
            <w:vAlign w:val="bottom"/>
            <w:gridSpan w:val="9"/>
          </w:tcPr>
          <w:p>
            <w:pPr>
              <w:ind w:left="20"/>
              <w:spacing w:after="0"/>
              <w:rPr>
                <w:sz w:val="20"/>
                <w:szCs w:val="20"/>
                <w:color w:val="auto"/>
              </w:rPr>
            </w:pPr>
            <w:r>
              <w:rPr>
                <w:rFonts w:ascii="Arial" w:cs="Arial" w:eastAsia="Arial" w:hAnsi="Arial"/>
                <w:sz w:val="16"/>
                <w:szCs w:val="16"/>
                <w:b w:val="1"/>
                <w:bCs w:val="1"/>
                <w:color w:val="00162F"/>
              </w:rPr>
              <w:t>(In millions, except percentage changes)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48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Aircraft fuel and related taxes</w:t>
            </w:r>
          </w:p>
        </w:tc>
        <w:tc>
          <w:tcPr>
            <w:tcW w:w="300" w:type="dxa"/>
            <w:vAlign w:val="bottom"/>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10,718</w:t>
            </w:r>
          </w:p>
        </w:tc>
        <w:tc>
          <w:tcPr>
            <w:tcW w:w="460" w:type="dxa"/>
            <w:vAlign w:val="bottom"/>
            <w:gridSpan w:val="3"/>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11,418</w:t>
            </w:r>
          </w:p>
        </w:tc>
        <w:tc>
          <w:tcPr>
            <w:tcW w:w="3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(700)</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240" w:type="dxa"/>
            <w:vAlign w:val="bottom"/>
            <w:shd w:val="clear" w:color="auto" w:fill="EDEDED"/>
          </w:tcPr>
          <w:p>
            <w:pPr>
              <w:jc w:val="center"/>
              <w:ind w:right="65"/>
              <w:spacing w:after="0"/>
              <w:rPr>
                <w:sz w:val="20"/>
                <w:szCs w:val="20"/>
                <w:color w:val="auto"/>
              </w:rPr>
            </w:pPr>
            <w:r>
              <w:rPr>
                <w:rFonts w:ascii="Arial" w:cs="Arial" w:eastAsia="Arial" w:hAnsi="Arial"/>
                <w:sz w:val="20"/>
                <w:szCs w:val="20"/>
                <w:color w:val="00162F"/>
                <w:w w:val="97"/>
              </w:rPr>
              <w:t>(6.1)</w:t>
            </w:r>
          </w:p>
        </w:tc>
        <w:tc>
          <w:tcPr>
            <w:tcW w:w="0" w:type="dxa"/>
            <w:vAlign w:val="bottom"/>
          </w:tcPr>
          <w:p>
            <w:pPr>
              <w:spacing w:after="0"/>
              <w:rPr>
                <w:sz w:val="1"/>
                <w:szCs w:val="1"/>
                <w:color w:val="auto"/>
              </w:rPr>
            </w:pPr>
          </w:p>
        </w:tc>
      </w:tr>
      <w:tr>
        <w:trPr>
          <w:trHeight w:val="293"/>
        </w:trPr>
        <w:tc>
          <w:tcPr>
            <w:tcW w:w="4860" w:type="dxa"/>
            <w:vAlign w:val="bottom"/>
          </w:tcPr>
          <w:p>
            <w:pPr>
              <w:ind w:left="40"/>
              <w:spacing w:after="0"/>
              <w:rPr>
                <w:sz w:val="20"/>
                <w:szCs w:val="20"/>
                <w:color w:val="auto"/>
              </w:rPr>
            </w:pPr>
            <w:r>
              <w:rPr>
                <w:rFonts w:ascii="Arial" w:cs="Arial" w:eastAsia="Arial" w:hAnsi="Arial"/>
                <w:sz w:val="20"/>
                <w:szCs w:val="20"/>
                <w:color w:val="00162F"/>
              </w:rPr>
              <w:t>Salaries, wages and benefits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17,556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16,012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1,544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65"/>
              <w:spacing w:after="0"/>
              <w:rPr>
                <w:sz w:val="20"/>
                <w:szCs w:val="20"/>
                <w:color w:val="auto"/>
              </w:rPr>
            </w:pPr>
            <w:r>
              <w:rPr>
                <w:rFonts w:ascii="Arial" w:cs="Arial" w:eastAsia="Arial" w:hAnsi="Arial"/>
                <w:sz w:val="20"/>
                <w:szCs w:val="20"/>
                <w:color w:val="00162F"/>
              </w:rPr>
              <w:t>9.6</w:t>
            </w:r>
          </w:p>
        </w:tc>
        <w:tc>
          <w:tcPr>
            <w:tcW w:w="0" w:type="dxa"/>
            <w:vAlign w:val="bottom"/>
          </w:tcPr>
          <w:p>
            <w:pPr>
              <w:spacing w:after="0"/>
              <w:rPr>
                <w:sz w:val="1"/>
                <w:szCs w:val="1"/>
                <w:color w:val="auto"/>
              </w:rPr>
            </w:pPr>
          </w:p>
        </w:tc>
      </w:tr>
      <w:tr>
        <w:trPr>
          <w:trHeight w:val="301"/>
        </w:trPr>
        <w:tc>
          <w:tcPr>
            <w:tcW w:w="48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Regional expenses</w:t>
            </w: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5,406</w:t>
            </w:r>
          </w:p>
        </w:tc>
        <w:tc>
          <w:tcPr>
            <w:tcW w:w="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5,009</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397</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240" w:type="dxa"/>
            <w:vAlign w:val="bottom"/>
            <w:shd w:val="clear" w:color="auto" w:fill="EDEDED"/>
          </w:tcPr>
          <w:p>
            <w:pPr>
              <w:jc w:val="center"/>
              <w:ind w:right="65"/>
              <w:spacing w:after="0"/>
              <w:rPr>
                <w:sz w:val="20"/>
                <w:szCs w:val="20"/>
                <w:color w:val="auto"/>
              </w:rPr>
            </w:pPr>
            <w:r>
              <w:rPr>
                <w:rFonts w:ascii="Arial" w:cs="Arial" w:eastAsia="Arial" w:hAnsi="Arial"/>
                <w:sz w:val="20"/>
                <w:szCs w:val="20"/>
                <w:color w:val="00162F"/>
              </w:rPr>
              <w:t>7.9</w:t>
            </w:r>
          </w:p>
        </w:tc>
        <w:tc>
          <w:tcPr>
            <w:tcW w:w="0" w:type="dxa"/>
            <w:vAlign w:val="bottom"/>
          </w:tcPr>
          <w:p>
            <w:pPr>
              <w:spacing w:after="0"/>
              <w:rPr>
                <w:sz w:val="1"/>
                <w:szCs w:val="1"/>
                <w:color w:val="auto"/>
              </w:rPr>
            </w:pPr>
          </w:p>
        </w:tc>
      </w:tr>
      <w:tr>
        <w:trPr>
          <w:trHeight w:val="293"/>
        </w:trPr>
        <w:tc>
          <w:tcPr>
            <w:tcW w:w="4860" w:type="dxa"/>
            <w:vAlign w:val="bottom"/>
          </w:tcPr>
          <w:p>
            <w:pPr>
              <w:ind w:left="40"/>
              <w:spacing w:after="0"/>
              <w:rPr>
                <w:sz w:val="20"/>
                <w:szCs w:val="20"/>
                <w:color w:val="auto"/>
              </w:rPr>
            </w:pPr>
            <w:r>
              <w:rPr>
                <w:rFonts w:ascii="Arial" w:cs="Arial" w:eastAsia="Arial" w:hAnsi="Arial"/>
                <w:sz w:val="20"/>
                <w:szCs w:val="20"/>
                <w:color w:val="00162F"/>
              </w:rPr>
              <w:t>Maintenance, materials and repairs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3,844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3,794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65"/>
              <w:spacing w:after="0"/>
              <w:rPr>
                <w:sz w:val="20"/>
                <w:szCs w:val="20"/>
                <w:color w:val="auto"/>
              </w:rPr>
            </w:pPr>
            <w:r>
              <w:rPr>
                <w:rFonts w:ascii="Arial" w:cs="Arial" w:eastAsia="Arial" w:hAnsi="Arial"/>
                <w:sz w:val="20"/>
                <w:szCs w:val="20"/>
                <w:color w:val="00162F"/>
              </w:rPr>
              <w:t>1.3</w:t>
            </w:r>
          </w:p>
        </w:tc>
        <w:tc>
          <w:tcPr>
            <w:tcW w:w="0" w:type="dxa"/>
            <w:vAlign w:val="bottom"/>
          </w:tcPr>
          <w:p>
            <w:pPr>
              <w:spacing w:after="0"/>
              <w:rPr>
                <w:sz w:val="1"/>
                <w:szCs w:val="1"/>
                <w:color w:val="auto"/>
              </w:rPr>
            </w:pPr>
          </w:p>
        </w:tc>
      </w:tr>
      <w:tr>
        <w:trPr>
          <w:trHeight w:val="301"/>
        </w:trPr>
        <w:tc>
          <w:tcPr>
            <w:tcW w:w="48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Other rent and landing fees</w:t>
            </w: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3,476</w:t>
            </w:r>
          </w:p>
        </w:tc>
        <w:tc>
          <w:tcPr>
            <w:tcW w:w="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3,303</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173</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240" w:type="dxa"/>
            <w:vAlign w:val="bottom"/>
            <w:shd w:val="clear" w:color="auto" w:fill="EDEDED"/>
          </w:tcPr>
          <w:p>
            <w:pPr>
              <w:jc w:val="center"/>
              <w:ind w:right="65"/>
              <w:spacing w:after="0"/>
              <w:rPr>
                <w:sz w:val="20"/>
                <w:szCs w:val="20"/>
                <w:color w:val="auto"/>
              </w:rPr>
            </w:pPr>
            <w:r>
              <w:rPr>
                <w:rFonts w:ascii="Arial" w:cs="Arial" w:eastAsia="Arial" w:hAnsi="Arial"/>
                <w:sz w:val="20"/>
                <w:szCs w:val="20"/>
                <w:color w:val="00162F"/>
              </w:rPr>
              <w:t>5.2</w:t>
            </w:r>
          </w:p>
        </w:tc>
        <w:tc>
          <w:tcPr>
            <w:tcW w:w="0" w:type="dxa"/>
            <w:vAlign w:val="bottom"/>
          </w:tcPr>
          <w:p>
            <w:pPr>
              <w:spacing w:after="0"/>
              <w:rPr>
                <w:sz w:val="1"/>
                <w:szCs w:val="1"/>
                <w:color w:val="auto"/>
              </w:rPr>
            </w:pPr>
          </w:p>
        </w:tc>
      </w:tr>
      <w:tr>
        <w:trPr>
          <w:trHeight w:val="293"/>
        </w:trPr>
        <w:tc>
          <w:tcPr>
            <w:tcW w:w="4860" w:type="dxa"/>
            <w:vAlign w:val="bottom"/>
          </w:tcPr>
          <w:p>
            <w:pPr>
              <w:ind w:left="40"/>
              <w:spacing w:after="0"/>
              <w:rPr>
                <w:sz w:val="20"/>
                <w:szCs w:val="20"/>
                <w:color w:val="auto"/>
              </w:rPr>
            </w:pPr>
            <w:r>
              <w:rPr>
                <w:rFonts w:ascii="Arial" w:cs="Arial" w:eastAsia="Arial" w:hAnsi="Arial"/>
                <w:sz w:val="20"/>
                <w:szCs w:val="20"/>
                <w:color w:val="00162F"/>
              </w:rPr>
              <w:t>Aircraft rent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1,220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1,242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385"/>
              <w:spacing w:after="0"/>
              <w:rPr>
                <w:sz w:val="20"/>
                <w:szCs w:val="20"/>
                <w:color w:val="auto"/>
              </w:rPr>
            </w:pPr>
            <w:r>
              <w:rPr>
                <w:rFonts w:ascii="Arial" w:cs="Arial" w:eastAsia="Arial" w:hAnsi="Arial"/>
                <w:sz w:val="20"/>
                <w:szCs w:val="20"/>
                <w:color w:val="00162F"/>
              </w:rPr>
              <w:t>(1.8)</w:t>
            </w:r>
          </w:p>
        </w:tc>
        <w:tc>
          <w:tcPr>
            <w:tcW w:w="0" w:type="dxa"/>
            <w:vAlign w:val="bottom"/>
          </w:tcPr>
          <w:p>
            <w:pPr>
              <w:spacing w:after="0"/>
              <w:rPr>
                <w:sz w:val="1"/>
                <w:szCs w:val="1"/>
                <w:color w:val="auto"/>
              </w:rPr>
            </w:pPr>
          </w:p>
        </w:tc>
      </w:tr>
      <w:tr>
        <w:trPr>
          <w:trHeight w:val="301"/>
        </w:trPr>
        <w:tc>
          <w:tcPr>
            <w:tcW w:w="48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Selling expenses</w:t>
            </w: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1,997</w:t>
            </w:r>
          </w:p>
        </w:tc>
        <w:tc>
          <w:tcPr>
            <w:tcW w:w="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1,812</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185</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240" w:type="dxa"/>
            <w:vAlign w:val="bottom"/>
            <w:shd w:val="clear" w:color="auto" w:fill="EDEDED"/>
          </w:tcPr>
          <w:p>
            <w:pPr>
              <w:jc w:val="center"/>
              <w:ind w:right="65"/>
              <w:spacing w:after="0"/>
              <w:rPr>
                <w:sz w:val="20"/>
                <w:szCs w:val="20"/>
                <w:color w:val="auto"/>
              </w:rPr>
            </w:pPr>
            <w:r>
              <w:rPr>
                <w:rFonts w:ascii="Arial" w:cs="Arial" w:eastAsia="Arial" w:hAnsi="Arial"/>
                <w:sz w:val="20"/>
                <w:szCs w:val="20"/>
                <w:color w:val="00162F"/>
              </w:rPr>
              <w:t>10.2</w:t>
            </w:r>
          </w:p>
        </w:tc>
        <w:tc>
          <w:tcPr>
            <w:tcW w:w="0" w:type="dxa"/>
            <w:vAlign w:val="bottom"/>
          </w:tcPr>
          <w:p>
            <w:pPr>
              <w:spacing w:after="0"/>
              <w:rPr>
                <w:sz w:val="1"/>
                <w:szCs w:val="1"/>
                <w:color w:val="auto"/>
              </w:rPr>
            </w:pPr>
          </w:p>
        </w:tc>
      </w:tr>
      <w:tr>
        <w:trPr>
          <w:trHeight w:val="293"/>
        </w:trPr>
        <w:tc>
          <w:tcPr>
            <w:tcW w:w="4860" w:type="dxa"/>
            <w:vAlign w:val="bottom"/>
          </w:tcPr>
          <w:p>
            <w:pPr>
              <w:ind w:left="40"/>
              <w:spacing w:after="0"/>
              <w:rPr>
                <w:sz w:val="20"/>
                <w:szCs w:val="20"/>
                <w:color w:val="auto"/>
              </w:rPr>
            </w:pPr>
            <w:r>
              <w:rPr>
                <w:rFonts w:ascii="Arial" w:cs="Arial" w:eastAsia="Arial" w:hAnsi="Arial"/>
                <w:sz w:val="20"/>
                <w:szCs w:val="20"/>
                <w:color w:val="00162F"/>
              </w:rPr>
              <w:t>Depreciation and amortization</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1,884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1,919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65"/>
              <w:spacing w:after="0"/>
              <w:rPr>
                <w:sz w:val="20"/>
                <w:szCs w:val="20"/>
                <w:color w:val="auto"/>
              </w:rPr>
            </w:pPr>
            <w:r>
              <w:rPr>
                <w:rFonts w:ascii="Arial" w:cs="Arial" w:eastAsia="Arial" w:hAnsi="Arial"/>
                <w:sz w:val="20"/>
                <w:szCs w:val="20"/>
                <w:color w:val="00162F"/>
                <w:w w:val="97"/>
              </w:rPr>
              <w:t>(1.8)</w:t>
            </w:r>
          </w:p>
        </w:tc>
        <w:tc>
          <w:tcPr>
            <w:tcW w:w="0" w:type="dxa"/>
            <w:vAlign w:val="bottom"/>
          </w:tcPr>
          <w:p>
            <w:pPr>
              <w:spacing w:after="0"/>
              <w:rPr>
                <w:sz w:val="1"/>
                <w:szCs w:val="1"/>
                <w:color w:val="auto"/>
              </w:rPr>
            </w:pPr>
          </w:p>
        </w:tc>
      </w:tr>
      <w:tr>
        <w:trPr>
          <w:trHeight w:val="301"/>
        </w:trPr>
        <w:tc>
          <w:tcPr>
            <w:tcW w:w="48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Mainline operating special items, net</w:t>
            </w: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159</w:t>
            </w:r>
          </w:p>
        </w:tc>
        <w:tc>
          <w:tcPr>
            <w:tcW w:w="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610</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(451)</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240" w:type="dxa"/>
            <w:vAlign w:val="bottom"/>
            <w:shd w:val="clear" w:color="auto" w:fill="EDEDED"/>
          </w:tcPr>
          <w:p>
            <w:pPr>
              <w:jc w:val="center"/>
              <w:ind w:right="65"/>
              <w:spacing w:after="0"/>
              <w:rPr>
                <w:sz w:val="20"/>
                <w:szCs w:val="20"/>
                <w:color w:val="auto"/>
              </w:rPr>
            </w:pPr>
            <w:r>
              <w:rPr>
                <w:rFonts w:ascii="Arial" w:cs="Arial" w:eastAsia="Arial" w:hAnsi="Arial"/>
                <w:sz w:val="20"/>
                <w:szCs w:val="20"/>
                <w:color w:val="00162F"/>
                <w:w w:val="99"/>
              </w:rPr>
              <w:t>(73.9)</w:t>
            </w:r>
          </w:p>
        </w:tc>
        <w:tc>
          <w:tcPr>
            <w:tcW w:w="0" w:type="dxa"/>
            <w:vAlign w:val="bottom"/>
          </w:tcPr>
          <w:p>
            <w:pPr>
              <w:spacing w:after="0"/>
              <w:rPr>
                <w:sz w:val="1"/>
                <w:szCs w:val="1"/>
                <w:color w:val="auto"/>
              </w:rPr>
            </w:pPr>
          </w:p>
        </w:tc>
      </w:tr>
      <w:tr>
        <w:trPr>
          <w:trHeight w:val="287"/>
        </w:trPr>
        <w:tc>
          <w:tcPr>
            <w:tcW w:w="486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Other</w:t>
            </w:r>
          </w:p>
        </w:tc>
        <w:tc>
          <w:tcPr>
            <w:tcW w:w="30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6,855</w:t>
            </w:r>
          </w:p>
        </w:tc>
        <w:tc>
          <w:tcPr>
            <w:tcW w:w="40" w:type="dxa"/>
            <w:vAlign w:val="bottom"/>
            <w:tcBorders>
              <w:bottom w:val="single" w:sz="8" w:color="00162F"/>
            </w:tcBorders>
          </w:tcPr>
          <w:p>
            <w:pPr>
              <w:spacing w:after="0"/>
              <w:rPr>
                <w:sz w:val="24"/>
                <w:szCs w:val="24"/>
                <w:color w:val="auto"/>
              </w:rPr>
            </w:pP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6,431</w:t>
            </w:r>
          </w:p>
        </w:tc>
        <w:tc>
          <w:tcPr>
            <w:tcW w:w="60" w:type="dxa"/>
            <w:vAlign w:val="bottom"/>
            <w:tcBorders>
              <w:bottom w:val="single" w:sz="8" w:color="EDEDED"/>
            </w:tcBorders>
          </w:tcPr>
          <w:p>
            <w:pPr>
              <w:spacing w:after="0"/>
              <w:rPr>
                <w:sz w:val="24"/>
                <w:szCs w:val="24"/>
                <w:color w:val="auto"/>
              </w:rPr>
            </w:pPr>
          </w:p>
        </w:tc>
        <w:tc>
          <w:tcPr>
            <w:tcW w:w="240" w:type="dxa"/>
            <w:vAlign w:val="bottom"/>
            <w:tcBorders>
              <w:bottom w:val="single" w:sz="8" w:color="00162F"/>
            </w:tcBorders>
          </w:tcPr>
          <w:p>
            <w:pPr>
              <w:spacing w:after="0"/>
              <w:rPr>
                <w:sz w:val="24"/>
                <w:szCs w:val="24"/>
                <w:color w:val="auto"/>
              </w:rPr>
            </w:pPr>
          </w:p>
        </w:tc>
        <w:tc>
          <w:tcPr>
            <w:tcW w:w="11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424</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EDEDED"/>
            </w:tcBorders>
          </w:tcPr>
          <w:p>
            <w:pPr>
              <w:spacing w:after="0"/>
              <w:rPr>
                <w:sz w:val="24"/>
                <w:szCs w:val="24"/>
                <w:color w:val="auto"/>
              </w:rPr>
            </w:pPr>
          </w:p>
        </w:tc>
        <w:tc>
          <w:tcPr>
            <w:tcW w:w="1240" w:type="dxa"/>
            <w:vAlign w:val="bottom"/>
            <w:tcBorders>
              <w:bottom w:val="single" w:sz="8" w:color="EDEDED"/>
            </w:tcBorders>
          </w:tcPr>
          <w:p>
            <w:pPr>
              <w:jc w:val="right"/>
              <w:ind w:right="445"/>
              <w:spacing w:after="0"/>
              <w:rPr>
                <w:sz w:val="20"/>
                <w:szCs w:val="20"/>
                <w:color w:val="auto"/>
              </w:rPr>
            </w:pPr>
            <w:r>
              <w:rPr>
                <w:rFonts w:ascii="Arial" w:cs="Arial" w:eastAsia="Arial" w:hAnsi="Arial"/>
                <w:sz w:val="20"/>
                <w:szCs w:val="20"/>
                <w:color w:val="00162F"/>
              </w:rPr>
              <w:t>6.6</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Total operating expenses</w:t>
            </w:r>
          </w:p>
        </w:tc>
        <w:tc>
          <w:tcPr>
            <w:tcW w:w="300" w:type="dxa"/>
            <w:vAlign w:val="bottom"/>
            <w:tcBorders>
              <w:bottom w:val="single" w:sz="8" w:color="00162F"/>
            </w:tcBorders>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53,115</w:t>
            </w:r>
          </w:p>
        </w:tc>
        <w:tc>
          <w:tcPr>
            <w:tcW w:w="40" w:type="dxa"/>
            <w:vAlign w:val="bottom"/>
            <w:tcBorders>
              <w:bottom w:val="single" w:sz="8" w:color="00162F"/>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51,550</w:t>
            </w:r>
          </w:p>
        </w:tc>
        <w:tc>
          <w:tcPr>
            <w:tcW w:w="60" w:type="dxa"/>
            <w:vAlign w:val="bottom"/>
            <w:tcBorders>
              <w:bottom w:val="single" w:sz="8" w:color="EDEDED"/>
            </w:tcBorders>
            <w:shd w:val="clear" w:color="auto" w:fill="EDEDED"/>
          </w:tcPr>
          <w:p>
            <w:pPr>
              <w:spacing w:after="0"/>
              <w:rPr>
                <w:sz w:val="24"/>
                <w:szCs w:val="24"/>
                <w:color w:val="auto"/>
              </w:rPr>
            </w:pPr>
          </w:p>
        </w:tc>
        <w:tc>
          <w:tcPr>
            <w:tcW w:w="2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1,565</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EDEDED"/>
            </w:tcBorders>
            <w:shd w:val="clear" w:color="auto" w:fill="EDEDED"/>
          </w:tcPr>
          <w:p>
            <w:pPr>
              <w:spacing w:after="0"/>
              <w:rPr>
                <w:sz w:val="24"/>
                <w:szCs w:val="24"/>
                <w:color w:val="auto"/>
              </w:rPr>
            </w:pPr>
          </w:p>
        </w:tc>
        <w:tc>
          <w:tcPr>
            <w:tcW w:w="1240" w:type="dxa"/>
            <w:vAlign w:val="bottom"/>
            <w:tcBorders>
              <w:bottom w:val="single" w:sz="8" w:color="EDEDED"/>
            </w:tcBorders>
            <w:shd w:val="clear" w:color="auto" w:fill="EDEDED"/>
          </w:tcPr>
          <w:p>
            <w:pPr>
              <w:jc w:val="center"/>
              <w:ind w:right="65"/>
              <w:spacing w:after="0"/>
              <w:rPr>
                <w:sz w:val="20"/>
                <w:szCs w:val="20"/>
                <w:color w:val="auto"/>
              </w:rPr>
            </w:pPr>
            <w:r>
              <w:rPr>
                <w:rFonts w:ascii="Arial" w:cs="Arial" w:eastAsia="Arial" w:hAnsi="Arial"/>
                <w:sz w:val="20"/>
                <w:szCs w:val="20"/>
                <w:color w:val="00162F"/>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-219710</wp:posOffset>
            </wp:positionV>
            <wp:extent cx="27876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2787650" cy="25400"/>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-43815</wp:posOffset>
            </wp:positionV>
            <wp:extent cx="2787650"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2787650" cy="50800"/>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Aircraft fuel and related taxes decreased $700 million, or 6.1%, in 2025 from 2024 primarily due to an 8.2% decrease in the average price per gallon of aircraft fuel including related taxes to $2.39 in 2025 from $2.60 in 2024, offset in part by a 2.2% increase in gallons of fuel consumed due to increased capacity.</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Salaries, wages and benefits increased $1.5 billion, or 9.6%, in 2025 from 2024 primarily due to contractual wage rate increases and higher costs for benefit-related items associated with newly ratified and extended labor agreements reached in 2024, as well as annual contractual wage rate increases in American’s other labor agreements.</w:t>
      </w:r>
    </w:p>
    <w:p>
      <w:pPr>
        <w:spacing w:after="0" w:line="129"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Regional expenses increased $ 397 million, or 7.9%, in 2025 from 2024 primarily due to an increase in regional flight operations and costs at American’s regional carriers.</w:t>
      </w:r>
    </w:p>
    <w:p>
      <w:pPr>
        <w:spacing w:after="0" w:line="11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Maintenance, materials and repairs increased $50 million, or 1.3%, in 2025 from 2024 primarily due to increased costs for airframe heavy checks and component part repairs driven by higher volume, offset in part by a decrease in the volume of engine overhauls.</w:t>
      </w:r>
    </w:p>
    <w:p>
      <w:pPr>
        <w:spacing w:after="0" w:line="129"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Other rent and landing fees increased $173 million, or 5.2%, in 2025 from 2024 primarily due to rate increases at certain airports, offset in part by a decrease in leased engines.</w:t>
      </w:r>
    </w:p>
    <w:p>
      <w:pPr>
        <w:spacing w:after="0" w:line="11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Selling expenses increased $185 million, or 10.2%, in 2025 from 2024 primarily due to an increase in commissions expense, driven by higher costs resulting from renegotiated agency contracts, as well as an increase in advertising expenses. Higher credit card fees driven by higher rates also contributed to the increase in selling expenses.</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Other operating expenses increased $424 million, or 6.6%, in 2025 from 2024 primarily driven by increased costs for crew travel, onboard food and catering, ground and cargo handling, and airport lounge operations, as well as certain general and administrative expenses.</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69</w:t>
      </w:r>
    </w:p>
    <w:p>
      <w:pPr>
        <w:sectPr>
          <w:pgSz w:w="11880" w:h="15480" w:orient="portrait"/>
          <w:cols w:equalWidth="0" w:num="1">
            <w:col w:w="10680"/>
          </w:cols>
          <w:pgMar w:left="600" w:top="994" w:right="600" w:bottom="0" w:gutter="0" w:footer="0" w:header="0"/>
          <w:type w:val="continuous"/>
        </w:sectPr>
      </w:pPr>
    </w:p>
    <w:bookmarkStart w:id="70" w:name="page71"/>
    <w:bookmarkEnd w:id="70"/>
    <w:p>
      <w:pPr>
        <w:ind w:left="265"/>
        <w:spacing w:after="0"/>
        <w:rPr>
          <w:sz w:val="20"/>
          <w:szCs w:val="20"/>
          <w:color w:val="auto"/>
        </w:rPr>
      </w:pPr>
      <w:r>
        <w:rPr>
          <w:rFonts w:ascii="Arial" w:cs="Arial" w:eastAsia="Arial" w:hAnsi="Arial"/>
          <w:sz w:val="20"/>
          <w:szCs w:val="20"/>
          <w:b w:val="1"/>
          <w:bCs w:val="1"/>
          <w:i w:val="1"/>
          <w:iCs w:val="1"/>
          <w:color w:val="00162F"/>
        </w:rPr>
        <w:t>Operating Special Items, Net</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880" w:type="dxa"/>
            <w:vAlign w:val="bottom"/>
            <w:tcBorders>
              <w:bottom w:val="single" w:sz="8" w:color="00162F"/>
            </w:tcBorders>
            <w:gridSpan w:val="4"/>
          </w:tcPr>
          <w:p>
            <w:pPr>
              <w:jc w:val="right"/>
              <w:ind w:right="121"/>
              <w:spacing w:after="0"/>
              <w:rPr>
                <w:sz w:val="20"/>
                <w:szCs w:val="20"/>
                <w:color w:val="auto"/>
              </w:rPr>
            </w:pPr>
            <w:r>
              <w:rPr>
                <w:rFonts w:ascii="Arial" w:cs="Arial" w:eastAsia="Arial" w:hAnsi="Arial"/>
                <w:sz w:val="16"/>
                <w:szCs w:val="16"/>
                <w:b w:val="1"/>
                <w:bCs w:val="1"/>
                <w:color w:val="00162F"/>
              </w:rPr>
              <w:t>Year Ended December 31,</w:t>
            </w:r>
          </w:p>
        </w:tc>
        <w:tc>
          <w:tcPr>
            <w:tcW w:w="540" w:type="dxa"/>
            <w:vAlign w:val="bottom"/>
            <w:tcBorders>
              <w:bottom w:val="single" w:sz="8" w:color="00162F"/>
            </w:tcBorders>
          </w:tcPr>
          <w:p>
            <w:pPr>
              <w:spacing w:after="0"/>
              <w:rPr>
                <w:sz w:val="18"/>
                <w:szCs w:val="18"/>
                <w:color w:val="auto"/>
              </w:rPr>
            </w:pPr>
          </w:p>
        </w:tc>
      </w:tr>
      <w:tr>
        <w:trPr>
          <w:trHeight w:val="218"/>
        </w:trPr>
        <w:tc>
          <w:tcPr>
            <w:tcW w:w="19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40" w:type="dxa"/>
            <w:vAlign w:val="bottom"/>
            <w:tcBorders>
              <w:bottom w:val="single" w:sz="8" w:color="00162F"/>
            </w:tcBorders>
          </w:tcPr>
          <w:p>
            <w:pPr>
              <w:jc w:val="right"/>
              <w:ind w:right="51"/>
              <w:spacing w:after="0"/>
              <w:rPr>
                <w:sz w:val="20"/>
                <w:szCs w:val="20"/>
                <w:color w:val="auto"/>
              </w:rPr>
            </w:pPr>
            <w:r>
              <w:rPr>
                <w:rFonts w:ascii="Arial" w:cs="Arial" w:eastAsia="Arial" w:hAnsi="Arial"/>
                <w:sz w:val="16"/>
                <w:szCs w:val="16"/>
                <w:b w:val="1"/>
                <w:bCs w:val="1"/>
                <w:color w:val="00162F"/>
              </w:rPr>
              <w:t>2025</w:t>
            </w:r>
          </w:p>
        </w:tc>
        <w:tc>
          <w:tcPr>
            <w:tcW w:w="540" w:type="dxa"/>
            <w:vAlign w:val="bottom"/>
            <w:tcBorders>
              <w:bottom w:val="single" w:sz="8" w:color="00162F"/>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00162F"/>
            </w:tcBorders>
          </w:tcPr>
          <w:p>
            <w:pPr>
              <w:jc w:val="right"/>
              <w:ind w:right="41"/>
              <w:spacing w:after="0"/>
              <w:rPr>
                <w:sz w:val="20"/>
                <w:szCs w:val="20"/>
                <w:color w:val="auto"/>
              </w:rPr>
            </w:pPr>
            <w:r>
              <w:rPr>
                <w:rFonts w:ascii="Arial" w:cs="Arial" w:eastAsia="Arial" w:hAnsi="Arial"/>
                <w:sz w:val="16"/>
                <w:szCs w:val="16"/>
                <w:b w:val="1"/>
                <w:bCs w:val="1"/>
                <w:color w:val="00162F"/>
              </w:rPr>
              <w:t>2024</w:t>
            </w:r>
          </w:p>
        </w:tc>
        <w:tc>
          <w:tcPr>
            <w:tcW w:w="540" w:type="dxa"/>
            <w:vAlign w:val="bottom"/>
            <w:tcBorders>
              <w:bottom w:val="single" w:sz="8" w:color="00162F"/>
            </w:tcBorders>
          </w:tcPr>
          <w:p>
            <w:pPr>
              <w:spacing w:after="0"/>
              <w:rPr>
                <w:sz w:val="18"/>
                <w:szCs w:val="18"/>
                <w:color w:val="auto"/>
              </w:rPr>
            </w:pPr>
          </w:p>
        </w:tc>
      </w:tr>
      <w:tr>
        <w:trPr>
          <w:trHeight w:val="225"/>
        </w:trPr>
        <w:tc>
          <w:tcPr>
            <w:tcW w:w="196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gridSpan w:val="3"/>
          </w:tcPr>
          <w:p>
            <w:pPr>
              <w:jc w:val="right"/>
              <w:ind w:right="641"/>
              <w:spacing w:after="0"/>
              <w:rPr>
                <w:sz w:val="20"/>
                <w:szCs w:val="20"/>
                <w:color w:val="auto"/>
              </w:rPr>
            </w:pPr>
            <w:r>
              <w:rPr>
                <w:rFonts w:ascii="Arial" w:cs="Arial" w:eastAsia="Arial" w:hAnsi="Arial"/>
                <w:sz w:val="16"/>
                <w:szCs w:val="16"/>
                <w:b w:val="1"/>
                <w:bCs w:val="1"/>
                <w:color w:val="00162F"/>
              </w:rPr>
              <w:t>(In millions)</w:t>
            </w:r>
          </w:p>
        </w:tc>
        <w:tc>
          <w:tcPr>
            <w:tcW w:w="540" w:type="dxa"/>
            <w:vAlign w:val="bottom"/>
          </w:tcPr>
          <w:p>
            <w:pPr>
              <w:spacing w:after="0"/>
              <w:rPr>
                <w:sz w:val="19"/>
                <w:szCs w:val="19"/>
                <w:color w:val="auto"/>
              </w:rPr>
            </w:pPr>
          </w:p>
        </w:tc>
      </w:tr>
      <w:tr>
        <w:trPr>
          <w:trHeight w:val="285"/>
        </w:trPr>
        <w:tc>
          <w:tcPr>
            <w:tcW w:w="726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Litigation reserve adjustments</w:t>
            </w:r>
          </w:p>
        </w:tc>
        <w:tc>
          <w:tcPr>
            <w:tcW w:w="1140" w:type="dxa"/>
            <w:vAlign w:val="bottom"/>
            <w:shd w:val="clear" w:color="auto" w:fill="EDEDED"/>
          </w:tcPr>
          <w:p>
            <w:pPr>
              <w:jc w:val="right"/>
              <w:ind w:right="891"/>
              <w:spacing w:after="0"/>
              <w:rPr>
                <w:sz w:val="20"/>
                <w:szCs w:val="20"/>
                <w:color w:val="auto"/>
              </w:rPr>
            </w:pPr>
            <w:r>
              <w:rPr>
                <w:rFonts w:ascii="Arial" w:cs="Arial" w:eastAsia="Arial" w:hAnsi="Arial"/>
                <w:sz w:val="20"/>
                <w:szCs w:val="20"/>
                <w:color w:val="00162F"/>
              </w:rPr>
              <w:t>$</w:t>
            </w:r>
          </w:p>
        </w:tc>
        <w:tc>
          <w:tcPr>
            <w:tcW w:w="5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77</w:t>
            </w:r>
          </w:p>
        </w:tc>
        <w:tc>
          <w:tcPr>
            <w:tcW w:w="1200" w:type="dxa"/>
            <w:vAlign w:val="bottom"/>
            <w:gridSpan w:val="2"/>
            <w:shd w:val="clear" w:color="auto" w:fill="EDEDED"/>
          </w:tcPr>
          <w:p>
            <w:pPr>
              <w:jc w:val="right"/>
              <w:ind w:right="901"/>
              <w:spacing w:after="0"/>
              <w:rPr>
                <w:sz w:val="20"/>
                <w:szCs w:val="20"/>
                <w:color w:val="auto"/>
              </w:rPr>
            </w:pPr>
            <w:r>
              <w:rPr>
                <w:rFonts w:ascii="Arial" w:cs="Arial" w:eastAsia="Arial" w:hAnsi="Arial"/>
                <w:sz w:val="20"/>
                <w:szCs w:val="20"/>
                <w:color w:val="00162F"/>
              </w:rPr>
              <w:t>$</w:t>
            </w:r>
          </w:p>
        </w:tc>
        <w:tc>
          <w:tcPr>
            <w:tcW w:w="5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93"/>
        </w:trPr>
        <w:tc>
          <w:tcPr>
            <w:tcW w:w="7260" w:type="dxa"/>
            <w:vAlign w:val="bottom"/>
            <w:gridSpan w:val="2"/>
          </w:tcPr>
          <w:p>
            <w:pPr>
              <w:ind w:left="40"/>
              <w:spacing w:after="0"/>
              <w:rPr>
                <w:sz w:val="20"/>
                <w:szCs w:val="20"/>
                <w:color w:val="auto"/>
              </w:rPr>
            </w:pPr>
            <w:r>
              <w:rPr>
                <w:rFonts w:ascii="Arial" w:cs="Arial" w:eastAsia="Arial" w:hAnsi="Arial"/>
                <w:sz w:val="20"/>
                <w:szCs w:val="20"/>
                <w:color w:val="00162F"/>
              </w:rPr>
              <w:t xml:space="preserve">Labor contract expenses </w:t>
            </w:r>
            <w:r>
              <w:rPr>
                <w:rFonts w:ascii="Arial" w:cs="Arial" w:eastAsia="Arial" w:hAnsi="Arial"/>
                <w:sz w:val="12"/>
                <w:szCs w:val="12"/>
                <w:color w:val="00162F"/>
              </w:rPr>
              <w:t>(1)</w:t>
            </w: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31</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605</w:t>
            </w:r>
          </w:p>
        </w:tc>
      </w:tr>
      <w:tr>
        <w:trPr>
          <w:trHeight w:val="301"/>
        </w:trPr>
        <w:tc>
          <w:tcPr>
            <w:tcW w:w="726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Severance expenses</w:t>
            </w:r>
          </w:p>
        </w:tc>
        <w:tc>
          <w:tcPr>
            <w:tcW w:w="1140" w:type="dxa"/>
            <w:vAlign w:val="bottom"/>
            <w:shd w:val="clear" w:color="auto" w:fill="EDEDED"/>
          </w:tcPr>
          <w:p>
            <w:pPr>
              <w:spacing w:after="0"/>
              <w:rPr>
                <w:sz w:val="24"/>
                <w:szCs w:val="24"/>
                <w:color w:val="auto"/>
              </w:rPr>
            </w:pPr>
          </w:p>
        </w:tc>
        <w:tc>
          <w:tcPr>
            <w:tcW w:w="5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44</w:t>
            </w:r>
          </w:p>
        </w:tc>
        <w:tc>
          <w:tcPr>
            <w:tcW w:w="6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5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w:t>
            </w:r>
          </w:p>
        </w:tc>
      </w:tr>
      <w:tr>
        <w:trPr>
          <w:trHeight w:val="293"/>
        </w:trPr>
        <w:tc>
          <w:tcPr>
            <w:tcW w:w="7260" w:type="dxa"/>
            <w:vAlign w:val="bottom"/>
            <w:gridSpan w:val="2"/>
          </w:tcPr>
          <w:p>
            <w:pPr>
              <w:ind w:left="40"/>
              <w:spacing w:after="0"/>
              <w:rPr>
                <w:sz w:val="20"/>
                <w:szCs w:val="20"/>
                <w:color w:val="auto"/>
              </w:rPr>
            </w:pPr>
            <w:r>
              <w:rPr>
                <w:rFonts w:ascii="Arial" w:cs="Arial" w:eastAsia="Arial" w:hAnsi="Arial"/>
                <w:sz w:val="20"/>
                <w:szCs w:val="20"/>
                <w:color w:val="00162F"/>
              </w:rPr>
              <w:t xml:space="preserve">A330 fleet-related adjustments </w:t>
            </w:r>
            <w:r>
              <w:rPr>
                <w:rFonts w:ascii="Arial" w:cs="Arial" w:eastAsia="Arial" w:hAnsi="Arial"/>
                <w:sz w:val="12"/>
                <w:szCs w:val="12"/>
                <w:color w:val="00162F"/>
              </w:rPr>
              <w:t>(2)</w:t>
            </w: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(42)</w:t>
            </w:r>
          </w:p>
        </w:tc>
      </w:tr>
      <w:tr>
        <w:trPr>
          <w:trHeight w:val="296"/>
        </w:trPr>
        <w:tc>
          <w:tcPr>
            <w:tcW w:w="726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Other operating special items, net</w:t>
            </w:r>
          </w:p>
        </w:tc>
        <w:tc>
          <w:tcPr>
            <w:tcW w:w="1140" w:type="dxa"/>
            <w:vAlign w:val="bottom"/>
            <w:tcBorders>
              <w:bottom w:val="single" w:sz="8" w:color="00162F"/>
            </w:tcBorders>
            <w:shd w:val="clear" w:color="auto" w:fill="EDEDED"/>
          </w:tcPr>
          <w:p>
            <w:pPr>
              <w:spacing w:after="0"/>
              <w:rPr>
                <w:sz w:val="24"/>
                <w:szCs w:val="24"/>
                <w:color w:val="auto"/>
              </w:rPr>
            </w:pPr>
          </w:p>
        </w:tc>
        <w:tc>
          <w:tcPr>
            <w:tcW w:w="5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w:t>
            </w:r>
          </w:p>
        </w:tc>
        <w:tc>
          <w:tcPr>
            <w:tcW w:w="60" w:type="dxa"/>
            <w:vAlign w:val="bottom"/>
            <w:tcBorders>
              <w:bottom w:val="single" w:sz="8" w:color="EDEDED"/>
            </w:tcBorders>
            <w:shd w:val="clear" w:color="auto" w:fill="EDEDED"/>
          </w:tcPr>
          <w:p>
            <w:pPr>
              <w:spacing w:after="0"/>
              <w:rPr>
                <w:sz w:val="24"/>
                <w:szCs w:val="24"/>
                <w:color w:val="auto"/>
              </w:rPr>
            </w:pPr>
          </w:p>
        </w:tc>
        <w:tc>
          <w:tcPr>
            <w:tcW w:w="1140" w:type="dxa"/>
            <w:vAlign w:val="bottom"/>
            <w:tcBorders>
              <w:bottom w:val="single" w:sz="8" w:color="00162F"/>
            </w:tcBorders>
            <w:shd w:val="clear" w:color="auto" w:fill="EDEDED"/>
          </w:tcPr>
          <w:p>
            <w:pPr>
              <w:spacing w:after="0"/>
              <w:rPr>
                <w:sz w:val="24"/>
                <w:szCs w:val="24"/>
                <w:color w:val="auto"/>
              </w:rPr>
            </w:pPr>
          </w:p>
        </w:tc>
        <w:tc>
          <w:tcPr>
            <w:tcW w:w="5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34</w:t>
            </w:r>
          </w:p>
        </w:tc>
      </w:tr>
      <w:tr>
        <w:trPr>
          <w:trHeight w:val="248"/>
        </w:trPr>
        <w:tc>
          <w:tcPr>
            <w:tcW w:w="7260" w:type="dxa"/>
            <w:vAlign w:val="bottom"/>
            <w:gridSpan w:val="2"/>
          </w:tcPr>
          <w:p>
            <w:pPr>
              <w:ind w:left="260"/>
              <w:spacing w:after="0"/>
              <w:rPr>
                <w:sz w:val="20"/>
                <w:szCs w:val="20"/>
                <w:color w:val="auto"/>
              </w:rPr>
            </w:pPr>
            <w:r>
              <w:rPr>
                <w:rFonts w:ascii="Arial" w:cs="Arial" w:eastAsia="Arial" w:hAnsi="Arial"/>
                <w:sz w:val="20"/>
                <w:szCs w:val="20"/>
                <w:color w:val="00162F"/>
              </w:rPr>
              <w:t>Mainline operating special items, net</w:t>
            </w:r>
          </w:p>
        </w:tc>
        <w:tc>
          <w:tcPr>
            <w:tcW w:w="1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159</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00162F"/>
              </w:rPr>
              <w:t>610</w:t>
            </w:r>
          </w:p>
        </w:tc>
      </w:tr>
      <w:tr>
        <w:trPr>
          <w:trHeight w:val="296"/>
        </w:trPr>
        <w:tc>
          <w:tcPr>
            <w:tcW w:w="726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Regional operating special items, net </w:t>
            </w:r>
            <w:r>
              <w:rPr>
                <w:rFonts w:ascii="Arial" w:cs="Arial" w:eastAsia="Arial" w:hAnsi="Arial"/>
                <w:sz w:val="12"/>
                <w:szCs w:val="12"/>
                <w:color w:val="00162F"/>
              </w:rPr>
              <w:t>(3)</w:t>
            </w:r>
          </w:p>
        </w:tc>
        <w:tc>
          <w:tcPr>
            <w:tcW w:w="1140" w:type="dxa"/>
            <w:vAlign w:val="bottom"/>
            <w:tcBorders>
              <w:bottom w:val="single" w:sz="8" w:color="00162F"/>
            </w:tcBorders>
            <w:shd w:val="clear" w:color="auto" w:fill="EDEDED"/>
          </w:tcPr>
          <w:p>
            <w:pPr>
              <w:spacing w:after="0"/>
              <w:rPr>
                <w:sz w:val="24"/>
                <w:szCs w:val="24"/>
                <w:color w:val="auto"/>
              </w:rPr>
            </w:pPr>
          </w:p>
        </w:tc>
        <w:tc>
          <w:tcPr>
            <w:tcW w:w="5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w:t>
            </w:r>
          </w:p>
        </w:tc>
        <w:tc>
          <w:tcPr>
            <w:tcW w:w="60" w:type="dxa"/>
            <w:vAlign w:val="bottom"/>
            <w:tcBorders>
              <w:bottom w:val="single" w:sz="8" w:color="EDEDED"/>
            </w:tcBorders>
            <w:shd w:val="clear" w:color="auto" w:fill="EDEDED"/>
          </w:tcPr>
          <w:p>
            <w:pPr>
              <w:spacing w:after="0"/>
              <w:rPr>
                <w:sz w:val="24"/>
                <w:szCs w:val="24"/>
                <w:color w:val="auto"/>
              </w:rPr>
            </w:pPr>
          </w:p>
        </w:tc>
        <w:tc>
          <w:tcPr>
            <w:tcW w:w="1140" w:type="dxa"/>
            <w:vAlign w:val="bottom"/>
            <w:tcBorders>
              <w:bottom w:val="single" w:sz="8" w:color="00162F"/>
            </w:tcBorders>
            <w:shd w:val="clear" w:color="auto" w:fill="EDEDED"/>
          </w:tcPr>
          <w:p>
            <w:pPr>
              <w:spacing w:after="0"/>
              <w:rPr>
                <w:sz w:val="24"/>
                <w:szCs w:val="24"/>
                <w:color w:val="auto"/>
              </w:rPr>
            </w:pPr>
          </w:p>
        </w:tc>
        <w:tc>
          <w:tcPr>
            <w:tcW w:w="5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w:t>
            </w:r>
          </w:p>
        </w:tc>
      </w:tr>
      <w:tr>
        <w:trPr>
          <w:trHeight w:val="222"/>
        </w:trPr>
        <w:tc>
          <w:tcPr>
            <w:tcW w:w="7260" w:type="dxa"/>
            <w:vAlign w:val="bottom"/>
            <w:gridSpan w:val="2"/>
          </w:tcPr>
          <w:p>
            <w:pPr>
              <w:ind w:left="500"/>
              <w:spacing w:after="0" w:line="222" w:lineRule="exact"/>
              <w:rPr>
                <w:sz w:val="20"/>
                <w:szCs w:val="20"/>
                <w:color w:val="auto"/>
              </w:rPr>
            </w:pPr>
            <w:r>
              <w:rPr>
                <w:rFonts w:ascii="Arial" w:cs="Arial" w:eastAsia="Arial" w:hAnsi="Arial"/>
                <w:sz w:val="20"/>
                <w:szCs w:val="20"/>
                <w:color w:val="00162F"/>
              </w:rPr>
              <w:t>Operating special items, net</w:t>
            </w:r>
          </w:p>
        </w:tc>
        <w:tc>
          <w:tcPr>
            <w:tcW w:w="1140" w:type="dxa"/>
            <w:vAlign w:val="bottom"/>
          </w:tcPr>
          <w:p>
            <w:pPr>
              <w:jc w:val="right"/>
              <w:ind w:right="891"/>
              <w:spacing w:after="0" w:line="222" w:lineRule="exact"/>
              <w:rPr>
                <w:sz w:val="20"/>
                <w:szCs w:val="20"/>
                <w:color w:val="auto"/>
              </w:rPr>
            </w:pPr>
            <w:r>
              <w:rPr>
                <w:rFonts w:ascii="Arial" w:cs="Arial" w:eastAsia="Arial" w:hAnsi="Arial"/>
                <w:sz w:val="20"/>
                <w:szCs w:val="20"/>
                <w:color w:val="00162F"/>
              </w:rPr>
              <w:t>$</w:t>
            </w:r>
          </w:p>
        </w:tc>
        <w:tc>
          <w:tcPr>
            <w:tcW w:w="540" w:type="dxa"/>
            <w:vAlign w:val="bottom"/>
          </w:tcPr>
          <w:p>
            <w:pPr>
              <w:jc w:val="right"/>
              <w:spacing w:after="0" w:line="222" w:lineRule="exact"/>
              <w:rPr>
                <w:sz w:val="20"/>
                <w:szCs w:val="20"/>
                <w:color w:val="auto"/>
              </w:rPr>
            </w:pPr>
            <w:r>
              <w:rPr>
                <w:rFonts w:ascii="Arial" w:cs="Arial" w:eastAsia="Arial" w:hAnsi="Arial"/>
                <w:sz w:val="20"/>
                <w:szCs w:val="20"/>
                <w:color w:val="00162F"/>
              </w:rPr>
              <w:t>162</w:t>
            </w:r>
          </w:p>
        </w:tc>
        <w:tc>
          <w:tcPr>
            <w:tcW w:w="1200" w:type="dxa"/>
            <w:vAlign w:val="bottom"/>
            <w:gridSpan w:val="2"/>
          </w:tcPr>
          <w:p>
            <w:pPr>
              <w:jc w:val="right"/>
              <w:ind w:right="901"/>
              <w:spacing w:after="0" w:line="222" w:lineRule="exact"/>
              <w:rPr>
                <w:sz w:val="20"/>
                <w:szCs w:val="20"/>
                <w:color w:val="auto"/>
              </w:rPr>
            </w:pPr>
            <w:r>
              <w:rPr>
                <w:rFonts w:ascii="Arial" w:cs="Arial" w:eastAsia="Arial" w:hAnsi="Arial"/>
                <w:sz w:val="20"/>
                <w:szCs w:val="20"/>
                <w:color w:val="00162F"/>
              </w:rPr>
              <w:t>$</w:t>
            </w:r>
          </w:p>
        </w:tc>
        <w:tc>
          <w:tcPr>
            <w:tcW w:w="540" w:type="dxa"/>
            <w:vAlign w:val="bottom"/>
          </w:tcPr>
          <w:p>
            <w:pPr>
              <w:jc w:val="right"/>
              <w:spacing w:after="0" w:line="222" w:lineRule="exact"/>
              <w:rPr>
                <w:sz w:val="20"/>
                <w:szCs w:val="20"/>
                <w:color w:val="auto"/>
              </w:rPr>
            </w:pPr>
            <w:r>
              <w:rPr>
                <w:rFonts w:ascii="Arial" w:cs="Arial" w:eastAsia="Arial" w:hAnsi="Arial"/>
                <w:sz w:val="20"/>
                <w:szCs w:val="20"/>
                <w:color w:val="00162F"/>
              </w:rPr>
              <w:t>643</w:t>
            </w:r>
          </w:p>
        </w:tc>
      </w:tr>
      <w:tr>
        <w:trPr>
          <w:trHeight w:val="20"/>
        </w:trPr>
        <w:tc>
          <w:tcPr>
            <w:tcW w:w="19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40" w:type="dxa"/>
            <w:vAlign w:val="bottom"/>
            <w:tcBorders>
              <w:top w:val="single" w:sz="8" w:color="00162F"/>
              <w:bottom w:val="single" w:sz="8" w:color="00162F"/>
            </w:tcBorders>
          </w:tcPr>
          <w:p>
            <w:pPr>
              <w:spacing w:after="0" w:line="20" w:lineRule="exact"/>
              <w:rPr>
                <w:sz w:val="1"/>
                <w:szCs w:val="1"/>
                <w:color w:val="auto"/>
              </w:rPr>
            </w:pPr>
          </w:p>
        </w:tc>
        <w:tc>
          <w:tcPr>
            <w:tcW w:w="54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00162F"/>
              <w:bottom w:val="single" w:sz="8" w:color="00162F"/>
            </w:tcBorders>
          </w:tcPr>
          <w:p>
            <w:pPr>
              <w:spacing w:after="0" w:line="20" w:lineRule="exact"/>
              <w:rPr>
                <w:sz w:val="1"/>
                <w:szCs w:val="1"/>
                <w:color w:val="auto"/>
              </w:rPr>
            </w:pPr>
          </w:p>
        </w:tc>
        <w:tc>
          <w:tcPr>
            <w:tcW w:w="540" w:type="dxa"/>
            <w:vAlign w:val="bottom"/>
            <w:tcBorders>
              <w:top w:val="single" w:sz="8" w:color="00162F"/>
              <w:bottom w:val="single" w:sz="8" w:color="00162F"/>
            </w:tcBorders>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5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-666115</wp:posOffset>
            </wp:positionV>
            <wp:extent cx="11252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-307340</wp:posOffset>
            </wp:positionV>
            <wp:extent cx="11252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1125220" cy="25400"/>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65" w:lineRule="auto"/>
        <w:tabs>
          <w:tab w:leader="none" w:pos="365" w:val="left"/>
        </w:tabs>
        <w:numPr>
          <w:ilvl w:val="0"/>
          <w:numId w:val="36"/>
        </w:numPr>
        <w:rPr>
          <w:rFonts w:ascii="Arial" w:cs="Arial" w:eastAsia="Arial" w:hAnsi="Arial"/>
          <w:sz w:val="13"/>
          <w:szCs w:val="13"/>
          <w:color w:val="00162F"/>
        </w:rPr>
      </w:pPr>
      <w:r>
        <w:rPr>
          <w:rFonts w:ascii="Arial" w:cs="Arial" w:eastAsia="Arial" w:hAnsi="Arial"/>
          <w:sz w:val="20"/>
          <w:szCs w:val="20"/>
          <w:color w:val="00162F"/>
        </w:rPr>
        <w:t>Labor contract expenses for 2025 included a one-time charge resulting from adjustments to vacation accruals due to pay rate increases effective January 1, 2025, following the ratification of the contract extension in the fourth quarter of 2024 with American’s mainline maintenance and fleet service team members.</w:t>
      </w:r>
    </w:p>
    <w:p>
      <w:pPr>
        <w:spacing w:after="0" w:line="129" w:lineRule="exact"/>
        <w:rPr>
          <w:rFonts w:ascii="Arial" w:cs="Arial" w:eastAsia="Arial" w:hAnsi="Arial"/>
          <w:sz w:val="13"/>
          <w:szCs w:val="13"/>
          <w:color w:val="00162F"/>
        </w:rPr>
      </w:pPr>
    </w:p>
    <w:p>
      <w:pPr>
        <w:jc w:val="both"/>
        <w:ind w:left="365"/>
        <w:spacing w:after="0" w:line="265" w:lineRule="auto"/>
        <w:rPr>
          <w:rFonts w:ascii="Arial" w:cs="Arial" w:eastAsia="Arial" w:hAnsi="Arial"/>
          <w:sz w:val="13"/>
          <w:szCs w:val="13"/>
          <w:color w:val="00162F"/>
        </w:rPr>
      </w:pPr>
      <w:r>
        <w:rPr>
          <w:rFonts w:ascii="Arial" w:cs="Arial" w:eastAsia="Arial" w:hAnsi="Arial"/>
          <w:sz w:val="20"/>
          <w:szCs w:val="20"/>
          <w:color w:val="00162F"/>
        </w:rPr>
        <w:t>Labor contract expenses for 2024 included one-time charges resulting from the ratifications of new CBAs with American’s mainline flight attendants and passenger service team members, including one-time payments and adjustments to vacation accruals resulting from pay rate increases.</w:t>
      </w:r>
    </w:p>
    <w:p>
      <w:pPr>
        <w:spacing w:after="0" w:line="129" w:lineRule="exact"/>
        <w:rPr>
          <w:rFonts w:ascii="Arial" w:cs="Arial" w:eastAsia="Arial" w:hAnsi="Arial"/>
          <w:sz w:val="13"/>
          <w:szCs w:val="13"/>
          <w:color w:val="00162F"/>
        </w:rPr>
      </w:pPr>
    </w:p>
    <w:p>
      <w:pPr>
        <w:jc w:val="both"/>
        <w:ind w:left="365" w:hanging="365"/>
        <w:spacing w:after="0" w:line="265" w:lineRule="auto"/>
        <w:tabs>
          <w:tab w:leader="none" w:pos="365" w:val="left"/>
        </w:tabs>
        <w:numPr>
          <w:ilvl w:val="0"/>
          <w:numId w:val="36"/>
        </w:numPr>
        <w:rPr>
          <w:rFonts w:ascii="Arial" w:cs="Arial" w:eastAsia="Arial" w:hAnsi="Arial"/>
          <w:sz w:val="13"/>
          <w:szCs w:val="13"/>
          <w:color w:val="00162F"/>
        </w:rPr>
      </w:pPr>
      <w:r>
        <w:rPr>
          <w:rFonts w:ascii="Arial" w:cs="Arial" w:eastAsia="Arial" w:hAnsi="Arial"/>
          <w:sz w:val="20"/>
          <w:szCs w:val="20"/>
          <w:color w:val="00162F"/>
        </w:rPr>
        <w:t>In 2024, American entered into a sales agreement for certain Airbus A330 aircraft, resulting in a $42 million gain. These aircraft were previously retired in 2020 as a result of the decline in demand for air travel due to the COVID-19 pandemic.</w:t>
      </w:r>
    </w:p>
    <w:p>
      <w:pPr>
        <w:spacing w:after="0" w:line="129"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36"/>
        </w:numPr>
        <w:rPr>
          <w:rFonts w:ascii="Arial" w:cs="Arial" w:eastAsia="Arial" w:hAnsi="Arial"/>
          <w:sz w:val="13"/>
          <w:szCs w:val="13"/>
          <w:color w:val="00162F"/>
        </w:rPr>
      </w:pPr>
      <w:r>
        <w:rPr>
          <w:rFonts w:ascii="Arial" w:cs="Arial" w:eastAsia="Arial" w:hAnsi="Arial"/>
          <w:sz w:val="20"/>
          <w:szCs w:val="20"/>
          <w:color w:val="00162F"/>
        </w:rPr>
        <w:t>Regional operating special items, net for 2024 included a $33 million non-cash write down of regional aircraft resulting from the decision to permanently park 43 Embraer ERJ145 aircraft.</w:t>
      </w:r>
    </w:p>
    <w:p>
      <w:pPr>
        <w:spacing w:after="0" w:line="203"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Nonoperating Results</w:t>
      </w:r>
    </w:p>
    <w:p>
      <w:pPr>
        <w:spacing w:after="0" w:line="131"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vMerge w:val="restart"/>
          </w:tcPr>
          <w:p>
            <w:pPr>
              <w:jc w:val="right"/>
              <w:ind w:right="365"/>
              <w:spacing w:after="0"/>
              <w:rPr>
                <w:sz w:val="20"/>
                <w:szCs w:val="20"/>
                <w:color w:val="auto"/>
              </w:rPr>
            </w:pPr>
            <w:r>
              <w:rPr>
                <w:rFonts w:ascii="Arial" w:cs="Arial" w:eastAsia="Arial" w:hAnsi="Arial"/>
                <w:sz w:val="16"/>
                <w:szCs w:val="16"/>
                <w:b w:val="1"/>
                <w:bCs w:val="1"/>
                <w:color w:val="00162F"/>
              </w:rPr>
              <w:t>Year Ended 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90"/>
              <w:spacing w:after="0"/>
              <w:rPr>
                <w:sz w:val="20"/>
                <w:szCs w:val="20"/>
                <w:color w:val="auto"/>
              </w:rPr>
            </w:pPr>
            <w:r>
              <w:rPr>
                <w:rFonts w:ascii="Arial" w:cs="Arial" w:eastAsia="Arial" w:hAnsi="Arial"/>
                <w:sz w:val="16"/>
                <w:szCs w:val="16"/>
                <w:b w:val="1"/>
                <w:bCs w:val="1"/>
                <w:color w:val="00162F"/>
                <w:w w:val="98"/>
              </w:rPr>
              <w:t>Percent</w:t>
            </w: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300" w:type="dxa"/>
            <w:vAlign w:val="bottom"/>
            <w:tcBorders>
              <w:bottom w:val="single" w:sz="8" w:color="00162F"/>
            </w:tcBorders>
          </w:tcPr>
          <w:p>
            <w:pPr>
              <w:spacing w:after="0"/>
              <w:rPr>
                <w:sz w:val="10"/>
                <w:szCs w:val="10"/>
                <w:color w:val="auto"/>
              </w:rPr>
            </w:pPr>
          </w:p>
        </w:tc>
        <w:tc>
          <w:tcPr>
            <w:tcW w:w="2560" w:type="dxa"/>
            <w:vAlign w:val="bottom"/>
            <w:tcBorders>
              <w:bottom w:val="single" w:sz="8" w:color="00162F"/>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restart"/>
          </w:tcPr>
          <w:p>
            <w:pPr>
              <w:ind w:left="160"/>
              <w:spacing w:after="0" w:line="158" w:lineRule="exact"/>
              <w:rPr>
                <w:sz w:val="20"/>
                <w:szCs w:val="20"/>
                <w:color w:val="auto"/>
              </w:rPr>
            </w:pPr>
            <w:r>
              <w:rPr>
                <w:rFonts w:ascii="Arial" w:cs="Arial" w:eastAsia="Arial" w:hAnsi="Arial"/>
                <w:sz w:val="16"/>
                <w:szCs w:val="16"/>
                <w:b w:val="1"/>
                <w:bCs w:val="1"/>
                <w:color w:val="00162F"/>
              </w:rPr>
              <w:t>Increase</w:t>
            </w:r>
          </w:p>
        </w:tc>
        <w:tc>
          <w:tcPr>
            <w:tcW w:w="1240" w:type="dxa"/>
            <w:vAlign w:val="bottom"/>
            <w:vMerge w:val="restart"/>
          </w:tcPr>
          <w:p>
            <w:pPr>
              <w:jc w:val="center"/>
              <w:ind w:right="70"/>
              <w:spacing w:after="0" w:line="158" w:lineRule="exact"/>
              <w:rPr>
                <w:sz w:val="20"/>
                <w:szCs w:val="20"/>
                <w:color w:val="auto"/>
              </w:rPr>
            </w:pPr>
            <w:r>
              <w:rPr>
                <w:rFonts w:ascii="Arial" w:cs="Arial" w:eastAsia="Arial" w:hAnsi="Arial"/>
                <w:sz w:val="16"/>
                <w:szCs w:val="16"/>
                <w:b w:val="1"/>
                <w:bCs w:val="1"/>
                <w:color w:val="00162F"/>
                <w:w w:val="98"/>
              </w:rPr>
              <w:t>Increase</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vMerge w:val="restart"/>
          </w:tcPr>
          <w:p>
            <w:pPr>
              <w:jc w:val="right"/>
              <w:ind w:right="425"/>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1100" w:type="dxa"/>
            <w:vAlign w:val="bottom"/>
            <w:tcBorders>
              <w:bottom w:val="single" w:sz="8" w:color="00162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040" w:type="dxa"/>
            <w:vAlign w:val="bottom"/>
            <w:tcBorders>
              <w:bottom w:val="single" w:sz="8" w:color="00162F"/>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180" w:type="dxa"/>
            <w:vAlign w:val="bottom"/>
            <w:tcBorders>
              <w:bottom w:val="single" w:sz="8" w:color="00162F"/>
            </w:tcBorders>
          </w:tcPr>
          <w:p>
            <w:pPr>
              <w:jc w:val="right"/>
              <w:ind w:right="208"/>
              <w:spacing w:after="0"/>
              <w:rPr>
                <w:sz w:val="20"/>
                <w:szCs w:val="20"/>
                <w:color w:val="auto"/>
              </w:rPr>
            </w:pPr>
            <w:r>
              <w:rPr>
                <w:rFonts w:ascii="Arial" w:cs="Arial" w:eastAsia="Arial" w:hAnsi="Arial"/>
                <w:sz w:val="16"/>
                <w:szCs w:val="16"/>
                <w:b w:val="1"/>
                <w:bCs w:val="1"/>
                <w:color w:val="00162F"/>
              </w:rPr>
              <w:t>(Decrease)</w:t>
            </w:r>
          </w:p>
        </w:tc>
        <w:tc>
          <w:tcPr>
            <w:tcW w:w="80" w:type="dxa"/>
            <w:vAlign w:val="bottom"/>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240" w:type="dxa"/>
            <w:vAlign w:val="bottom"/>
            <w:tcBorders>
              <w:bottom w:val="single" w:sz="8" w:color="00162F"/>
            </w:tcBorders>
          </w:tcPr>
          <w:p>
            <w:pPr>
              <w:jc w:val="center"/>
              <w:ind w:right="70"/>
              <w:spacing w:after="0"/>
              <w:rPr>
                <w:sz w:val="20"/>
                <w:szCs w:val="20"/>
                <w:color w:val="auto"/>
              </w:rPr>
            </w:pPr>
            <w:r>
              <w:rPr>
                <w:rFonts w:ascii="Arial" w:cs="Arial" w:eastAsia="Arial" w:hAnsi="Arial"/>
                <w:sz w:val="16"/>
                <w:szCs w:val="16"/>
                <w:b w:val="1"/>
                <w:bCs w:val="1"/>
                <w:color w:val="00162F"/>
                <w:w w:val="97"/>
              </w:rPr>
              <w:t>(Decrease)</w:t>
            </w:r>
          </w:p>
        </w:tc>
        <w:tc>
          <w:tcPr>
            <w:tcW w:w="0" w:type="dxa"/>
            <w:vAlign w:val="bottom"/>
          </w:tcPr>
          <w:p>
            <w:pPr>
              <w:spacing w:after="0"/>
              <w:rPr>
                <w:sz w:val="1"/>
                <w:szCs w:val="1"/>
                <w:color w:val="auto"/>
              </w:rPr>
            </w:pPr>
          </w:p>
        </w:tc>
      </w:tr>
      <w:tr>
        <w:trPr>
          <w:trHeight w:val="240"/>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80" w:type="dxa"/>
            <w:vAlign w:val="bottom"/>
            <w:gridSpan w:val="9"/>
          </w:tcPr>
          <w:p>
            <w:pPr>
              <w:ind w:left="1080"/>
              <w:spacing w:after="0"/>
              <w:rPr>
                <w:sz w:val="20"/>
                <w:szCs w:val="20"/>
                <w:color w:val="auto"/>
              </w:rPr>
            </w:pPr>
            <w:r>
              <w:rPr>
                <w:rFonts w:ascii="Arial" w:cs="Arial" w:eastAsia="Arial" w:hAnsi="Arial"/>
                <w:sz w:val="16"/>
                <w:szCs w:val="16"/>
                <w:b w:val="1"/>
                <w:bCs w:val="1"/>
                <w:color w:val="00162F"/>
              </w:rPr>
              <w:t>(In millions, except percentage changes)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48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Interest income</w:t>
            </w:r>
          </w:p>
        </w:tc>
        <w:tc>
          <w:tcPr>
            <w:tcW w:w="300" w:type="dxa"/>
            <w:vAlign w:val="bottom"/>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949</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1,058</w:t>
            </w:r>
          </w:p>
        </w:tc>
        <w:tc>
          <w:tcPr>
            <w:tcW w:w="300" w:type="dxa"/>
            <w:vAlign w:val="bottom"/>
            <w:gridSpan w:val="2"/>
            <w:shd w:val="clear" w:color="auto" w:fill="EDEDED"/>
          </w:tcPr>
          <w:p>
            <w:pPr>
              <w:jc w:val="right"/>
              <w:ind w:right="60"/>
              <w:spacing w:after="0"/>
              <w:rPr>
                <w:sz w:val="20"/>
                <w:szCs w:val="20"/>
                <w:color w:val="auto"/>
              </w:rPr>
            </w:pPr>
            <w:r>
              <w:rPr>
                <w:rFonts w:ascii="Arial" w:cs="Arial" w:eastAsia="Arial" w:hAnsi="Arial"/>
                <w:sz w:val="20"/>
                <w:szCs w:val="20"/>
                <w:color w:val="00162F"/>
              </w:rPr>
              <w:t>$</w:t>
            </w:r>
          </w:p>
        </w:tc>
        <w:tc>
          <w:tcPr>
            <w:tcW w:w="1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(109)</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240" w:type="dxa"/>
            <w:vAlign w:val="bottom"/>
            <w:shd w:val="clear" w:color="auto" w:fill="EDEDED"/>
          </w:tcPr>
          <w:p>
            <w:pPr>
              <w:jc w:val="center"/>
              <w:ind w:right="30"/>
              <w:spacing w:after="0"/>
              <w:rPr>
                <w:sz w:val="20"/>
                <w:szCs w:val="20"/>
                <w:color w:val="auto"/>
              </w:rPr>
            </w:pPr>
            <w:r>
              <w:rPr>
                <w:rFonts w:ascii="Arial" w:cs="Arial" w:eastAsia="Arial" w:hAnsi="Arial"/>
                <w:sz w:val="20"/>
                <w:szCs w:val="20"/>
                <w:color w:val="00162F"/>
                <w:w w:val="99"/>
              </w:rPr>
              <w:t>(10.3)</w:t>
            </w:r>
          </w:p>
        </w:tc>
        <w:tc>
          <w:tcPr>
            <w:tcW w:w="0" w:type="dxa"/>
            <w:vAlign w:val="bottom"/>
          </w:tcPr>
          <w:p>
            <w:pPr>
              <w:spacing w:after="0"/>
              <w:rPr>
                <w:sz w:val="1"/>
                <w:szCs w:val="1"/>
                <w:color w:val="auto"/>
              </w:rPr>
            </w:pPr>
          </w:p>
        </w:tc>
      </w:tr>
      <w:tr>
        <w:trPr>
          <w:trHeight w:val="293"/>
        </w:trPr>
        <w:tc>
          <w:tcPr>
            <w:tcW w:w="4860" w:type="dxa"/>
            <w:vAlign w:val="bottom"/>
          </w:tcPr>
          <w:p>
            <w:pPr>
              <w:ind w:left="40"/>
              <w:spacing w:after="0"/>
              <w:rPr>
                <w:sz w:val="20"/>
                <w:szCs w:val="20"/>
                <w:color w:val="auto"/>
              </w:rPr>
            </w:pPr>
            <w:r>
              <w:rPr>
                <w:rFonts w:ascii="Arial" w:cs="Arial" w:eastAsia="Arial" w:hAnsi="Arial"/>
                <w:sz w:val="20"/>
                <w:szCs w:val="20"/>
                <w:color w:val="00162F"/>
              </w:rPr>
              <w:t>Interest expense, net</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(1,780)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(2,029)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0162F"/>
              </w:rPr>
              <w:t>249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20"/>
                <w:szCs w:val="20"/>
                <w:color w:val="00162F"/>
                <w:w w:val="99"/>
              </w:rPr>
              <w:t>(12.3)</w:t>
            </w:r>
          </w:p>
        </w:tc>
        <w:tc>
          <w:tcPr>
            <w:tcW w:w="0" w:type="dxa"/>
            <w:vAlign w:val="bottom"/>
          </w:tcPr>
          <w:p>
            <w:pPr>
              <w:spacing w:after="0"/>
              <w:rPr>
                <w:sz w:val="1"/>
                <w:szCs w:val="1"/>
                <w:color w:val="auto"/>
              </w:rPr>
            </w:pPr>
          </w:p>
        </w:tc>
      </w:tr>
      <w:tr>
        <w:trPr>
          <w:trHeight w:val="311"/>
        </w:trPr>
        <w:tc>
          <w:tcPr>
            <w:tcW w:w="48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Other income, net</w:t>
            </w:r>
          </w:p>
        </w:tc>
        <w:tc>
          <w:tcPr>
            <w:tcW w:w="30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81</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w:t>
            </w:r>
          </w:p>
        </w:tc>
        <w:tc>
          <w:tcPr>
            <w:tcW w:w="60" w:type="dxa"/>
            <w:vAlign w:val="bottom"/>
            <w:tcBorders>
              <w:bottom w:val="single" w:sz="8" w:color="EDEDED"/>
            </w:tcBorders>
            <w:shd w:val="clear" w:color="auto" w:fill="EDEDED"/>
          </w:tcPr>
          <w:p>
            <w:pPr>
              <w:spacing w:after="0"/>
              <w:rPr>
                <w:sz w:val="24"/>
                <w:szCs w:val="24"/>
                <w:color w:val="auto"/>
              </w:rPr>
            </w:pPr>
          </w:p>
        </w:tc>
        <w:tc>
          <w:tcPr>
            <w:tcW w:w="240" w:type="dxa"/>
            <w:vAlign w:val="bottom"/>
            <w:tcBorders>
              <w:bottom w:val="single" w:sz="8" w:color="00162F"/>
            </w:tcBorders>
            <w:shd w:val="clear" w:color="auto" w:fill="EDEDED"/>
          </w:tcPr>
          <w:p>
            <w:pPr>
              <w:spacing w:after="0"/>
              <w:rPr>
                <w:sz w:val="24"/>
                <w:szCs w:val="24"/>
                <w:color w:val="auto"/>
              </w:rPr>
            </w:pPr>
          </w:p>
        </w:tc>
        <w:tc>
          <w:tcPr>
            <w:tcW w:w="11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76</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EDEDED"/>
            </w:tcBorders>
            <w:shd w:val="clear" w:color="auto" w:fill="EDEDED"/>
          </w:tcPr>
          <w:p>
            <w:pPr>
              <w:spacing w:after="0"/>
              <w:rPr>
                <w:sz w:val="24"/>
                <w:szCs w:val="24"/>
                <w:color w:val="auto"/>
              </w:rPr>
            </w:pPr>
          </w:p>
        </w:tc>
        <w:tc>
          <w:tcPr>
            <w:tcW w:w="1240" w:type="dxa"/>
            <w:vAlign w:val="bottom"/>
            <w:tcBorders>
              <w:bottom w:val="single" w:sz="8" w:color="EDEDED"/>
            </w:tcBorders>
            <w:shd w:val="clear" w:color="auto" w:fill="EDEDED"/>
          </w:tcPr>
          <w:p>
            <w:pPr>
              <w:jc w:val="center"/>
              <w:ind w:right="30"/>
              <w:spacing w:after="0"/>
              <w:rPr>
                <w:sz w:val="20"/>
                <w:szCs w:val="20"/>
                <w:color w:val="auto"/>
              </w:rPr>
            </w:pPr>
            <w:r>
              <w:rPr>
                <w:rFonts w:ascii="Arial" w:cs="Arial" w:eastAsia="Arial" w:hAnsi="Arial"/>
                <w:sz w:val="20"/>
                <w:szCs w:val="20"/>
                <w:color w:val="00162F"/>
              </w:rPr>
              <w:t>nm</w:t>
            </w:r>
          </w:p>
        </w:tc>
        <w:tc>
          <w:tcPr>
            <w:tcW w:w="0" w:type="dxa"/>
            <w:vAlign w:val="bottom"/>
          </w:tcPr>
          <w:p>
            <w:pPr>
              <w:spacing w:after="0"/>
              <w:rPr>
                <w:sz w:val="1"/>
                <w:szCs w:val="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20"/>
                <w:szCs w:val="20"/>
                <w:color w:val="00162F"/>
              </w:rPr>
              <w:t>Total nonoperating expense, net</w:t>
            </w:r>
          </w:p>
        </w:tc>
        <w:tc>
          <w:tcPr>
            <w:tcW w:w="300" w:type="dxa"/>
            <w:vAlign w:val="bottom"/>
          </w:tcPr>
          <w:p>
            <w:pPr>
              <w:jc w:val="right"/>
              <w:ind w:right="4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750)</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966)</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00162F"/>
              </w:rPr>
              <w:t>$</w:t>
            </w:r>
          </w:p>
        </w:tc>
        <w:tc>
          <w:tcPr>
            <w:tcW w:w="1180" w:type="dxa"/>
            <w:vAlign w:val="bottom"/>
          </w:tcPr>
          <w:p>
            <w:pPr>
              <w:jc w:val="right"/>
              <w:spacing w:after="0"/>
              <w:rPr>
                <w:sz w:val="20"/>
                <w:szCs w:val="20"/>
                <w:color w:val="auto"/>
              </w:rPr>
            </w:pPr>
            <w:r>
              <w:rPr>
                <w:rFonts w:ascii="Arial" w:cs="Arial" w:eastAsia="Arial" w:hAnsi="Arial"/>
                <w:sz w:val="20"/>
                <w:szCs w:val="20"/>
                <w:color w:val="00162F"/>
              </w:rPr>
              <w:t>216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20"/>
                <w:szCs w:val="20"/>
                <w:color w:val="00162F"/>
                <w:w w:val="99"/>
              </w:rPr>
              <w:t>(22.3)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04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00162F"/>
              <w:bottom w:val="single" w:sz="8" w:color="00162F"/>
            </w:tcBorders>
          </w:tcPr>
          <w:p>
            <w:pPr>
              <w:spacing w:after="0" w:line="20" w:lineRule="exact"/>
              <w:rPr>
                <w:sz w:val="1"/>
                <w:szCs w:val="1"/>
                <w:color w:val="auto"/>
              </w:rPr>
            </w:pPr>
          </w:p>
        </w:tc>
        <w:tc>
          <w:tcPr>
            <w:tcW w:w="118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-219710</wp:posOffset>
            </wp:positionV>
            <wp:extent cx="27876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2787650" cy="25400"/>
                    </a:xfrm>
                    <a:prstGeom prst="rect">
                      <a:avLst/>
                    </a:prstGeom>
                    <a:noFill/>
                  </pic:spPr>
                </pic:pic>
              </a:graphicData>
            </a:graphic>
          </wp:anchor>
        </w:drawing>
      </w:r>
    </w:p>
    <w:p>
      <w:pPr>
        <w:spacing w:after="0" w:line="172"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Interest income decreased $109 million, or 10.3%, in 2025 compared to 2024 primarily due to lower interest rates and a decrease in the average balance of American’s short-term investments, resulting in reduced returns. Interest expense, net decreased $249 million, or 12.3%, in 2025 compared to 2024 primarily due to lower interest rates on American’s variable-rate debt instruments and lower outstanding debt in 2025, as American continues its efforts to strengthen the balance sheet.</w:t>
      </w:r>
    </w:p>
    <w:p>
      <w:pPr>
        <w:spacing w:after="0" w:line="139"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In 2025, other nonoperating income, net included $56 million of non-service related pension and other postretirement benefit plan income, $51 million of net earnings related to American’s equity investments accounted for under the equity method and $40 million of mark-to-market net unrealized gains associated with certain equity investments recognized as net special items. These amounts were offset in part by $40 million of net special charges related to debt refinancings and extinguishments and other costs, as well as $15 million of foreign currency losses.</w:t>
      </w:r>
    </w:p>
    <w:p>
      <w:pPr>
        <w:spacing w:after="0" w:line="139"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In 2024, other nonoperating income, net included $113 million of non-service related pension and other postretirement benefit plan income, offset in part by $47 million of foreign currency losses, $24 million of net special charges primarily for debt refinancings and extinguishments and mark-to-market net unrealized losses associated with certain equity investments and $24 million of net losses related to American’s equity investments accounted for under the equity method.</w:t>
      </w:r>
    </w:p>
    <w:p>
      <w:pPr>
        <w:sectPr>
          <w:pgSz w:w="11880" w:h="15480" w:orient="portrait"/>
          <w:cols w:equalWidth="0" w:num="1">
            <w:col w:w="10685"/>
          </w:cols>
          <w:pgMar w:left="595" w:top="994" w:right="600" w:bottom="0" w:gutter="0" w:footer="0" w:header="0"/>
        </w:sectPr>
      </w:pPr>
    </w:p>
    <w:p>
      <w:pPr>
        <w:spacing w:after="0" w:line="394"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70</w:t>
      </w:r>
    </w:p>
    <w:p>
      <w:pPr>
        <w:sectPr>
          <w:pgSz w:w="11880" w:h="15480" w:orient="portrait"/>
          <w:cols w:equalWidth="0" w:num="1">
            <w:col w:w="10685"/>
          </w:cols>
          <w:pgMar w:left="595" w:top="994" w:right="600" w:bottom="0" w:gutter="0" w:footer="0" w:header="0"/>
          <w:type w:val="continuous"/>
        </w:sectPr>
      </w:pPr>
    </w:p>
    <w:bookmarkStart w:id="71" w:name="page72"/>
    <w:bookmarkEnd w:id="71"/>
    <w:p>
      <w:pPr>
        <w:ind w:left="260"/>
        <w:spacing w:after="0"/>
        <w:rPr>
          <w:sz w:val="20"/>
          <w:szCs w:val="20"/>
          <w:color w:val="auto"/>
        </w:rPr>
      </w:pPr>
      <w:r>
        <w:rPr>
          <w:rFonts w:ascii="Arial" w:cs="Arial" w:eastAsia="Arial" w:hAnsi="Arial"/>
          <w:sz w:val="20"/>
          <w:szCs w:val="20"/>
          <w:b w:val="1"/>
          <w:bCs w:val="1"/>
          <w:i w:val="1"/>
          <w:iCs w:val="1"/>
          <w:color w:val="00162F"/>
        </w:rPr>
        <w:t>Income Taxes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American is a member of AAG’s consolidated federal and certain state income tax returns.</w:t>
      </w:r>
    </w:p>
    <w:p>
      <w:pPr>
        <w:spacing w:after="0" w:line="186"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In 2025, American recorded an income tax provision of $197 million with an effective rate of approximately 25.9%, which was substantially non-cash. Substantially all of American’s income before income taxes is attributable to the United States. At December 31, 2025, American had approximately $11.7 billion of gross federal NOLs and $3.8 billion of other carryforwards available to reduce future federal taxable income, of which $1.8 billion will expire beginning in 2033 if unused and $13.7 billion can be carried forward indefinitely. American also had approximately $4.7 billion of NOL carryforwards to reduce future state taxable income at December 31, 2025, which will expire in taxable years 2025 through 2045 if unused.</w:t>
      </w:r>
    </w:p>
    <w:p>
      <w:pPr>
        <w:spacing w:after="0" w:line="144" w:lineRule="exact"/>
        <w:rPr>
          <w:sz w:val="20"/>
          <w:szCs w:val="20"/>
          <w:color w:val="auto"/>
        </w:rPr>
      </w:pPr>
    </w:p>
    <w:p>
      <w:pPr>
        <w:jc w:val="both"/>
        <w:ind w:right="20" w:firstLine="267"/>
        <w:spacing w:after="0" w:line="282" w:lineRule="auto"/>
        <w:rPr>
          <w:sz w:val="20"/>
          <w:szCs w:val="20"/>
          <w:color w:val="auto"/>
        </w:rPr>
      </w:pPr>
      <w:r>
        <w:rPr>
          <w:rFonts w:ascii="Arial" w:cs="Arial" w:eastAsia="Arial" w:hAnsi="Arial"/>
          <w:sz w:val="20"/>
          <w:szCs w:val="20"/>
          <w:color w:val="00162F"/>
        </w:rPr>
        <w:t>In 2024, American recorded an income tax provision of $426 million at an effective rate of approximately 25.2%, which was substantially non-cash.</w:t>
      </w:r>
    </w:p>
    <w:p>
      <w:pPr>
        <w:spacing w:after="0" w:line="113" w:lineRule="exact"/>
        <w:rPr>
          <w:sz w:val="20"/>
          <w:szCs w:val="20"/>
          <w:color w:val="auto"/>
        </w:rPr>
      </w:pPr>
    </w:p>
    <w:p>
      <w:pPr>
        <w:jc w:val="both"/>
        <w:ind w:right="20" w:firstLine="267"/>
        <w:spacing w:after="0" w:line="282" w:lineRule="auto"/>
        <w:rPr>
          <w:sz w:val="20"/>
          <w:szCs w:val="20"/>
          <w:color w:val="auto"/>
        </w:rPr>
      </w:pPr>
      <w:r>
        <w:rPr>
          <w:rFonts w:ascii="Arial" w:cs="Arial" w:eastAsia="Arial" w:hAnsi="Arial"/>
          <w:sz w:val="20"/>
          <w:szCs w:val="20"/>
          <w:color w:val="00162F"/>
        </w:rPr>
        <w:t>See Note 5 to American’s Consolidated Financial Statements in Part II, Item 8B for additional information on income taxes.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Liquidity and Capital Resources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Liquidity</w:t>
      </w:r>
    </w:p>
    <w:p>
      <w:pPr>
        <w:spacing w:after="0" w:line="95" w:lineRule="exact"/>
        <w:rPr>
          <w:sz w:val="20"/>
          <w:szCs w:val="20"/>
          <w:color w:val="auto"/>
        </w:rPr>
      </w:pPr>
    </w:p>
    <w:p>
      <w:pPr>
        <w:jc w:val="both"/>
        <w:ind w:right="20" w:firstLine="267"/>
        <w:spacing w:after="0" w:line="282" w:lineRule="auto"/>
        <w:rPr>
          <w:sz w:val="20"/>
          <w:szCs w:val="20"/>
          <w:color w:val="auto"/>
        </w:rPr>
      </w:pPr>
      <w:r>
        <w:rPr>
          <w:rFonts w:ascii="Arial" w:cs="Arial" w:eastAsia="Arial" w:hAnsi="Arial"/>
          <w:sz w:val="20"/>
          <w:szCs w:val="20"/>
          <w:color w:val="00162F"/>
        </w:rPr>
        <w:t>At December 31, 2025, AAG had $9.2 billion in total available liquidity and $735 million in restricted cash and short-term investments. Additional detail regarding our available liquidity is provided in the table below (in millions):</w:t>
      </w:r>
    </w:p>
    <w:p>
      <w:pPr>
        <w:spacing w:after="0" w:line="118" w:lineRule="exact"/>
        <w:rPr>
          <w:sz w:val="20"/>
          <w:szCs w:val="20"/>
          <w:color w:val="auto"/>
        </w:rPr>
      </w:pPr>
    </w:p>
    <w:p>
      <w:pPr>
        <w:ind w:left="6540"/>
        <w:spacing w:after="0"/>
        <w:tabs>
          <w:tab w:leader="none" w:pos="8980" w:val="left"/>
        </w:tabs>
        <w:rPr>
          <w:sz w:val="20"/>
          <w:szCs w:val="20"/>
          <w:color w:val="auto"/>
        </w:rPr>
      </w:pPr>
      <w:r>
        <w:rPr>
          <w:rFonts w:ascii="Arial" w:cs="Arial" w:eastAsia="Arial" w:hAnsi="Arial"/>
          <w:sz w:val="16"/>
          <w:szCs w:val="16"/>
          <w:b w:val="1"/>
          <w:bCs w:val="1"/>
          <w:color w:val="00162F"/>
        </w:rPr>
        <w:t>AAG</w:t>
      </w:r>
      <w:r>
        <w:rPr>
          <w:sz w:val="20"/>
          <w:szCs w:val="20"/>
          <w:color w:val="auto"/>
        </w:rPr>
        <w:tab/>
      </w:r>
      <w:r>
        <w:rPr>
          <w:rFonts w:ascii="Arial" w:cs="Arial" w:eastAsia="Arial" w:hAnsi="Arial"/>
          <w:sz w:val="16"/>
          <w:szCs w:val="16"/>
          <w:b w:val="1"/>
          <w:bCs w:val="1"/>
          <w:color w:val="00162F"/>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18415</wp:posOffset>
            </wp:positionV>
            <wp:extent cx="332803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3328035" cy="12700"/>
                    </a:xfrm>
                    <a:prstGeom prst="rect">
                      <a:avLst/>
                    </a:prstGeom>
                    <a:noFill/>
                  </pic:spPr>
                </pic:pic>
              </a:graphicData>
            </a:graphic>
          </wp:anchor>
        </w:drawing>
      </w:r>
    </w:p>
    <w:p>
      <w:pPr>
        <w:sectPr>
          <w:pgSz w:w="11880" w:h="15480" w:orient="portrait"/>
          <w:cols w:equalWidth="0" w:num="1">
            <w:col w:w="10700"/>
          </w:cols>
          <w:pgMar w:left="600" w:top="994" w:right="580" w:bottom="0" w:gutter="0" w:footer="0" w:header="0"/>
        </w:sectPr>
      </w:pPr>
    </w:p>
    <w:p>
      <w:pPr>
        <w:spacing w:after="0" w:line="68"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00162F"/>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18415</wp:posOffset>
            </wp:positionV>
            <wp:extent cx="164020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1640205" cy="12700"/>
                    </a:xfrm>
                    <a:prstGeom prst="rect">
                      <a:avLst/>
                    </a:prstGeom>
                    <a:noFill/>
                  </pic:spPr>
                </pic:pic>
              </a:graphicData>
            </a:graphic>
          </wp:anchor>
        </w:drawing>
      </w:r>
    </w:p>
    <w:p>
      <w:pPr>
        <w:spacing w:after="0" w:line="48" w:lineRule="exact"/>
        <w:rPr>
          <w:sz w:val="20"/>
          <w:szCs w:val="20"/>
          <w:color w:val="auto"/>
        </w:rPr>
      </w:pPr>
    </w:p>
    <w:p>
      <w:pPr>
        <w:ind w:left="5860"/>
        <w:spacing w:after="0"/>
        <w:tabs>
          <w:tab w:leader="none" w:pos="7180" w:val="left"/>
        </w:tabs>
        <w:rPr>
          <w:sz w:val="20"/>
          <w:szCs w:val="20"/>
          <w:color w:val="auto"/>
        </w:rPr>
      </w:pPr>
      <w:r>
        <w:rPr>
          <w:rFonts w:ascii="Arial" w:cs="Arial" w:eastAsia="Arial" w:hAnsi="Arial"/>
          <w:sz w:val="16"/>
          <w:szCs w:val="16"/>
          <w:b w:val="1"/>
          <w:bCs w:val="1"/>
          <w:color w:val="00162F"/>
        </w:rPr>
        <w:t>2025</w:t>
      </w:r>
      <w:r>
        <w:rPr>
          <w:sz w:val="20"/>
          <w:szCs w:val="20"/>
          <w:color w:val="auto"/>
        </w:rPr>
        <w:tab/>
      </w:r>
      <w:r>
        <w:rPr>
          <w:rFonts w:ascii="Arial" w:cs="Arial" w:eastAsia="Arial" w:hAnsi="Arial"/>
          <w:sz w:val="16"/>
          <w:szCs w:val="16"/>
          <w:b w:val="1"/>
          <w:bCs w:val="1"/>
          <w:color w:val="00162F"/>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12065</wp:posOffset>
            </wp:positionV>
            <wp:extent cx="166624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166624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00162F"/>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18415</wp:posOffset>
            </wp:positionV>
            <wp:extent cx="164020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1640205" cy="12700"/>
                    </a:xfrm>
                    <a:prstGeom prst="rect">
                      <a:avLst/>
                    </a:prstGeom>
                    <a:noFill/>
                  </pic:spPr>
                </pic:pic>
              </a:graphicData>
            </a:graphic>
          </wp:anchor>
        </w:drawing>
      </w:r>
    </w:p>
    <w:p>
      <w:pPr>
        <w:spacing w:after="0" w:line="48"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b w:val="1"/>
          <w:bCs w:val="1"/>
          <w:color w:val="00162F"/>
        </w:rPr>
        <w:t>2025</w:t>
      </w:r>
      <w:r>
        <w:rPr>
          <w:sz w:val="20"/>
          <w:szCs w:val="20"/>
          <w:color w:val="auto"/>
        </w:rPr>
        <w:tab/>
      </w:r>
      <w:r>
        <w:rPr>
          <w:rFonts w:ascii="Arial" w:cs="Arial" w:eastAsia="Arial" w:hAnsi="Arial"/>
          <w:sz w:val="16"/>
          <w:szCs w:val="16"/>
          <w:b w:val="1"/>
          <w:bCs w:val="1"/>
          <w:color w:val="00162F"/>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wp:posOffset>
            </wp:positionV>
            <wp:extent cx="166624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1666240" cy="25400"/>
                    </a:xfrm>
                    <a:prstGeom prst="rect">
                      <a:avLst/>
                    </a:prstGeom>
                    <a:noFill/>
                  </pic:spPr>
                </pic:pic>
              </a:graphicData>
            </a:graphic>
          </wp:anchor>
        </w:drawing>
      </w:r>
    </w:p>
    <w:p>
      <w:pPr>
        <w:spacing w:after="0" w:line="29" w:lineRule="exact"/>
        <w:rPr>
          <w:sz w:val="20"/>
          <w:szCs w:val="20"/>
          <w:color w:val="auto"/>
        </w:rPr>
      </w:pPr>
    </w:p>
    <w:p>
      <w:pPr>
        <w:sectPr>
          <w:pgSz w:w="11880" w:h="15480" w:orient="portrait"/>
          <w:cols w:equalWidth="0" w:num="2">
            <w:col w:w="7800" w:space="720"/>
            <w:col w:w="2180"/>
          </w:cols>
          <w:pgMar w:left="600" w:top="994" w:right="580" w:bottom="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5420" w:type="dxa"/>
            <w:vAlign w:val="bottom"/>
            <w:tcBorders>
              <w:top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Cash</w:t>
            </w:r>
          </w:p>
        </w:tc>
        <w:tc>
          <w:tcPr>
            <w:tcW w:w="420" w:type="dxa"/>
            <w:vAlign w:val="bottom"/>
            <w:tcBorders>
              <w:top w:val="single" w:sz="8" w:color="00162F"/>
            </w:tcBorders>
            <w:shd w:val="clear" w:color="auto" w:fill="EDEDED"/>
          </w:tcPr>
          <w:p>
            <w:pPr>
              <w:jc w:val="right"/>
              <w:ind w:right="161"/>
              <w:spacing w:after="0"/>
              <w:rPr>
                <w:sz w:val="20"/>
                <w:szCs w:val="20"/>
                <w:color w:val="auto"/>
              </w:rPr>
            </w:pPr>
            <w:r>
              <w:rPr>
                <w:rFonts w:ascii="Arial" w:cs="Arial" w:eastAsia="Arial" w:hAnsi="Arial"/>
                <w:sz w:val="20"/>
                <w:szCs w:val="20"/>
                <w:color w:val="00162F"/>
              </w:rPr>
              <w:t>$</w:t>
            </w:r>
          </w:p>
        </w:tc>
        <w:tc>
          <w:tcPr>
            <w:tcW w:w="84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954</w:t>
            </w:r>
          </w:p>
        </w:tc>
        <w:tc>
          <w:tcPr>
            <w:tcW w:w="80" w:type="dxa"/>
            <w:vAlign w:val="bottom"/>
            <w:tcBorders>
              <w:top w:val="single" w:sz="8" w:color="EDEDED"/>
            </w:tcBorders>
            <w:shd w:val="clear" w:color="auto" w:fill="EDEDED"/>
          </w:tcPr>
          <w:p>
            <w:pPr>
              <w:spacing w:after="0"/>
              <w:rPr>
                <w:sz w:val="24"/>
                <w:szCs w:val="24"/>
                <w:color w:val="auto"/>
              </w:rPr>
            </w:pPr>
          </w:p>
        </w:tc>
        <w:tc>
          <w:tcPr>
            <w:tcW w:w="360" w:type="dxa"/>
            <w:vAlign w:val="bottom"/>
            <w:tcBorders>
              <w:top w:val="single" w:sz="8" w:color="00162F"/>
            </w:tcBorders>
            <w:shd w:val="clear" w:color="auto" w:fill="EDEDED"/>
          </w:tcPr>
          <w:p>
            <w:pPr>
              <w:jc w:val="right"/>
              <w:ind w:right="101"/>
              <w:spacing w:after="0"/>
              <w:rPr>
                <w:sz w:val="20"/>
                <w:szCs w:val="20"/>
                <w:color w:val="auto"/>
              </w:rPr>
            </w:pPr>
            <w:r>
              <w:rPr>
                <w:rFonts w:ascii="Arial" w:cs="Arial" w:eastAsia="Arial" w:hAnsi="Arial"/>
                <w:sz w:val="20"/>
                <w:szCs w:val="20"/>
                <w:color w:val="00162F"/>
              </w:rPr>
              <w:t>$</w:t>
            </w:r>
          </w:p>
        </w:tc>
        <w:tc>
          <w:tcPr>
            <w:tcW w:w="88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804</w:t>
            </w:r>
          </w:p>
        </w:tc>
        <w:tc>
          <w:tcPr>
            <w:tcW w:w="80" w:type="dxa"/>
            <w:vAlign w:val="bottom"/>
            <w:tcBorders>
              <w:top w:val="single" w:sz="8" w:color="EDEDED"/>
            </w:tcBorders>
            <w:shd w:val="clear" w:color="auto" w:fill="EDEDED"/>
          </w:tcPr>
          <w:p>
            <w:pPr>
              <w:spacing w:after="0"/>
              <w:rPr>
                <w:sz w:val="24"/>
                <w:szCs w:val="24"/>
                <w:color w:val="auto"/>
              </w:rPr>
            </w:pPr>
          </w:p>
        </w:tc>
        <w:tc>
          <w:tcPr>
            <w:tcW w:w="400" w:type="dxa"/>
            <w:vAlign w:val="bottom"/>
            <w:tcBorders>
              <w:top w:val="single" w:sz="8" w:color="00162F"/>
            </w:tcBorders>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84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936</w:t>
            </w:r>
          </w:p>
        </w:tc>
        <w:tc>
          <w:tcPr>
            <w:tcW w:w="80" w:type="dxa"/>
            <w:vAlign w:val="bottom"/>
            <w:tcBorders>
              <w:top w:val="single" w:sz="8" w:color="EDEDED"/>
            </w:tcBorders>
            <w:shd w:val="clear" w:color="auto" w:fill="EDEDED"/>
          </w:tcPr>
          <w:p>
            <w:pPr>
              <w:spacing w:after="0"/>
              <w:rPr>
                <w:sz w:val="24"/>
                <w:szCs w:val="24"/>
                <w:color w:val="auto"/>
              </w:rPr>
            </w:pPr>
          </w:p>
        </w:tc>
        <w:tc>
          <w:tcPr>
            <w:tcW w:w="360" w:type="dxa"/>
            <w:vAlign w:val="bottom"/>
            <w:tcBorders>
              <w:top w:val="single" w:sz="8" w:color="00162F"/>
            </w:tcBorders>
            <w:shd w:val="clear" w:color="auto" w:fill="EDEDED"/>
          </w:tcPr>
          <w:p>
            <w:pPr>
              <w:jc w:val="right"/>
              <w:ind w:right="101"/>
              <w:spacing w:after="0"/>
              <w:rPr>
                <w:sz w:val="20"/>
                <w:szCs w:val="20"/>
                <w:color w:val="auto"/>
              </w:rPr>
            </w:pPr>
            <w:r>
              <w:rPr>
                <w:rFonts w:ascii="Arial" w:cs="Arial" w:eastAsia="Arial" w:hAnsi="Arial"/>
                <w:sz w:val="20"/>
                <w:szCs w:val="20"/>
                <w:color w:val="00162F"/>
              </w:rPr>
              <w:t>$</w:t>
            </w:r>
          </w:p>
        </w:tc>
        <w:tc>
          <w:tcPr>
            <w:tcW w:w="90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795</w:t>
            </w:r>
          </w:p>
        </w:tc>
      </w:tr>
      <w:tr>
        <w:trPr>
          <w:trHeight w:val="293"/>
        </w:trPr>
        <w:tc>
          <w:tcPr>
            <w:tcW w:w="5420" w:type="dxa"/>
            <w:vAlign w:val="bottom"/>
          </w:tcPr>
          <w:p>
            <w:pPr>
              <w:ind w:left="40"/>
              <w:spacing w:after="0"/>
              <w:rPr>
                <w:sz w:val="20"/>
                <w:szCs w:val="20"/>
                <w:color w:val="auto"/>
              </w:rPr>
            </w:pPr>
            <w:r>
              <w:rPr>
                <w:rFonts w:ascii="Arial" w:cs="Arial" w:eastAsia="Arial" w:hAnsi="Arial"/>
                <w:sz w:val="20"/>
                <w:szCs w:val="20"/>
                <w:color w:val="00162F"/>
              </w:rPr>
              <w:t>Short-term investments</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0162F"/>
              </w:rPr>
              <w:t>4,882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00162F"/>
              </w:rPr>
              <w:t>6,180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0162F"/>
              </w:rPr>
              <w:t>4,880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00162F"/>
              </w:rPr>
              <w:t>6,177</w:t>
            </w:r>
          </w:p>
        </w:tc>
      </w:tr>
      <w:tr>
        <w:trPr>
          <w:trHeight w:val="311"/>
        </w:trPr>
        <w:tc>
          <w:tcPr>
            <w:tcW w:w="54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Undrawn facilities</w:t>
            </w:r>
          </w:p>
        </w:tc>
        <w:tc>
          <w:tcPr>
            <w:tcW w:w="420" w:type="dxa"/>
            <w:vAlign w:val="bottom"/>
            <w:tcBorders>
              <w:bottom w:val="single" w:sz="8" w:color="00162F"/>
            </w:tcBorders>
            <w:shd w:val="clear" w:color="auto" w:fill="EDEDED"/>
          </w:tcPr>
          <w:p>
            <w:pPr>
              <w:spacing w:after="0"/>
              <w:rPr>
                <w:sz w:val="24"/>
                <w:szCs w:val="24"/>
                <w:color w:val="auto"/>
              </w:rPr>
            </w:pPr>
          </w:p>
        </w:tc>
        <w:tc>
          <w:tcPr>
            <w:tcW w:w="8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3,397</w:t>
            </w:r>
          </w:p>
        </w:tc>
        <w:tc>
          <w:tcPr>
            <w:tcW w:w="8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8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3,289</w:t>
            </w:r>
          </w:p>
        </w:tc>
        <w:tc>
          <w:tcPr>
            <w:tcW w:w="80" w:type="dxa"/>
            <w:vAlign w:val="bottom"/>
            <w:tcBorders>
              <w:bottom w:val="single" w:sz="8" w:color="EDEDED"/>
            </w:tcBorders>
            <w:shd w:val="clear" w:color="auto" w:fill="EDEDED"/>
          </w:tcPr>
          <w:p>
            <w:pPr>
              <w:spacing w:after="0"/>
              <w:rPr>
                <w:sz w:val="24"/>
                <w:szCs w:val="24"/>
                <w:color w:val="auto"/>
              </w:rPr>
            </w:pPr>
          </w:p>
        </w:tc>
        <w:tc>
          <w:tcPr>
            <w:tcW w:w="400" w:type="dxa"/>
            <w:vAlign w:val="bottom"/>
            <w:tcBorders>
              <w:bottom w:val="single" w:sz="8" w:color="00162F"/>
            </w:tcBorders>
            <w:shd w:val="clear" w:color="auto" w:fill="EDEDED"/>
          </w:tcPr>
          <w:p>
            <w:pPr>
              <w:spacing w:after="0"/>
              <w:rPr>
                <w:sz w:val="24"/>
                <w:szCs w:val="24"/>
                <w:color w:val="auto"/>
              </w:rPr>
            </w:pPr>
          </w:p>
        </w:tc>
        <w:tc>
          <w:tcPr>
            <w:tcW w:w="8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3,397</w:t>
            </w:r>
          </w:p>
        </w:tc>
        <w:tc>
          <w:tcPr>
            <w:tcW w:w="8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9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3,289</w:t>
            </w:r>
          </w:p>
        </w:tc>
      </w:tr>
      <w:tr>
        <w:trPr>
          <w:trHeight w:val="237"/>
        </w:trPr>
        <w:tc>
          <w:tcPr>
            <w:tcW w:w="5420" w:type="dxa"/>
            <w:vAlign w:val="bottom"/>
          </w:tcPr>
          <w:p>
            <w:pPr>
              <w:ind w:left="400"/>
              <w:spacing w:after="0"/>
              <w:rPr>
                <w:sz w:val="20"/>
                <w:szCs w:val="20"/>
                <w:color w:val="auto"/>
              </w:rPr>
            </w:pPr>
            <w:r>
              <w:rPr>
                <w:rFonts w:ascii="Arial" w:cs="Arial" w:eastAsia="Arial" w:hAnsi="Arial"/>
                <w:sz w:val="20"/>
                <w:szCs w:val="20"/>
                <w:color w:val="00162F"/>
              </w:rPr>
              <w:t>Total available liquidity</w:t>
            </w:r>
          </w:p>
        </w:tc>
        <w:tc>
          <w:tcPr>
            <w:tcW w:w="420" w:type="dxa"/>
            <w:vAlign w:val="bottom"/>
          </w:tcPr>
          <w:p>
            <w:pPr>
              <w:jc w:val="right"/>
              <w:ind w:right="161"/>
              <w:spacing w:after="0"/>
              <w:rPr>
                <w:sz w:val="20"/>
                <w:szCs w:val="20"/>
                <w:color w:val="auto"/>
              </w:rPr>
            </w:pPr>
            <w:r>
              <w:rPr>
                <w:rFonts w:ascii="Arial" w:cs="Arial" w:eastAsia="Arial" w:hAnsi="Arial"/>
                <w:sz w:val="20"/>
                <w:szCs w:val="20"/>
                <w:color w:val="00162F"/>
              </w:rPr>
              <w:t>$</w:t>
            </w:r>
          </w:p>
        </w:tc>
        <w:tc>
          <w:tcPr>
            <w:tcW w:w="840" w:type="dxa"/>
            <w:vAlign w:val="bottom"/>
          </w:tcPr>
          <w:p>
            <w:pPr>
              <w:jc w:val="right"/>
              <w:spacing w:after="0"/>
              <w:rPr>
                <w:sz w:val="20"/>
                <w:szCs w:val="20"/>
                <w:color w:val="auto"/>
              </w:rPr>
            </w:pPr>
            <w:r>
              <w:rPr>
                <w:rFonts w:ascii="Arial" w:cs="Arial" w:eastAsia="Arial" w:hAnsi="Arial"/>
                <w:sz w:val="20"/>
                <w:szCs w:val="20"/>
                <w:color w:val="00162F"/>
              </w:rPr>
              <w:t>9,233</w:t>
            </w:r>
          </w:p>
        </w:tc>
        <w:tc>
          <w:tcPr>
            <w:tcW w:w="440" w:type="dxa"/>
            <w:vAlign w:val="bottom"/>
            <w:gridSpan w:val="2"/>
          </w:tcPr>
          <w:p>
            <w:pPr>
              <w:jc w:val="right"/>
              <w:ind w:right="101"/>
              <w:spacing w:after="0"/>
              <w:rPr>
                <w:sz w:val="20"/>
                <w:szCs w:val="20"/>
                <w:color w:val="auto"/>
              </w:rPr>
            </w:pPr>
            <w:r>
              <w:rPr>
                <w:rFonts w:ascii="Arial" w:cs="Arial" w:eastAsia="Arial" w:hAnsi="Arial"/>
                <w:sz w:val="20"/>
                <w:szCs w:val="20"/>
                <w:color w:val="00162F"/>
              </w:rPr>
              <w:t>$</w:t>
            </w:r>
          </w:p>
        </w:tc>
        <w:tc>
          <w:tcPr>
            <w:tcW w:w="880" w:type="dxa"/>
            <w:vAlign w:val="bottom"/>
          </w:tcPr>
          <w:p>
            <w:pPr>
              <w:jc w:val="right"/>
              <w:spacing w:after="0"/>
              <w:rPr>
                <w:sz w:val="20"/>
                <w:szCs w:val="20"/>
                <w:color w:val="auto"/>
              </w:rPr>
            </w:pPr>
            <w:r>
              <w:rPr>
                <w:rFonts w:ascii="Arial" w:cs="Arial" w:eastAsia="Arial" w:hAnsi="Arial"/>
                <w:sz w:val="20"/>
                <w:szCs w:val="20"/>
                <w:color w:val="00162F"/>
              </w:rPr>
              <w:t>10,273</w:t>
            </w:r>
          </w:p>
        </w:tc>
        <w:tc>
          <w:tcPr>
            <w:tcW w:w="480" w:type="dxa"/>
            <w:vAlign w:val="bottom"/>
            <w:gridSpan w:val="2"/>
          </w:tcPr>
          <w:p>
            <w:pPr>
              <w:jc w:val="right"/>
              <w:ind w:right="141"/>
              <w:spacing w:after="0"/>
              <w:rPr>
                <w:sz w:val="20"/>
                <w:szCs w:val="20"/>
                <w:color w:val="auto"/>
              </w:rPr>
            </w:pPr>
            <w:r>
              <w:rPr>
                <w:rFonts w:ascii="Arial" w:cs="Arial" w:eastAsia="Arial" w:hAnsi="Arial"/>
                <w:sz w:val="20"/>
                <w:szCs w:val="20"/>
                <w:color w:val="00162F"/>
              </w:rPr>
              <w:t>$</w:t>
            </w:r>
          </w:p>
        </w:tc>
        <w:tc>
          <w:tcPr>
            <w:tcW w:w="840" w:type="dxa"/>
            <w:vAlign w:val="bottom"/>
          </w:tcPr>
          <w:p>
            <w:pPr>
              <w:jc w:val="right"/>
              <w:spacing w:after="0"/>
              <w:rPr>
                <w:sz w:val="20"/>
                <w:szCs w:val="20"/>
                <w:color w:val="auto"/>
              </w:rPr>
            </w:pPr>
            <w:r>
              <w:rPr>
                <w:rFonts w:ascii="Arial" w:cs="Arial" w:eastAsia="Arial" w:hAnsi="Arial"/>
                <w:sz w:val="20"/>
                <w:szCs w:val="20"/>
                <w:color w:val="00162F"/>
              </w:rPr>
              <w:t>9,213</w:t>
            </w:r>
          </w:p>
        </w:tc>
        <w:tc>
          <w:tcPr>
            <w:tcW w:w="440" w:type="dxa"/>
            <w:vAlign w:val="bottom"/>
            <w:gridSpan w:val="2"/>
          </w:tcPr>
          <w:p>
            <w:pPr>
              <w:jc w:val="right"/>
              <w:ind w:right="101"/>
              <w:spacing w:after="0"/>
              <w:rPr>
                <w:sz w:val="20"/>
                <w:szCs w:val="20"/>
                <w:color w:val="auto"/>
              </w:rPr>
            </w:pPr>
            <w:r>
              <w:rPr>
                <w:rFonts w:ascii="Arial" w:cs="Arial" w:eastAsia="Arial" w:hAnsi="Arial"/>
                <w:sz w:val="20"/>
                <w:szCs w:val="20"/>
                <w:color w:val="00162F"/>
              </w:rPr>
              <w:t>$</w:t>
            </w:r>
          </w:p>
        </w:tc>
        <w:tc>
          <w:tcPr>
            <w:tcW w:w="900" w:type="dxa"/>
            <w:vAlign w:val="bottom"/>
          </w:tcPr>
          <w:p>
            <w:pPr>
              <w:jc w:val="right"/>
              <w:spacing w:after="0"/>
              <w:rPr>
                <w:sz w:val="20"/>
                <w:szCs w:val="20"/>
                <w:color w:val="auto"/>
              </w:rPr>
            </w:pPr>
            <w:r>
              <w:rPr>
                <w:rFonts w:ascii="Arial" w:cs="Arial" w:eastAsia="Arial" w:hAnsi="Arial"/>
                <w:sz w:val="20"/>
                <w:szCs w:val="20"/>
                <w:color w:val="00162F"/>
              </w:rPr>
              <w:t>10,261</w:t>
            </w:r>
          </w:p>
        </w:tc>
      </w:tr>
      <w:tr>
        <w:trPr>
          <w:trHeight w:val="20"/>
        </w:trPr>
        <w:tc>
          <w:tcPr>
            <w:tcW w:w="5420" w:type="dxa"/>
            <w:vAlign w:val="bottom"/>
          </w:tcPr>
          <w:p>
            <w:pPr>
              <w:spacing w:after="0" w:line="20" w:lineRule="exact"/>
              <w:rPr>
                <w:sz w:val="1"/>
                <w:szCs w:val="1"/>
                <w:color w:val="auto"/>
              </w:rPr>
            </w:pPr>
          </w:p>
        </w:tc>
        <w:tc>
          <w:tcPr>
            <w:tcW w:w="420" w:type="dxa"/>
            <w:vAlign w:val="bottom"/>
            <w:tcBorders>
              <w:top w:val="single" w:sz="8" w:color="00162F"/>
              <w:bottom w:val="single" w:sz="8" w:color="00162F"/>
            </w:tcBorders>
          </w:tcPr>
          <w:p>
            <w:pPr>
              <w:spacing w:after="0" w:line="20" w:lineRule="exact"/>
              <w:rPr>
                <w:sz w:val="1"/>
                <w:szCs w:val="1"/>
                <w:color w:val="auto"/>
              </w:rPr>
            </w:pPr>
          </w:p>
        </w:tc>
        <w:tc>
          <w:tcPr>
            <w:tcW w:w="8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88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162F"/>
              <w:bottom w:val="single" w:sz="8" w:color="00162F"/>
            </w:tcBorders>
          </w:tcPr>
          <w:p>
            <w:pPr>
              <w:spacing w:after="0" w:line="20" w:lineRule="exact"/>
              <w:rPr>
                <w:sz w:val="1"/>
                <w:szCs w:val="1"/>
                <w:color w:val="auto"/>
              </w:rPr>
            </w:pPr>
          </w:p>
        </w:tc>
        <w:tc>
          <w:tcPr>
            <w:tcW w:w="8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900" w:type="dxa"/>
            <w:vAlign w:val="bottom"/>
            <w:tcBorders>
              <w:top w:val="single" w:sz="8" w:color="00162F"/>
              <w:bottom w:val="single" w:sz="8" w:color="00162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-219710</wp:posOffset>
            </wp:positionV>
            <wp:extent cx="25393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2539365" cy="25400"/>
                    </a:xfrm>
                    <a:prstGeom prst="rect">
                      <a:avLst/>
                    </a:prstGeom>
                    <a:noFill/>
                  </pic:spPr>
                </pic:pic>
              </a:graphicData>
            </a:graphic>
          </wp:anchor>
        </w:drawing>
      </w:r>
    </w:p>
    <w:p>
      <w:pPr>
        <w:spacing w:after="0" w:line="172" w:lineRule="exact"/>
        <w:rPr>
          <w:sz w:val="20"/>
          <w:szCs w:val="20"/>
          <w:color w:val="auto"/>
        </w:rPr>
      </w:pPr>
    </w:p>
    <w:p>
      <w:pPr>
        <w:jc w:val="both"/>
        <w:ind w:right="20" w:firstLine="267"/>
        <w:spacing w:after="0" w:line="254" w:lineRule="auto"/>
        <w:rPr>
          <w:sz w:val="20"/>
          <w:szCs w:val="20"/>
          <w:color w:val="auto"/>
        </w:rPr>
      </w:pPr>
      <w:r>
        <w:rPr>
          <w:rFonts w:ascii="Arial" w:cs="Arial" w:eastAsia="Arial" w:hAnsi="Arial"/>
          <w:sz w:val="20"/>
          <w:szCs w:val="20"/>
          <w:color w:val="00162F"/>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Certain Covenants</w:t>
      </w:r>
    </w:p>
    <w:p>
      <w:pPr>
        <w:spacing w:after="0" w:line="95" w:lineRule="exact"/>
        <w:rPr>
          <w:sz w:val="20"/>
          <w:szCs w:val="20"/>
          <w:color w:val="auto"/>
        </w:rPr>
      </w:pPr>
    </w:p>
    <w:p>
      <w:pPr>
        <w:jc w:val="both"/>
        <w:ind w:right="20" w:firstLine="267"/>
        <w:spacing w:after="0" w:line="249" w:lineRule="auto"/>
        <w:rPr>
          <w:sz w:val="20"/>
          <w:szCs w:val="20"/>
          <w:color w:val="auto"/>
        </w:rPr>
      </w:pPr>
      <w:r>
        <w:rPr>
          <w:rFonts w:ascii="Arial" w:cs="Arial" w:eastAsia="Arial" w:hAnsi="Arial"/>
          <w:sz w:val="20"/>
          <w:szCs w:val="20"/>
          <w:color w:val="00162F"/>
        </w:rPr>
        <w:t>Our debt agreements contain customary terms and conditions as well as various affirmative, negative and financial covenants that, among other things, may restrict our ability and that of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Our AAdvantage Financing contains a peak debt service coverage ratio, pursuant to which failure to comply with a certain threshold may result in early repayment, in whole or in part, of the AAdvantage Financing. As of the most recent applicable measurement dates, we were in compliance with each of the foregoing covenants. For further information regarding our debt covenants, see Note 4 to AAG’s Consolidated Financial Statements in Part II, Item 8A and Note 3 to American’s Consolidated Financial Statements in Part II, Item 8B.</w:t>
      </w:r>
    </w:p>
    <w:p>
      <w:pPr>
        <w:sectPr>
          <w:pgSz w:w="11880" w:h="15480" w:orient="portrait"/>
          <w:cols w:equalWidth="0" w:num="1">
            <w:col w:w="10700"/>
          </w:cols>
          <w:pgMar w:left="600" w:top="994" w:right="580" w:bottom="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71</w:t>
      </w:r>
    </w:p>
    <w:p>
      <w:pPr>
        <w:sectPr>
          <w:pgSz w:w="11880" w:h="15480" w:orient="portrait"/>
          <w:cols w:equalWidth="0" w:num="1">
            <w:col w:w="10700"/>
          </w:cols>
          <w:pgMar w:left="600" w:top="994" w:right="58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i w:val="1"/>
          <w:iCs w:val="1"/>
          <w:color w:val="00162F"/>
        </w:rPr>
        <w:t>Sources and Uses of Cash</w:t>
      </w:r>
    </w:p>
    <w:p>
      <w:pPr>
        <w:spacing w:after="0" w:line="95"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For a comparison of the 2024 and 2023 reporting periods, see Part II, Item 7. Management’s Discussion and Analysis of Financial Condition and Results of Operations – “</w:t>
      </w:r>
      <w:r>
        <w:rPr>
          <w:rFonts w:ascii="Arial" w:cs="Arial" w:eastAsia="Arial" w:hAnsi="Arial"/>
          <w:sz w:val="20"/>
          <w:szCs w:val="20"/>
          <w:i w:val="1"/>
          <w:iCs w:val="1"/>
          <w:color w:val="00162F"/>
        </w:rPr>
        <w:t>Sources and Uses of Cash”</w:t>
      </w:r>
      <w:r>
        <w:rPr>
          <w:rFonts w:ascii="Arial" w:cs="Arial" w:eastAsia="Arial" w:hAnsi="Arial"/>
          <w:sz w:val="20"/>
          <w:szCs w:val="20"/>
          <w:color w:val="00162F"/>
        </w:rPr>
        <w:t xml:space="preserve"> of our 2024 Form 10-K.</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u w:val="single" w:color="auto"/>
          <w:color w:val="00162F"/>
        </w:rPr>
        <w:t>AAG</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00162F"/>
        </w:rPr>
        <w:t>Operating Activities</w:t>
      </w:r>
    </w:p>
    <w:p>
      <w:pPr>
        <w:spacing w:after="0" w:line="95"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Our net cash provided by operating activities was $3.1 billion and $4.0 billion in 2025 and 2024, respectively, an $884 million year-over-year decrease driven by lower profitability and net changes in working capital.</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00162F"/>
        </w:rPr>
        <w:t>Investing Activities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Our net cash used in investing activities was $1.9 billion and $968 million in 2025 and 2024, respectively.</w:t>
      </w:r>
    </w:p>
    <w:p>
      <w:pPr>
        <w:spacing w:after="0" w:line="186" w:lineRule="exact"/>
        <w:rPr>
          <w:sz w:val="20"/>
          <w:szCs w:val="20"/>
          <w:color w:val="auto"/>
        </w:rPr>
      </w:pPr>
    </w:p>
    <w:p>
      <w:pPr>
        <w:jc w:val="both"/>
        <w:ind w:firstLine="267"/>
        <w:spacing w:after="0" w:line="269" w:lineRule="auto"/>
        <w:rPr>
          <w:sz w:val="20"/>
          <w:szCs w:val="20"/>
          <w:color w:val="auto"/>
        </w:rPr>
      </w:pPr>
      <w:r>
        <w:rPr>
          <w:rFonts w:ascii="Arial" w:cs="Arial" w:eastAsia="Arial" w:hAnsi="Arial"/>
          <w:sz w:val="19"/>
          <w:szCs w:val="19"/>
          <w:color w:val="00162F"/>
        </w:rPr>
        <w:t>Our principal investing activities in 2025 included $3.8 billion of capital expenditures, which primarily related to the purchase of 23 Boeing 737 MAX aircraft, 12 Embraer E175 aircraft, eight Bombardier CRJ900 aircraft, six Boeing 787-9 aircraft, five Airbus A321XLR aircraft, two Boeing 737-800 aircraft lease repurchases, one Airbus A321neo aircraft, one Airbus A320 aircraft lease repurchase and eight aircraft engines. These cash outflows were offset in part by $1.3 billion in net sales of short-term investments and $344 million in proceeds from sale-leaseback transactions and sale of property and equipment, which primarily related to the modernization of Terminals 4 and 5 at LAX and sale of certain of our A330 aircraft. Additionally, we had $328 million in net proceeds from the issuance of the TMAT special facility revenue bonds.</w:t>
      </w:r>
    </w:p>
    <w:p>
      <w:pPr>
        <w:spacing w:after="0" w:line="127"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Our principal investing activities in 2024 included $2.7 billion of capital expenditures, which primarily related to the purchase of 16 Embraer E175 aircraft, six Boeing 737 MAX aircraft, four Airbus A321neo aircraft</w:t>
      </w:r>
      <w:r>
        <w:rPr>
          <w:rFonts w:ascii="Arial" w:cs="Arial" w:eastAsia="Arial" w:hAnsi="Arial"/>
          <w:sz w:val="20"/>
          <w:szCs w:val="20"/>
          <w:b w:val="1"/>
          <w:bCs w:val="1"/>
          <w:color w:val="00162F"/>
        </w:rPr>
        <w:t>,</w:t>
      </w:r>
      <w:r>
        <w:rPr>
          <w:rFonts w:ascii="Arial" w:cs="Arial" w:eastAsia="Arial" w:hAnsi="Arial"/>
          <w:sz w:val="20"/>
          <w:szCs w:val="20"/>
          <w:color w:val="00162F"/>
        </w:rPr>
        <w:t xml:space="preserve"> four Boeing 737-800 aircraft lease repurchases, two Bombardier CRJ900 aircraft, one Airbus A320 aircraft lease repurchase, 48 aircraft engines and aircraft purchase deposits. These cash outflows were offset in part by $819 million in net sales of short-term investments and $654 million of proceeds from sale-leaseback transactions and sale of property and equipment, which primarily related to the modernization of Terminals 4 and 5 at LAX.</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00162F"/>
        </w:rPr>
        <w:t>Financing Activities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Our net cash used in financing activities was $1.1 billion and $2.8 billion in 2025 and 2024, respectively.</w:t>
      </w:r>
    </w:p>
    <w:p>
      <w:pPr>
        <w:spacing w:after="0" w:line="18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Our principal financing activities in 2025 included $5.5 billion in long-term debt and finance lease repayments, consisting of $4.1 billion in scheduled repayments, including the $1.0 billion cash settlement of AAG’s 6.50% convertible senior notes. Debt and finance lease repayments also included the early repayments of $937 million for the outstanding principal amounts of the 10.75% Senior Secured Notes and $487 million for the outstanding principal amount of equipment notes issued under EETCs. These cash outflows were offset in part by $3.8 billion of proceeds from issuance of long-term debt, consisting of $1.2 billion from the issuance of equipment loans and other notes payable, $978 million from the issuance of EETCs in connection with the financing of certain aircraft, $1.0 billion from the issuance of the 2025 AAdvantage Term Loan Facility and $629 million under a senior unsecured short-term term loan facility due January 2026. Additionally, we had $840 million in net proceeds from fuel financing transactions.</w:t>
      </w:r>
    </w:p>
    <w:p>
      <w:pPr>
        <w:spacing w:after="0" w:line="143"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Our principal financing activities in 2024 included $4.5 billion in long-term debt and finance lease repayments, consisting of $3.7 billion in scheduled repayments and the early repayments of $487 million of the outstanding principal amount of the 3.75% Senior Notes and $263 million toward portions of the outstanding principal amounts of the 10.75% Senior Secured Notes. These cash outflows were offset in part by $1.7 billion of proceeds from issuance of long-term debt, consisting of $990 million from the issuance of equipment loans and other notes payable and $684 million from the issuance of EETCs in connection with the financing of certain aircraft that had previously been delivered.</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u w:val="single" w:color="auto"/>
          <w:color w:val="00162F"/>
        </w:rPr>
        <w:t>American</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00162F"/>
        </w:rPr>
        <w:t>Operating Activities</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American’s net cash provided by operating activities was $1.9 billion and $3.4 billion in 2025 and 2024, respectively, a $1.5 billion year-over-year decrease driven by a net increase in receivables from related parties, including the scheduled repayment of AAG’s $1.0 billion 6.50% convertible senior notes. Excluding this net increase in receivables from related parties, American’s operating cash flows decreased $877 million compared to 2024 due to lower profitability and net changes in working capital.</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72</w:t>
      </w:r>
    </w:p>
    <w:p>
      <w:pPr>
        <w:sectPr>
          <w:pgSz w:w="11880" w:h="15480" w:orient="portrait"/>
          <w:cols w:equalWidth="0" w:num="1">
            <w:col w:w="10680"/>
          </w:cols>
          <w:pgMar w:left="600" w:top="994" w:right="600" w:bottom="0" w:gutter="0" w:footer="0" w:header="0"/>
          <w:type w:val="continuous"/>
        </w:sectPr>
      </w:pPr>
    </w:p>
    <w:bookmarkStart w:id="73" w:name="page74"/>
    <w:bookmarkEnd w:id="73"/>
    <w:p>
      <w:pPr>
        <w:ind w:left="260"/>
        <w:spacing w:after="0"/>
        <w:rPr>
          <w:sz w:val="20"/>
          <w:szCs w:val="20"/>
          <w:color w:val="auto"/>
        </w:rPr>
      </w:pPr>
      <w:r>
        <w:rPr>
          <w:rFonts w:ascii="Arial" w:cs="Arial" w:eastAsia="Arial" w:hAnsi="Arial"/>
          <w:sz w:val="20"/>
          <w:szCs w:val="20"/>
          <w:i w:val="1"/>
          <w:iCs w:val="1"/>
          <w:color w:val="00162F"/>
        </w:rPr>
        <w:t>Investing Activities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American’s net cash used in investing activities was $1.8 billion and $909 million in 2025 and 2024, respectively.</w:t>
      </w:r>
    </w:p>
    <w:p>
      <w:pPr>
        <w:spacing w:after="0" w:line="18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American’s principal investing activities in 2025 included $3.7 billion of capital expenditures, which primarily related to the purchase of 23 Boeing 737 MAX aircraft, 12 Embraer E175 aircraft, eight Bombardier CRJ900 aircraft, six Boeing 787-9 aircraft, five Airbus A321XLR aircraft, two Boeing 737-800 aircraft lease repurchases, one Airbus A321neo aircraft, one Airbus A320 aircraft lease repurchase and eight aircraft engines. These cash outflows were offset in part by $1.3 billion in net sales of short-term investments and $343 million in proceeds from sale-leaseback transactions and sale of property and equipment, which primarily related to the modernization of Terminals 4 and 5 at LAX and sale of certain of American’s A330 aircraft. Additionally, American had $328 million in net proceeds from the issuance of the TMAT special facility revenue bonds.</w:t>
      </w:r>
    </w:p>
    <w:p>
      <w:pPr>
        <w:spacing w:after="0" w:line="147"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American’s principal investing activities in 2024 included $2.6 billion of capital expenditures, which primarily related to the purchase of 16 Embraer E175 aircraft, six Boeing 737 MAX aircraft, four Airbus A321neo aircraft</w:t>
      </w:r>
      <w:r>
        <w:rPr>
          <w:rFonts w:ascii="Arial" w:cs="Arial" w:eastAsia="Arial" w:hAnsi="Arial"/>
          <w:sz w:val="20"/>
          <w:szCs w:val="20"/>
          <w:b w:val="1"/>
          <w:bCs w:val="1"/>
          <w:color w:val="00162F"/>
        </w:rPr>
        <w:t>,</w:t>
      </w:r>
      <w:r>
        <w:rPr>
          <w:rFonts w:ascii="Arial" w:cs="Arial" w:eastAsia="Arial" w:hAnsi="Arial"/>
          <w:sz w:val="20"/>
          <w:szCs w:val="20"/>
          <w:color w:val="00162F"/>
        </w:rPr>
        <w:t xml:space="preserve"> four Boeing 737-800 aircraft lease repurchases, two Bombardier CRJ900 aircraft, one Airbus A320 aircraft lease repurchase, 48 aircraft engines and aircraft purchase deposits. These cash outflows were offset in part by $819 million in net sales of short-term investments and $654 million of proceeds from sale-leaseback transactions and sale of property and equipment, which primarily related to the modernization of Terminals 4 and 5 at LAX.</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00162F"/>
        </w:rPr>
        <w:t>Financing Activities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American’s net cash used in financing activities was $47 million and $2.3 billion in 2025 and 2024, respectively.</w:t>
      </w:r>
    </w:p>
    <w:p>
      <w:pPr>
        <w:spacing w:after="0" w:line="18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American’s principal financing activities in 2025 included $4.5 billion in long-term debt and finance lease repayments, consisting of $3.1 billion in scheduled repayments and the early repayments of $937 million for the outstanding principal amounts of the 10.75% Senior Secured Notes and $487 million for the outstanding principal amount of equipment notes issued under EETCs. These cash outflows were offset in part by $3.8 billion of proceeds from issuance of long-term debt, consisting of $1.2 billion from the issuance of equipment loans and other notes payable, $978 million from the issuance of EETCs in connection with the financing of certain aircraft, $1.0 billion from the issuance of the 2025 AAdvantage Term Loan Facility and $629 million under a senior unsecured short-term term loan facility due January 2026. Additionally, American had $840 million in net proceeds from fuel financing transactions.</w:t>
      </w:r>
    </w:p>
    <w:p>
      <w:pPr>
        <w:spacing w:after="0" w:line="147"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American’s principal financing activities in 2024 included $4.0 billion in long-term debt and finance lease repayments, consisting of $3.7 billion in scheduled repayments and the early repayment of $263 million toward portions of the outstanding principal amounts of the 10.75% Senior Secured Notes. These cash outflows were offset in part by $1.7 billion of proceeds from issuance of long-term debt, consisting of $990 million from the issuance of equipment loans and other notes payable and $684 million from the issuance of EETCs in connection with the financing of certain aircraft that had previously been delivered.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Commitments</w:t>
      </w:r>
    </w:p>
    <w:p>
      <w:pPr>
        <w:spacing w:after="0" w:line="9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For further information regarding our commitments, see the Notes to AAG’s Consolidated Financial Statements in Part II, Item 8A and the Notes to American’s Consolidated Financial Statements in Part II, Item 8B at the referenced footnotes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Borders>
              <w:bottom w:val="single" w:sz="8" w:color="EDEDED"/>
            </w:tcBorders>
          </w:tcPr>
          <w:p>
            <w:pPr>
              <w:spacing w:after="0"/>
              <w:rPr>
                <w:sz w:val="18"/>
                <w:szCs w:val="18"/>
                <w:color w:val="auto"/>
              </w:rPr>
            </w:pPr>
          </w:p>
        </w:tc>
        <w:tc>
          <w:tcPr>
            <w:tcW w:w="148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rPr>
              <w:t>AAG</w:t>
            </w:r>
          </w:p>
        </w:tc>
        <w:tc>
          <w:tcPr>
            <w:tcW w:w="80" w:type="dxa"/>
            <w:vAlign w:val="bottom"/>
            <w:tcBorders>
              <w:bottom w:val="single" w:sz="8" w:color="EDEDED"/>
            </w:tcBorders>
          </w:tcPr>
          <w:p>
            <w:pPr>
              <w:spacing w:after="0"/>
              <w:rPr>
                <w:sz w:val="18"/>
                <w:szCs w:val="18"/>
                <w:color w:val="auto"/>
              </w:rPr>
            </w:pPr>
          </w:p>
        </w:tc>
        <w:tc>
          <w:tcPr>
            <w:tcW w:w="148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8"/>
              </w:rPr>
              <w:t>American</w:t>
            </w:r>
          </w:p>
        </w:tc>
      </w:tr>
      <w:tr>
        <w:trPr>
          <w:trHeight w:val="287"/>
        </w:trPr>
        <w:tc>
          <w:tcPr>
            <w:tcW w:w="76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Debt</w:t>
            </w:r>
          </w:p>
        </w:tc>
        <w:tc>
          <w:tcPr>
            <w:tcW w:w="148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8"/>
              </w:rPr>
              <w:t>Note 4</w:t>
            </w:r>
          </w:p>
        </w:tc>
        <w:tc>
          <w:tcPr>
            <w:tcW w:w="80" w:type="dxa"/>
            <w:vAlign w:val="bottom"/>
            <w:shd w:val="clear" w:color="auto" w:fill="EDEDED"/>
          </w:tcPr>
          <w:p>
            <w:pPr>
              <w:spacing w:after="0"/>
              <w:rPr>
                <w:sz w:val="24"/>
                <w:szCs w:val="24"/>
                <w:color w:val="auto"/>
              </w:rPr>
            </w:pPr>
          </w:p>
        </w:tc>
        <w:tc>
          <w:tcPr>
            <w:tcW w:w="148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8"/>
              </w:rPr>
              <w:t>Note 3</w:t>
            </w:r>
          </w:p>
        </w:tc>
      </w:tr>
      <w:tr>
        <w:trPr>
          <w:trHeight w:val="293"/>
        </w:trPr>
        <w:tc>
          <w:tcPr>
            <w:tcW w:w="7640" w:type="dxa"/>
            <w:vAlign w:val="bottom"/>
          </w:tcPr>
          <w:p>
            <w:pPr>
              <w:ind w:left="40"/>
              <w:spacing w:after="0"/>
              <w:rPr>
                <w:sz w:val="20"/>
                <w:szCs w:val="20"/>
                <w:color w:val="auto"/>
              </w:rPr>
            </w:pPr>
            <w:r>
              <w:rPr>
                <w:rFonts w:ascii="Arial" w:cs="Arial" w:eastAsia="Arial" w:hAnsi="Arial"/>
                <w:sz w:val="20"/>
                <w:szCs w:val="20"/>
                <w:color w:val="00162F"/>
              </w:rPr>
              <w:t>Leases</w:t>
            </w:r>
          </w:p>
        </w:tc>
        <w:tc>
          <w:tcPr>
            <w:tcW w:w="1480" w:type="dxa"/>
            <w:vAlign w:val="bottom"/>
          </w:tcPr>
          <w:p>
            <w:pPr>
              <w:jc w:val="center"/>
              <w:spacing w:after="0"/>
              <w:rPr>
                <w:sz w:val="20"/>
                <w:szCs w:val="20"/>
                <w:color w:val="auto"/>
              </w:rPr>
            </w:pPr>
            <w:r>
              <w:rPr>
                <w:rFonts w:ascii="Arial" w:cs="Arial" w:eastAsia="Arial" w:hAnsi="Arial"/>
                <w:sz w:val="20"/>
                <w:szCs w:val="20"/>
                <w:color w:val="00162F"/>
                <w:w w:val="98"/>
              </w:rPr>
              <w:t>Note 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00162F"/>
                <w:w w:val="98"/>
              </w:rPr>
              <w:t>Note 4</w:t>
            </w:r>
          </w:p>
        </w:tc>
      </w:tr>
      <w:tr>
        <w:trPr>
          <w:trHeight w:val="301"/>
        </w:trPr>
        <w:tc>
          <w:tcPr>
            <w:tcW w:w="76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Employee Benefit Plans</w:t>
            </w:r>
          </w:p>
        </w:tc>
        <w:tc>
          <w:tcPr>
            <w:tcW w:w="148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8"/>
              </w:rPr>
              <w:t>Note 9</w:t>
            </w:r>
          </w:p>
        </w:tc>
        <w:tc>
          <w:tcPr>
            <w:tcW w:w="80" w:type="dxa"/>
            <w:vAlign w:val="bottom"/>
            <w:shd w:val="clear" w:color="auto" w:fill="EDEDED"/>
          </w:tcPr>
          <w:p>
            <w:pPr>
              <w:spacing w:after="0"/>
              <w:rPr>
                <w:sz w:val="24"/>
                <w:szCs w:val="24"/>
                <w:color w:val="auto"/>
              </w:rPr>
            </w:pPr>
          </w:p>
        </w:tc>
        <w:tc>
          <w:tcPr>
            <w:tcW w:w="148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8"/>
              </w:rPr>
              <w:t>Note 8</w:t>
            </w:r>
          </w:p>
        </w:tc>
      </w:tr>
      <w:tr>
        <w:trPr>
          <w:trHeight w:val="290"/>
        </w:trPr>
        <w:tc>
          <w:tcPr>
            <w:tcW w:w="7640" w:type="dxa"/>
            <w:vAlign w:val="bottom"/>
          </w:tcPr>
          <w:p>
            <w:pPr>
              <w:ind w:left="40"/>
              <w:spacing w:after="0"/>
              <w:rPr>
                <w:sz w:val="20"/>
                <w:szCs w:val="20"/>
                <w:color w:val="auto"/>
              </w:rPr>
            </w:pPr>
            <w:r>
              <w:rPr>
                <w:rFonts w:ascii="Arial" w:cs="Arial" w:eastAsia="Arial" w:hAnsi="Arial"/>
                <w:sz w:val="20"/>
                <w:szCs w:val="20"/>
                <w:color w:val="00162F"/>
              </w:rPr>
              <w:t>Commitments, Contingencies and Guarantees</w:t>
            </w:r>
          </w:p>
        </w:tc>
        <w:tc>
          <w:tcPr>
            <w:tcW w:w="1480" w:type="dxa"/>
            <w:vAlign w:val="bottom"/>
          </w:tcPr>
          <w:p>
            <w:pPr>
              <w:jc w:val="center"/>
              <w:spacing w:after="0"/>
              <w:rPr>
                <w:sz w:val="20"/>
                <w:szCs w:val="20"/>
                <w:color w:val="auto"/>
              </w:rPr>
            </w:pPr>
            <w:r>
              <w:rPr>
                <w:rFonts w:ascii="Arial" w:cs="Arial" w:eastAsia="Arial" w:hAnsi="Arial"/>
                <w:sz w:val="20"/>
                <w:szCs w:val="20"/>
                <w:color w:val="00162F"/>
                <w:w w:val="97"/>
              </w:rPr>
              <w:t>Note 11</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00162F"/>
                <w:w w:val="97"/>
              </w:rPr>
              <w:t>Note 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-762000</wp:posOffset>
            </wp:positionV>
            <wp:extent cx="195834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1958340" cy="2540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Off-Balance Sheet Arrangements</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73</w:t>
      </w:r>
    </w:p>
    <w:p>
      <w:pPr>
        <w:sectPr>
          <w:pgSz w:w="11880" w:h="15480" w:orient="portrait"/>
          <w:cols w:equalWidth="0" w:num="1">
            <w:col w:w="10680"/>
          </w:cols>
          <w:pgMar w:left="600" w:top="994" w:right="600" w:bottom="0" w:gutter="0" w:footer="0" w:header="0"/>
          <w:type w:val="continuous"/>
        </w:sectPr>
      </w:pPr>
    </w:p>
    <w:bookmarkStart w:id="74" w:name="page75"/>
    <w:bookmarkEnd w:id="74"/>
    <w:p>
      <w:pPr>
        <w:jc w:val="both"/>
        <w:ind w:right="20" w:firstLine="267"/>
        <w:spacing w:after="0" w:line="282" w:lineRule="auto"/>
        <w:rPr>
          <w:sz w:val="20"/>
          <w:szCs w:val="20"/>
          <w:color w:val="auto"/>
        </w:rPr>
      </w:pPr>
      <w:r>
        <w:rPr>
          <w:rFonts w:ascii="Arial" w:cs="Arial" w:eastAsia="Arial" w:hAnsi="Arial"/>
          <w:sz w:val="20"/>
          <w:szCs w:val="20"/>
          <w:color w:val="00162F"/>
        </w:rPr>
        <w:t>We have no off-balance sheet arrangements of the types described in the first three categories above that we believe may have a material current or future effect on financial condition, liquidity or results of operations.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Pass-Through Trusts</w:t>
      </w:r>
    </w:p>
    <w:p>
      <w:pPr>
        <w:spacing w:after="0" w:line="95" w:lineRule="exact"/>
        <w:rPr>
          <w:sz w:val="20"/>
          <w:szCs w:val="20"/>
          <w:color w:val="auto"/>
        </w:rPr>
      </w:pPr>
    </w:p>
    <w:p>
      <w:pPr>
        <w:jc w:val="both"/>
        <w:ind w:right="20" w:firstLine="267"/>
        <w:spacing w:after="0" w:line="251" w:lineRule="auto"/>
        <w:rPr>
          <w:sz w:val="20"/>
          <w:szCs w:val="20"/>
          <w:color w:val="auto"/>
        </w:rPr>
      </w:pPr>
      <w:r>
        <w:rPr>
          <w:rFonts w:ascii="Arial" w:cs="Arial" w:eastAsia="Arial" w:hAnsi="Arial"/>
          <w:sz w:val="20"/>
          <w:szCs w:val="20"/>
          <w:color w:val="00162F"/>
        </w:rPr>
        <w:t>American currently has 280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48" w:lineRule="exact"/>
        <w:rPr>
          <w:sz w:val="20"/>
          <w:szCs w:val="20"/>
          <w:color w:val="auto"/>
        </w:rPr>
      </w:pPr>
    </w:p>
    <w:p>
      <w:pPr>
        <w:jc w:val="both"/>
        <w:ind w:right="20" w:firstLine="267"/>
        <w:spacing w:after="0" w:line="251" w:lineRule="auto"/>
        <w:rPr>
          <w:sz w:val="20"/>
          <w:szCs w:val="20"/>
          <w:color w:val="auto"/>
        </w:rPr>
      </w:pPr>
      <w:r>
        <w:rPr>
          <w:rFonts w:ascii="Arial" w:cs="Arial" w:eastAsia="Arial" w:hAnsi="Arial"/>
          <w:sz w:val="20"/>
          <w:szCs w:val="20"/>
          <w:color w:val="00162F"/>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from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2025, $6.9 billion associated with these mortgage financings is reflected as debt in the accompanying consolidated balance sheet.</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Letters of Credit and Other</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We provide financial assurance, such as letters of credit and surety bonds, primarily to support projected workers’ compensation obligations and airport commitments. As of December 31, 2025, we had $412 million of letters of credit and surety bonds securing various obligations, of which $97 million is collateralized with our restricted cash. The letters of credit and surety bonds that are subject to expiration will expire on various dates through 2037.</w:t>
      </w:r>
    </w:p>
    <w:p>
      <w:pPr>
        <w:sectPr>
          <w:pgSz w:w="11880" w:h="15480" w:orient="portrait"/>
          <w:cols w:equalWidth="0" w:num="1">
            <w:col w:w="10700"/>
          </w:cols>
          <w:pgMar w:left="600" w:top="99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74</w:t>
      </w:r>
    </w:p>
    <w:p>
      <w:pPr>
        <w:sectPr>
          <w:pgSz w:w="11880" w:h="15480" w:orient="portrait"/>
          <w:cols w:equalWidth="0" w:num="1">
            <w:col w:w="10700"/>
          </w:cols>
          <w:pgMar w:left="600" w:top="992" w:right="580" w:bottom="0" w:gutter="0" w:footer="0" w:header="0"/>
          <w:type w:val="continuous"/>
        </w:sectPr>
      </w:pPr>
    </w:p>
    <w:bookmarkStart w:id="75" w:name="page76"/>
    <w:bookmarkEnd w:id="75"/>
    <w:p>
      <w:pPr>
        <w:ind w:left="5"/>
        <w:spacing w:after="0"/>
        <w:rPr>
          <w:sz w:val="20"/>
          <w:szCs w:val="20"/>
          <w:color w:val="auto"/>
        </w:rPr>
      </w:pPr>
      <w:r>
        <w:rPr>
          <w:rFonts w:ascii="Arial" w:cs="Arial" w:eastAsia="Arial" w:hAnsi="Arial"/>
          <w:sz w:val="20"/>
          <w:szCs w:val="20"/>
          <w:b w:val="1"/>
          <w:bCs w:val="1"/>
          <w:color w:val="00162F"/>
        </w:rPr>
        <w:t>Contractual Obligations</w:t>
      </w:r>
    </w:p>
    <w:p>
      <w:pPr>
        <w:spacing w:after="0" w:line="97"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The following table provides details of our estimated material cash requirements from contractual obligations as of December 31, 2025 (in millions). The table does not include commitments that are contingent on events or other factors that are uncertain or unknown at this time and is subject to other conventions as set forth in the applicable accompanying footnotes.</w:t>
      </w:r>
    </w:p>
    <w:p>
      <w:pPr>
        <w:spacing w:after="0" w:line="250"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2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82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2640" w:type="dxa"/>
            <w:vAlign w:val="bottom"/>
            <w:tcBorders>
              <w:bottom w:val="single" w:sz="8" w:color="00162F"/>
            </w:tcBorders>
            <w:gridSpan w:val="6"/>
          </w:tcPr>
          <w:p>
            <w:pPr>
              <w:jc w:val="right"/>
              <w:ind w:right="222"/>
              <w:spacing w:after="0"/>
              <w:rPr>
                <w:sz w:val="20"/>
                <w:szCs w:val="20"/>
                <w:color w:val="auto"/>
              </w:rPr>
            </w:pPr>
            <w:r>
              <w:rPr>
                <w:rFonts w:ascii="Arial" w:cs="Arial" w:eastAsia="Arial" w:hAnsi="Arial"/>
                <w:sz w:val="16"/>
                <w:szCs w:val="16"/>
                <w:b w:val="1"/>
                <w:bCs w:val="1"/>
                <w:color w:val="00162F"/>
              </w:rPr>
              <w:t>Payments Due by Period</w:t>
            </w:r>
          </w:p>
        </w:tc>
        <w:tc>
          <w:tcPr>
            <w:tcW w:w="80" w:type="dxa"/>
            <w:vAlign w:val="bottom"/>
            <w:tcBorders>
              <w:bottom w:val="single" w:sz="8" w:color="00162F"/>
            </w:tcBorders>
          </w:tcPr>
          <w:p>
            <w:pPr>
              <w:spacing w:after="0"/>
              <w:rPr>
                <w:sz w:val="18"/>
                <w:szCs w:val="18"/>
                <w:color w:val="auto"/>
              </w:rPr>
            </w:pPr>
          </w:p>
        </w:tc>
        <w:tc>
          <w:tcPr>
            <w:tcW w:w="220" w:type="dxa"/>
            <w:vAlign w:val="bottom"/>
            <w:tcBorders>
              <w:bottom w:val="single" w:sz="8" w:color="00162F"/>
            </w:tcBorders>
          </w:tcPr>
          <w:p>
            <w:pPr>
              <w:spacing w:after="0"/>
              <w:rPr>
                <w:sz w:val="18"/>
                <w:szCs w:val="18"/>
                <w:color w:val="auto"/>
              </w:rPr>
            </w:pPr>
          </w:p>
        </w:tc>
        <w:tc>
          <w:tcPr>
            <w:tcW w:w="72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840" w:type="dxa"/>
            <w:vAlign w:val="bottom"/>
            <w:tcBorders>
              <w:bottom w:val="single" w:sz="8" w:color="00162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2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00162F"/>
              </w:rPr>
              <w:t>2026</w:t>
            </w:r>
          </w:p>
        </w:tc>
        <w:tc>
          <w:tcPr>
            <w:tcW w:w="900" w:type="dxa"/>
            <w:vAlign w:val="bottom"/>
            <w:gridSpan w:val="2"/>
            <w:vMerge w:val="restart"/>
          </w:tcPr>
          <w:p>
            <w:pPr>
              <w:jc w:val="right"/>
              <w:ind w:right="141"/>
              <w:spacing w:after="0"/>
              <w:rPr>
                <w:sz w:val="20"/>
                <w:szCs w:val="20"/>
                <w:color w:val="auto"/>
              </w:rPr>
            </w:pPr>
            <w:r>
              <w:rPr>
                <w:rFonts w:ascii="Arial" w:cs="Arial" w:eastAsia="Arial" w:hAnsi="Arial"/>
                <w:sz w:val="16"/>
                <w:szCs w:val="16"/>
                <w:b w:val="1"/>
                <w:bCs w:val="1"/>
                <w:color w:val="00162F"/>
              </w:rPr>
              <w:t>2027</w:t>
            </w:r>
          </w:p>
        </w:tc>
        <w:tc>
          <w:tcPr>
            <w:tcW w:w="920" w:type="dxa"/>
            <w:vAlign w:val="bottom"/>
            <w:gridSpan w:val="2"/>
            <w:vMerge w:val="restart"/>
          </w:tcPr>
          <w:p>
            <w:pPr>
              <w:jc w:val="right"/>
              <w:ind w:right="145"/>
              <w:spacing w:after="0"/>
              <w:rPr>
                <w:sz w:val="20"/>
                <w:szCs w:val="20"/>
                <w:color w:val="auto"/>
              </w:rPr>
            </w:pPr>
            <w:r>
              <w:rPr>
                <w:rFonts w:ascii="Arial" w:cs="Arial" w:eastAsia="Arial" w:hAnsi="Arial"/>
                <w:sz w:val="16"/>
                <w:szCs w:val="16"/>
                <w:b w:val="1"/>
                <w:bCs w:val="1"/>
                <w:color w:val="00162F"/>
              </w:rPr>
              <w:t>2028</w:t>
            </w:r>
          </w:p>
        </w:tc>
        <w:tc>
          <w:tcPr>
            <w:tcW w:w="900" w:type="dxa"/>
            <w:vAlign w:val="bottom"/>
            <w:gridSpan w:val="2"/>
            <w:vMerge w:val="restart"/>
          </w:tcPr>
          <w:p>
            <w:pPr>
              <w:jc w:val="right"/>
              <w:ind w:right="141"/>
              <w:spacing w:after="0"/>
              <w:rPr>
                <w:sz w:val="20"/>
                <w:szCs w:val="20"/>
                <w:color w:val="auto"/>
              </w:rPr>
            </w:pPr>
            <w:r>
              <w:rPr>
                <w:rFonts w:ascii="Arial" w:cs="Arial" w:eastAsia="Arial" w:hAnsi="Arial"/>
                <w:sz w:val="16"/>
                <w:szCs w:val="16"/>
                <w:b w:val="1"/>
                <w:bCs w:val="1"/>
                <w:color w:val="00162F"/>
              </w:rPr>
              <w:t>2029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00162F"/>
              </w:rPr>
              <w:t>2030</w:t>
            </w:r>
          </w:p>
        </w:tc>
        <w:tc>
          <w:tcPr>
            <w:tcW w:w="80" w:type="dxa"/>
            <w:vAlign w:val="bottom"/>
          </w:tcPr>
          <w:p>
            <w:pPr>
              <w:spacing w:after="0"/>
              <w:rPr>
                <w:sz w:val="19"/>
                <w:szCs w:val="19"/>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00162F"/>
              </w:rPr>
              <w:t>2031 and</w:t>
            </w:r>
          </w:p>
        </w:tc>
        <w:tc>
          <w:tcPr>
            <w:tcW w:w="80" w:type="dxa"/>
            <w:vAlign w:val="bottom"/>
          </w:tcPr>
          <w:p>
            <w:pPr>
              <w:spacing w:after="0"/>
              <w:rPr>
                <w:sz w:val="19"/>
                <w:szCs w:val="19"/>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6"/>
                <w:szCs w:val="16"/>
                <w:b w:val="1"/>
                <w:bCs w:val="1"/>
                <w:color w:val="00162F"/>
              </w:rPr>
              <w:t>Total</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00162F"/>
              </w:rPr>
              <w:t>Thereafter</w:t>
            </w: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280" w:type="dxa"/>
            <w:vAlign w:val="bottom"/>
            <w:tcBorders>
              <w:top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i w:val="1"/>
                <w:iCs w:val="1"/>
                <w:color w:val="00162F"/>
              </w:rPr>
              <w:t xml:space="preserve">American </w:t>
            </w:r>
            <w:r>
              <w:rPr>
                <w:rFonts w:ascii="Arial" w:cs="Arial" w:eastAsia="Arial" w:hAnsi="Arial"/>
                <w:sz w:val="12"/>
                <w:szCs w:val="12"/>
                <w:i w:val="1"/>
                <w:iCs w:val="1"/>
                <w:color w:val="00162F"/>
              </w:rPr>
              <w:t>(a)</w:t>
            </w:r>
          </w:p>
        </w:tc>
        <w:tc>
          <w:tcPr>
            <w:tcW w:w="820" w:type="dxa"/>
            <w:vAlign w:val="bottom"/>
            <w:tcBorders>
              <w:top w:val="single" w:sz="8" w:color="00162F"/>
            </w:tcBorders>
            <w:shd w:val="clear" w:color="auto" w:fill="EDEDED"/>
          </w:tcPr>
          <w:p>
            <w:pPr>
              <w:spacing w:after="0"/>
              <w:rPr>
                <w:sz w:val="24"/>
                <w:szCs w:val="24"/>
                <w:color w:val="auto"/>
              </w:rPr>
            </w:pPr>
          </w:p>
        </w:tc>
        <w:tc>
          <w:tcPr>
            <w:tcW w:w="80" w:type="dxa"/>
            <w:vAlign w:val="bottom"/>
            <w:tcBorders>
              <w:top w:val="single" w:sz="8" w:color="EDEDED"/>
            </w:tcBorders>
            <w:shd w:val="clear" w:color="auto" w:fill="EDEDED"/>
          </w:tcPr>
          <w:p>
            <w:pPr>
              <w:spacing w:after="0"/>
              <w:rPr>
                <w:sz w:val="24"/>
                <w:szCs w:val="24"/>
                <w:color w:val="auto"/>
              </w:rPr>
            </w:pPr>
          </w:p>
        </w:tc>
        <w:tc>
          <w:tcPr>
            <w:tcW w:w="820" w:type="dxa"/>
            <w:vAlign w:val="bottom"/>
            <w:tcBorders>
              <w:top w:val="single" w:sz="8" w:color="00162F"/>
            </w:tcBorders>
            <w:shd w:val="clear" w:color="auto" w:fill="EDEDED"/>
          </w:tcPr>
          <w:p>
            <w:pPr>
              <w:spacing w:after="0"/>
              <w:rPr>
                <w:sz w:val="24"/>
                <w:szCs w:val="24"/>
                <w:color w:val="auto"/>
              </w:rPr>
            </w:pPr>
          </w:p>
        </w:tc>
        <w:tc>
          <w:tcPr>
            <w:tcW w:w="80" w:type="dxa"/>
            <w:vAlign w:val="bottom"/>
            <w:tcBorders>
              <w:top w:val="single" w:sz="8" w:color="EDEDED"/>
            </w:tcBorders>
            <w:shd w:val="clear" w:color="auto" w:fill="EDEDED"/>
          </w:tcPr>
          <w:p>
            <w:pPr>
              <w:spacing w:after="0"/>
              <w:rPr>
                <w:sz w:val="24"/>
                <w:szCs w:val="24"/>
                <w:color w:val="auto"/>
              </w:rPr>
            </w:pPr>
          </w:p>
        </w:tc>
        <w:tc>
          <w:tcPr>
            <w:tcW w:w="840" w:type="dxa"/>
            <w:vAlign w:val="bottom"/>
            <w:tcBorders>
              <w:top w:val="single" w:sz="8" w:color="00162F"/>
            </w:tcBorders>
            <w:shd w:val="clear" w:color="auto" w:fill="EDEDED"/>
          </w:tcPr>
          <w:p>
            <w:pPr>
              <w:spacing w:after="0"/>
              <w:rPr>
                <w:sz w:val="24"/>
                <w:szCs w:val="24"/>
                <w:color w:val="auto"/>
              </w:rPr>
            </w:pPr>
          </w:p>
        </w:tc>
        <w:tc>
          <w:tcPr>
            <w:tcW w:w="60" w:type="dxa"/>
            <w:vAlign w:val="bottom"/>
            <w:tcBorders>
              <w:top w:val="single" w:sz="8" w:color="EDEDED"/>
            </w:tcBorders>
            <w:shd w:val="clear" w:color="auto" w:fill="EDEDED"/>
          </w:tcPr>
          <w:p>
            <w:pPr>
              <w:spacing w:after="0"/>
              <w:rPr>
                <w:sz w:val="24"/>
                <w:szCs w:val="24"/>
                <w:color w:val="auto"/>
              </w:rPr>
            </w:pPr>
          </w:p>
        </w:tc>
        <w:tc>
          <w:tcPr>
            <w:tcW w:w="840" w:type="dxa"/>
            <w:vAlign w:val="bottom"/>
            <w:tcBorders>
              <w:top w:val="single" w:sz="8" w:color="00162F"/>
            </w:tcBorders>
            <w:shd w:val="clear" w:color="auto" w:fill="EDEDED"/>
          </w:tcPr>
          <w:p>
            <w:pPr>
              <w:spacing w:after="0"/>
              <w:rPr>
                <w:sz w:val="24"/>
                <w:szCs w:val="24"/>
                <w:color w:val="auto"/>
              </w:rPr>
            </w:pPr>
          </w:p>
        </w:tc>
        <w:tc>
          <w:tcPr>
            <w:tcW w:w="80" w:type="dxa"/>
            <w:vAlign w:val="bottom"/>
            <w:tcBorders>
              <w:top w:val="single" w:sz="8" w:color="EDEDED"/>
            </w:tcBorders>
            <w:shd w:val="clear" w:color="auto" w:fill="EDEDED"/>
          </w:tcPr>
          <w:p>
            <w:pPr>
              <w:spacing w:after="0"/>
              <w:rPr>
                <w:sz w:val="24"/>
                <w:szCs w:val="24"/>
                <w:color w:val="auto"/>
              </w:rPr>
            </w:pPr>
          </w:p>
        </w:tc>
        <w:tc>
          <w:tcPr>
            <w:tcW w:w="200" w:type="dxa"/>
            <w:vAlign w:val="bottom"/>
            <w:tcBorders>
              <w:top w:val="single" w:sz="8" w:color="00162F"/>
            </w:tcBorders>
            <w:shd w:val="clear" w:color="auto" w:fill="EDEDED"/>
          </w:tcPr>
          <w:p>
            <w:pPr>
              <w:spacing w:after="0"/>
              <w:rPr>
                <w:sz w:val="24"/>
                <w:szCs w:val="24"/>
                <w:color w:val="auto"/>
              </w:rPr>
            </w:pPr>
          </w:p>
        </w:tc>
        <w:tc>
          <w:tcPr>
            <w:tcW w:w="620" w:type="dxa"/>
            <w:vAlign w:val="bottom"/>
            <w:tcBorders>
              <w:top w:val="single" w:sz="8" w:color="00162F"/>
            </w:tcBorders>
            <w:shd w:val="clear" w:color="auto" w:fill="EDEDED"/>
          </w:tcPr>
          <w:p>
            <w:pPr>
              <w:spacing w:after="0"/>
              <w:rPr>
                <w:sz w:val="24"/>
                <w:szCs w:val="24"/>
                <w:color w:val="auto"/>
              </w:rPr>
            </w:pPr>
          </w:p>
        </w:tc>
        <w:tc>
          <w:tcPr>
            <w:tcW w:w="80" w:type="dxa"/>
            <w:vAlign w:val="bottom"/>
            <w:tcBorders>
              <w:top w:val="single" w:sz="8" w:color="EDEDED"/>
            </w:tcBorders>
            <w:shd w:val="clear" w:color="auto" w:fill="EDEDED"/>
          </w:tcPr>
          <w:p>
            <w:pPr>
              <w:spacing w:after="0"/>
              <w:rPr>
                <w:sz w:val="24"/>
                <w:szCs w:val="24"/>
                <w:color w:val="auto"/>
              </w:rPr>
            </w:pPr>
          </w:p>
        </w:tc>
        <w:tc>
          <w:tcPr>
            <w:tcW w:w="220" w:type="dxa"/>
            <w:vAlign w:val="bottom"/>
            <w:tcBorders>
              <w:top w:val="single" w:sz="8" w:color="00162F"/>
            </w:tcBorders>
            <w:shd w:val="clear" w:color="auto" w:fill="EDEDED"/>
          </w:tcPr>
          <w:p>
            <w:pPr>
              <w:spacing w:after="0"/>
              <w:rPr>
                <w:sz w:val="24"/>
                <w:szCs w:val="24"/>
                <w:color w:val="auto"/>
              </w:rPr>
            </w:pPr>
          </w:p>
        </w:tc>
        <w:tc>
          <w:tcPr>
            <w:tcW w:w="720" w:type="dxa"/>
            <w:vAlign w:val="bottom"/>
            <w:tcBorders>
              <w:top w:val="single" w:sz="8" w:color="00162F"/>
            </w:tcBorders>
            <w:shd w:val="clear" w:color="auto" w:fill="EDEDED"/>
          </w:tcPr>
          <w:p>
            <w:pPr>
              <w:spacing w:after="0"/>
              <w:rPr>
                <w:sz w:val="24"/>
                <w:szCs w:val="24"/>
                <w:color w:val="auto"/>
              </w:rPr>
            </w:pPr>
          </w:p>
        </w:tc>
        <w:tc>
          <w:tcPr>
            <w:tcW w:w="80" w:type="dxa"/>
            <w:vAlign w:val="bottom"/>
            <w:tcBorders>
              <w:top w:val="single" w:sz="8" w:color="EDEDED"/>
            </w:tcBorders>
            <w:shd w:val="clear" w:color="auto" w:fill="EDEDED"/>
          </w:tcPr>
          <w:p>
            <w:pPr>
              <w:spacing w:after="0"/>
              <w:rPr>
                <w:sz w:val="24"/>
                <w:szCs w:val="24"/>
                <w:color w:val="auto"/>
              </w:rPr>
            </w:pPr>
          </w:p>
        </w:tc>
        <w:tc>
          <w:tcPr>
            <w:tcW w:w="840" w:type="dxa"/>
            <w:vAlign w:val="bottom"/>
            <w:tcBorders>
              <w:top w:val="single" w:sz="8" w:color="00162F"/>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280" w:type="dxa"/>
            <w:vAlign w:val="bottom"/>
            <w:gridSpan w:val="2"/>
          </w:tcPr>
          <w:p>
            <w:pPr>
              <w:ind w:left="40"/>
              <w:spacing w:after="0"/>
              <w:rPr>
                <w:sz w:val="20"/>
                <w:szCs w:val="20"/>
                <w:color w:val="auto"/>
              </w:rPr>
            </w:pPr>
            <w:r>
              <w:rPr>
                <w:rFonts w:ascii="Arial" w:cs="Arial" w:eastAsia="Arial" w:hAnsi="Arial"/>
                <w:sz w:val="20"/>
                <w:szCs w:val="20"/>
                <w:color w:val="00162F"/>
              </w:rPr>
              <w:t>Long-term debt:</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280" w:type="dxa"/>
            <w:vAlign w:val="bottom"/>
            <w:gridSpan w:val="2"/>
            <w:shd w:val="clear" w:color="auto" w:fill="EDEDED"/>
          </w:tcPr>
          <w:p>
            <w:pPr>
              <w:ind w:left="180"/>
              <w:spacing w:after="0"/>
              <w:rPr>
                <w:sz w:val="20"/>
                <w:szCs w:val="20"/>
                <w:color w:val="auto"/>
              </w:rPr>
            </w:pPr>
            <w:r>
              <w:rPr>
                <w:rFonts w:ascii="Arial" w:cs="Arial" w:eastAsia="Arial" w:hAnsi="Arial"/>
                <w:sz w:val="20"/>
                <w:szCs w:val="20"/>
                <w:color w:val="00162F"/>
              </w:rPr>
              <w:t xml:space="preserve">Principal amount </w:t>
            </w:r>
            <w:r>
              <w:rPr>
                <w:rFonts w:ascii="Arial" w:cs="Arial" w:eastAsia="Arial" w:hAnsi="Arial"/>
                <w:sz w:val="12"/>
                <w:szCs w:val="12"/>
                <w:color w:val="00162F"/>
              </w:rPr>
              <w:t>(b), (d)</w:t>
            </w:r>
            <w:r>
              <w:rPr>
                <w:rFonts w:ascii="Arial" w:cs="Arial" w:eastAsia="Arial" w:hAnsi="Arial"/>
                <w:sz w:val="20"/>
                <w:szCs w:val="20"/>
                <w:color w:val="00162F"/>
              </w:rPr>
              <w:t xml:space="preserve"> (See Note 3)</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$ 3,641</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$ 4,455</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$ 7,324</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$ 4,045</w:t>
            </w:r>
          </w:p>
        </w:tc>
        <w:tc>
          <w:tcPr>
            <w:tcW w:w="28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6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730</w:t>
            </w:r>
          </w:p>
        </w:tc>
        <w:tc>
          <w:tcPr>
            <w:tcW w:w="3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4,653</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$24,848</w:t>
            </w:r>
          </w:p>
        </w:tc>
        <w:tc>
          <w:tcPr>
            <w:tcW w:w="0" w:type="dxa"/>
            <w:vAlign w:val="bottom"/>
          </w:tcPr>
          <w:p>
            <w:pPr>
              <w:spacing w:after="0"/>
              <w:rPr>
                <w:sz w:val="1"/>
                <w:szCs w:val="1"/>
                <w:color w:val="auto"/>
              </w:rPr>
            </w:pPr>
          </w:p>
        </w:tc>
      </w:tr>
      <w:tr>
        <w:trPr>
          <w:trHeight w:val="293"/>
        </w:trPr>
        <w:tc>
          <w:tcPr>
            <w:tcW w:w="4280" w:type="dxa"/>
            <w:vAlign w:val="bottom"/>
            <w:gridSpan w:val="2"/>
          </w:tcPr>
          <w:p>
            <w:pPr>
              <w:ind w:left="180"/>
              <w:spacing w:after="0"/>
              <w:rPr>
                <w:sz w:val="20"/>
                <w:szCs w:val="20"/>
                <w:color w:val="auto"/>
              </w:rPr>
            </w:pPr>
            <w:r>
              <w:rPr>
                <w:rFonts w:ascii="Arial" w:cs="Arial" w:eastAsia="Arial" w:hAnsi="Arial"/>
                <w:sz w:val="20"/>
                <w:szCs w:val="20"/>
                <w:color w:val="00162F"/>
              </w:rPr>
              <w:t xml:space="preserve">Interest obligations </w:t>
            </w:r>
            <w:r>
              <w:rPr>
                <w:rFonts w:ascii="Arial" w:cs="Arial" w:eastAsia="Arial" w:hAnsi="Arial"/>
                <w:sz w:val="12"/>
                <w:szCs w:val="12"/>
                <w:color w:val="00162F"/>
              </w:rPr>
              <w:t>(c), (d)</w:t>
            </w:r>
          </w:p>
        </w:tc>
        <w:tc>
          <w:tcPr>
            <w:tcW w:w="820" w:type="dxa"/>
            <w:vAlign w:val="bottom"/>
          </w:tcPr>
          <w:p>
            <w:pPr>
              <w:jc w:val="right"/>
              <w:spacing w:after="0"/>
              <w:rPr>
                <w:sz w:val="20"/>
                <w:szCs w:val="20"/>
                <w:color w:val="auto"/>
              </w:rPr>
            </w:pPr>
            <w:r>
              <w:rPr>
                <w:rFonts w:ascii="Arial" w:cs="Arial" w:eastAsia="Arial" w:hAnsi="Arial"/>
                <w:sz w:val="20"/>
                <w:szCs w:val="20"/>
                <w:color w:val="00162F"/>
              </w:rPr>
              <w:t>1,267</w:t>
            </w:r>
          </w:p>
        </w:tc>
        <w:tc>
          <w:tcPr>
            <w:tcW w:w="900" w:type="dxa"/>
            <w:vAlign w:val="bottom"/>
            <w:gridSpan w:val="2"/>
          </w:tcPr>
          <w:p>
            <w:pPr>
              <w:jc w:val="right"/>
              <w:spacing w:after="0"/>
              <w:rPr>
                <w:sz w:val="20"/>
                <w:szCs w:val="20"/>
                <w:color w:val="auto"/>
              </w:rPr>
            </w:pPr>
            <w:r>
              <w:rPr>
                <w:rFonts w:ascii="Arial" w:cs="Arial" w:eastAsia="Arial" w:hAnsi="Arial"/>
                <w:sz w:val="20"/>
                <w:szCs w:val="20"/>
                <w:color w:val="00162F"/>
              </w:rPr>
              <w:t>1,039</w:t>
            </w:r>
          </w:p>
        </w:tc>
        <w:tc>
          <w:tcPr>
            <w:tcW w:w="920" w:type="dxa"/>
            <w:vAlign w:val="bottom"/>
            <w:gridSpan w:val="2"/>
          </w:tcPr>
          <w:p>
            <w:pPr>
              <w:jc w:val="right"/>
              <w:spacing w:after="0"/>
              <w:rPr>
                <w:sz w:val="20"/>
                <w:szCs w:val="20"/>
                <w:color w:val="auto"/>
              </w:rPr>
            </w:pPr>
            <w:r>
              <w:rPr>
                <w:rFonts w:ascii="Arial" w:cs="Arial" w:eastAsia="Arial" w:hAnsi="Arial"/>
                <w:sz w:val="20"/>
                <w:szCs w:val="20"/>
                <w:color w:val="00162F"/>
              </w:rPr>
              <w:t>739</w:t>
            </w:r>
          </w:p>
        </w:tc>
        <w:tc>
          <w:tcPr>
            <w:tcW w:w="900" w:type="dxa"/>
            <w:vAlign w:val="bottom"/>
            <w:gridSpan w:val="2"/>
          </w:tcPr>
          <w:p>
            <w:pPr>
              <w:jc w:val="right"/>
              <w:spacing w:after="0"/>
              <w:rPr>
                <w:sz w:val="20"/>
                <w:szCs w:val="20"/>
                <w:color w:val="auto"/>
              </w:rPr>
            </w:pPr>
            <w:r>
              <w:rPr>
                <w:rFonts w:ascii="Arial" w:cs="Arial" w:eastAsia="Arial" w:hAnsi="Arial"/>
                <w:sz w:val="20"/>
                <w:szCs w:val="20"/>
                <w:color w:val="00162F"/>
              </w:rPr>
              <w:t>420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00162F"/>
              </w:rPr>
              <w:t>276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0162F"/>
              </w:rPr>
              <w:t>770</w:t>
            </w:r>
          </w:p>
        </w:tc>
        <w:tc>
          <w:tcPr>
            <w:tcW w:w="920" w:type="dxa"/>
            <w:vAlign w:val="bottom"/>
            <w:gridSpan w:val="2"/>
          </w:tcPr>
          <w:p>
            <w:pPr>
              <w:jc w:val="right"/>
              <w:spacing w:after="0"/>
              <w:rPr>
                <w:sz w:val="20"/>
                <w:szCs w:val="20"/>
                <w:color w:val="auto"/>
              </w:rPr>
            </w:pPr>
            <w:r>
              <w:rPr>
                <w:rFonts w:ascii="Arial" w:cs="Arial" w:eastAsia="Arial" w:hAnsi="Arial"/>
                <w:sz w:val="20"/>
                <w:szCs w:val="20"/>
                <w:color w:val="00162F"/>
              </w:rPr>
              <w:t>4,511</w:t>
            </w:r>
          </w:p>
        </w:tc>
        <w:tc>
          <w:tcPr>
            <w:tcW w:w="0" w:type="dxa"/>
            <w:vAlign w:val="bottom"/>
          </w:tcPr>
          <w:p>
            <w:pPr>
              <w:spacing w:after="0"/>
              <w:rPr>
                <w:sz w:val="1"/>
                <w:szCs w:val="1"/>
                <w:color w:val="auto"/>
              </w:rPr>
            </w:pPr>
          </w:p>
        </w:tc>
      </w:tr>
      <w:tr>
        <w:trPr>
          <w:trHeight w:val="301"/>
        </w:trPr>
        <w:tc>
          <w:tcPr>
            <w:tcW w:w="42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Finance lease obligations (See Note 4)</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161</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152</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110</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102</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100</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310</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935</w:t>
            </w:r>
          </w:p>
        </w:tc>
        <w:tc>
          <w:tcPr>
            <w:tcW w:w="0" w:type="dxa"/>
            <w:vAlign w:val="bottom"/>
          </w:tcPr>
          <w:p>
            <w:pPr>
              <w:spacing w:after="0"/>
              <w:rPr>
                <w:sz w:val="1"/>
                <w:szCs w:val="1"/>
                <w:color w:val="auto"/>
              </w:rPr>
            </w:pPr>
          </w:p>
        </w:tc>
      </w:tr>
      <w:tr>
        <w:trPr>
          <w:trHeight w:val="221"/>
        </w:trPr>
        <w:tc>
          <w:tcPr>
            <w:tcW w:w="4280" w:type="dxa"/>
            <w:vAlign w:val="bottom"/>
            <w:gridSpan w:val="2"/>
          </w:tcPr>
          <w:p>
            <w:pPr>
              <w:ind w:left="40"/>
              <w:spacing w:after="0" w:line="221" w:lineRule="exact"/>
              <w:rPr>
                <w:sz w:val="20"/>
                <w:szCs w:val="20"/>
                <w:color w:val="auto"/>
              </w:rPr>
            </w:pPr>
            <w:r>
              <w:rPr>
                <w:rFonts w:ascii="Arial" w:cs="Arial" w:eastAsia="Arial" w:hAnsi="Arial"/>
                <w:sz w:val="20"/>
                <w:szCs w:val="20"/>
                <w:color w:val="00162F"/>
              </w:rPr>
              <w:t xml:space="preserve">Aircraft and engine purchase commitments </w:t>
            </w:r>
            <w:r>
              <w:rPr>
                <w:rFonts w:ascii="Arial" w:cs="Arial" w:eastAsia="Arial" w:hAnsi="Arial"/>
                <w:sz w:val="12"/>
                <w:szCs w:val="12"/>
                <w:color w:val="00162F"/>
              </w:rPr>
              <w:t>(e)</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162F"/>
              </w:rPr>
              <w:t>2,931</w:t>
            </w:r>
          </w:p>
        </w:tc>
        <w:tc>
          <w:tcPr>
            <w:tcW w:w="900" w:type="dxa"/>
            <w:vAlign w:val="bottom"/>
            <w:gridSpan w:val="2"/>
            <w:vMerge w:val="restart"/>
          </w:tcPr>
          <w:p>
            <w:pPr>
              <w:jc w:val="right"/>
              <w:spacing w:after="0"/>
              <w:rPr>
                <w:sz w:val="20"/>
                <w:szCs w:val="20"/>
                <w:color w:val="auto"/>
              </w:rPr>
            </w:pPr>
            <w:r>
              <w:rPr>
                <w:rFonts w:ascii="Arial" w:cs="Arial" w:eastAsia="Arial" w:hAnsi="Arial"/>
                <w:sz w:val="20"/>
                <w:szCs w:val="20"/>
                <w:color w:val="00162F"/>
              </w:rPr>
              <w:t>2,468</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00162F"/>
              </w:rPr>
              <w:t>4,021</w:t>
            </w:r>
          </w:p>
        </w:tc>
        <w:tc>
          <w:tcPr>
            <w:tcW w:w="900" w:type="dxa"/>
            <w:vAlign w:val="bottom"/>
            <w:gridSpan w:val="2"/>
            <w:vMerge w:val="restart"/>
          </w:tcPr>
          <w:p>
            <w:pPr>
              <w:jc w:val="right"/>
              <w:spacing w:after="0"/>
              <w:rPr>
                <w:sz w:val="20"/>
                <w:szCs w:val="20"/>
                <w:color w:val="auto"/>
              </w:rPr>
            </w:pPr>
            <w:r>
              <w:rPr>
                <w:rFonts w:ascii="Arial" w:cs="Arial" w:eastAsia="Arial" w:hAnsi="Arial"/>
                <w:sz w:val="20"/>
                <w:szCs w:val="20"/>
                <w:color w:val="00162F"/>
              </w:rPr>
              <w:t>4,921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00162F"/>
              </w:rPr>
              <w:t>3,151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00162F"/>
              </w:rPr>
              <w:t>6,696</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00162F"/>
              </w:rPr>
              <w:t>24,188</w:t>
            </w:r>
          </w:p>
        </w:tc>
        <w:tc>
          <w:tcPr>
            <w:tcW w:w="0" w:type="dxa"/>
            <w:vAlign w:val="bottom"/>
          </w:tcPr>
          <w:p>
            <w:pPr>
              <w:spacing w:after="0"/>
              <w:rPr>
                <w:sz w:val="1"/>
                <w:szCs w:val="1"/>
                <w:color w:val="auto"/>
              </w:rPr>
            </w:pPr>
          </w:p>
        </w:tc>
      </w:tr>
      <w:tr>
        <w:trPr>
          <w:trHeight w:val="266"/>
        </w:trPr>
        <w:tc>
          <w:tcPr>
            <w:tcW w:w="4280" w:type="dxa"/>
            <w:vAlign w:val="bottom"/>
            <w:gridSpan w:val="2"/>
          </w:tcPr>
          <w:p>
            <w:pPr>
              <w:ind w:left="220"/>
              <w:spacing w:after="0"/>
              <w:rPr>
                <w:sz w:val="20"/>
                <w:szCs w:val="20"/>
                <w:color w:val="auto"/>
              </w:rPr>
            </w:pPr>
            <w:r>
              <w:rPr>
                <w:rFonts w:ascii="Arial" w:cs="Arial" w:eastAsia="Arial" w:hAnsi="Arial"/>
                <w:sz w:val="20"/>
                <w:szCs w:val="20"/>
                <w:color w:val="00162F"/>
              </w:rPr>
              <w:t>(See Note 10(a))</w:t>
            </w:r>
          </w:p>
        </w:tc>
        <w:tc>
          <w:tcPr>
            <w:tcW w:w="820" w:type="dxa"/>
            <w:vAlign w:val="bottom"/>
            <w:vMerge w:val="continue"/>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2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Operating lease commitments (See Note 4)</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1,487</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1,358</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1,238</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1,131</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948</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2,987</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9,149</w:t>
            </w:r>
          </w:p>
        </w:tc>
        <w:tc>
          <w:tcPr>
            <w:tcW w:w="0" w:type="dxa"/>
            <w:vAlign w:val="bottom"/>
          </w:tcPr>
          <w:p>
            <w:pPr>
              <w:spacing w:after="0"/>
              <w:rPr>
                <w:sz w:val="1"/>
                <w:szCs w:val="1"/>
                <w:color w:val="auto"/>
              </w:rPr>
            </w:pPr>
          </w:p>
        </w:tc>
      </w:tr>
      <w:tr>
        <w:trPr>
          <w:trHeight w:val="221"/>
        </w:trPr>
        <w:tc>
          <w:tcPr>
            <w:tcW w:w="4280" w:type="dxa"/>
            <w:vAlign w:val="bottom"/>
            <w:gridSpan w:val="2"/>
          </w:tcPr>
          <w:p>
            <w:pPr>
              <w:ind w:left="40"/>
              <w:spacing w:after="0" w:line="221" w:lineRule="exact"/>
              <w:rPr>
                <w:sz w:val="20"/>
                <w:szCs w:val="20"/>
                <w:color w:val="auto"/>
              </w:rPr>
            </w:pPr>
            <w:r>
              <w:rPr>
                <w:rFonts w:ascii="Arial" w:cs="Arial" w:eastAsia="Arial" w:hAnsi="Arial"/>
                <w:sz w:val="20"/>
                <w:szCs w:val="20"/>
                <w:color w:val="00162F"/>
              </w:rPr>
              <w:t xml:space="preserve">Regional capacity purchase agreements </w:t>
            </w:r>
            <w:r>
              <w:rPr>
                <w:rFonts w:ascii="Arial" w:cs="Arial" w:eastAsia="Arial" w:hAnsi="Arial"/>
                <w:sz w:val="12"/>
                <w:szCs w:val="12"/>
                <w:color w:val="00162F"/>
              </w:rPr>
              <w:t>(f)</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162F"/>
              </w:rPr>
              <w:t>1,159</w:t>
            </w:r>
          </w:p>
        </w:tc>
        <w:tc>
          <w:tcPr>
            <w:tcW w:w="900" w:type="dxa"/>
            <w:vAlign w:val="bottom"/>
            <w:gridSpan w:val="2"/>
            <w:vMerge w:val="restart"/>
          </w:tcPr>
          <w:p>
            <w:pPr>
              <w:jc w:val="right"/>
              <w:spacing w:after="0"/>
              <w:rPr>
                <w:sz w:val="20"/>
                <w:szCs w:val="20"/>
                <w:color w:val="auto"/>
              </w:rPr>
            </w:pPr>
            <w:r>
              <w:rPr>
                <w:rFonts w:ascii="Arial" w:cs="Arial" w:eastAsia="Arial" w:hAnsi="Arial"/>
                <w:sz w:val="20"/>
                <w:szCs w:val="20"/>
                <w:color w:val="00162F"/>
              </w:rPr>
              <w:t>1,156</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00162F"/>
              </w:rPr>
              <w:t>1,082</w:t>
            </w:r>
          </w:p>
        </w:tc>
        <w:tc>
          <w:tcPr>
            <w:tcW w:w="900" w:type="dxa"/>
            <w:vAlign w:val="bottom"/>
            <w:gridSpan w:val="2"/>
            <w:vMerge w:val="restart"/>
          </w:tcPr>
          <w:p>
            <w:pPr>
              <w:jc w:val="right"/>
              <w:spacing w:after="0"/>
              <w:rPr>
                <w:sz w:val="20"/>
                <w:szCs w:val="20"/>
                <w:color w:val="auto"/>
              </w:rPr>
            </w:pPr>
            <w:r>
              <w:rPr>
                <w:rFonts w:ascii="Arial" w:cs="Arial" w:eastAsia="Arial" w:hAnsi="Arial"/>
                <w:sz w:val="20"/>
                <w:szCs w:val="20"/>
                <w:color w:val="00162F"/>
              </w:rPr>
              <w:t>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00162F"/>
              </w:rPr>
              <w:t>457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00162F"/>
              </w:rPr>
              <w:t>399</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00162F"/>
              </w:rPr>
              <w:t>5,153</w:t>
            </w:r>
          </w:p>
        </w:tc>
        <w:tc>
          <w:tcPr>
            <w:tcW w:w="0" w:type="dxa"/>
            <w:vAlign w:val="bottom"/>
          </w:tcPr>
          <w:p>
            <w:pPr>
              <w:spacing w:after="0"/>
              <w:rPr>
                <w:sz w:val="1"/>
                <w:szCs w:val="1"/>
                <w:color w:val="auto"/>
              </w:rPr>
            </w:pPr>
          </w:p>
        </w:tc>
      </w:tr>
      <w:tr>
        <w:trPr>
          <w:trHeight w:val="266"/>
        </w:trPr>
        <w:tc>
          <w:tcPr>
            <w:tcW w:w="4280" w:type="dxa"/>
            <w:vAlign w:val="bottom"/>
            <w:gridSpan w:val="2"/>
          </w:tcPr>
          <w:p>
            <w:pPr>
              <w:ind w:left="220"/>
              <w:spacing w:after="0"/>
              <w:rPr>
                <w:sz w:val="20"/>
                <w:szCs w:val="20"/>
                <w:color w:val="auto"/>
              </w:rPr>
            </w:pPr>
            <w:r>
              <w:rPr>
                <w:rFonts w:ascii="Arial" w:cs="Arial" w:eastAsia="Arial" w:hAnsi="Arial"/>
                <w:sz w:val="20"/>
                <w:szCs w:val="20"/>
                <w:color w:val="00162F"/>
              </w:rPr>
              <w:t>(See Note 10(b))</w:t>
            </w:r>
          </w:p>
        </w:tc>
        <w:tc>
          <w:tcPr>
            <w:tcW w:w="820" w:type="dxa"/>
            <w:vAlign w:val="bottom"/>
            <w:vMerge w:val="continue"/>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2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Minimum pension obligations </w:t>
            </w:r>
            <w:r>
              <w:rPr>
                <w:rFonts w:ascii="Arial" w:cs="Arial" w:eastAsia="Arial" w:hAnsi="Arial"/>
                <w:sz w:val="12"/>
                <w:szCs w:val="12"/>
                <w:color w:val="00162F"/>
              </w:rPr>
              <w:t>(g)</w:t>
            </w:r>
            <w:r>
              <w:rPr>
                <w:rFonts w:ascii="Arial" w:cs="Arial" w:eastAsia="Arial" w:hAnsi="Arial"/>
                <w:sz w:val="20"/>
                <w:szCs w:val="20"/>
                <w:color w:val="00162F"/>
              </w:rPr>
              <w:t xml:space="preserve"> (See Note 8)</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236</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89</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21</w:t>
            </w:r>
          </w:p>
        </w:tc>
        <w:tc>
          <w:tcPr>
            <w:tcW w:w="60" w:type="dxa"/>
            <w:vAlign w:val="bottom"/>
            <w:shd w:val="clear" w:color="auto" w:fill="EDEDED"/>
          </w:tcPr>
          <w:p>
            <w:pPr>
              <w:spacing w:after="0"/>
              <w:rPr>
                <w:sz w:val="24"/>
                <w:szCs w:val="24"/>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346</w:t>
            </w:r>
          </w:p>
        </w:tc>
        <w:tc>
          <w:tcPr>
            <w:tcW w:w="0" w:type="dxa"/>
            <w:vAlign w:val="bottom"/>
          </w:tcPr>
          <w:p>
            <w:pPr>
              <w:spacing w:after="0"/>
              <w:rPr>
                <w:sz w:val="1"/>
                <w:szCs w:val="1"/>
                <w:color w:val="auto"/>
              </w:rPr>
            </w:pPr>
          </w:p>
        </w:tc>
      </w:tr>
      <w:tr>
        <w:trPr>
          <w:trHeight w:val="221"/>
        </w:trPr>
        <w:tc>
          <w:tcPr>
            <w:tcW w:w="4280" w:type="dxa"/>
            <w:vAlign w:val="bottom"/>
            <w:gridSpan w:val="2"/>
          </w:tcPr>
          <w:p>
            <w:pPr>
              <w:ind w:left="40"/>
              <w:spacing w:after="0" w:line="221" w:lineRule="exact"/>
              <w:rPr>
                <w:sz w:val="20"/>
                <w:szCs w:val="20"/>
                <w:color w:val="auto"/>
              </w:rPr>
            </w:pPr>
            <w:r>
              <w:rPr>
                <w:rFonts w:ascii="Arial" w:cs="Arial" w:eastAsia="Arial" w:hAnsi="Arial"/>
                <w:sz w:val="20"/>
                <w:szCs w:val="20"/>
                <w:color w:val="00162F"/>
              </w:rPr>
              <w:t>Retiree medical and other postretirement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162F"/>
              </w:rPr>
              <w:t>111</w:t>
            </w:r>
          </w:p>
        </w:tc>
        <w:tc>
          <w:tcPr>
            <w:tcW w:w="900" w:type="dxa"/>
            <w:vAlign w:val="bottom"/>
            <w:gridSpan w:val="2"/>
            <w:vMerge w:val="restart"/>
          </w:tcPr>
          <w:p>
            <w:pPr>
              <w:jc w:val="right"/>
              <w:spacing w:after="0"/>
              <w:rPr>
                <w:sz w:val="20"/>
                <w:szCs w:val="20"/>
                <w:color w:val="auto"/>
              </w:rPr>
            </w:pPr>
            <w:r>
              <w:rPr>
                <w:rFonts w:ascii="Arial" w:cs="Arial" w:eastAsia="Arial" w:hAnsi="Arial"/>
                <w:sz w:val="20"/>
                <w:szCs w:val="20"/>
                <w:color w:val="00162F"/>
              </w:rPr>
              <w:t>113</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00162F"/>
              </w:rPr>
              <w:t>116</w:t>
            </w:r>
          </w:p>
        </w:tc>
        <w:tc>
          <w:tcPr>
            <w:tcW w:w="900" w:type="dxa"/>
            <w:vAlign w:val="bottom"/>
            <w:gridSpan w:val="2"/>
            <w:vMerge w:val="restart"/>
          </w:tcPr>
          <w:p>
            <w:pPr>
              <w:jc w:val="right"/>
              <w:spacing w:after="0"/>
              <w:rPr>
                <w:sz w:val="20"/>
                <w:szCs w:val="20"/>
                <w:color w:val="auto"/>
              </w:rPr>
            </w:pPr>
            <w:r>
              <w:rPr>
                <w:rFonts w:ascii="Arial" w:cs="Arial" w:eastAsia="Arial" w:hAnsi="Arial"/>
                <w:sz w:val="20"/>
                <w:szCs w:val="20"/>
                <w:color w:val="00162F"/>
              </w:rPr>
              <w:t>115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00162F"/>
              </w:rPr>
              <w:t>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00162F"/>
              </w:rPr>
              <w:t>588</w:t>
            </w:r>
          </w:p>
        </w:tc>
        <w:tc>
          <w:tcPr>
            <w:tcW w:w="920" w:type="dxa"/>
            <w:vAlign w:val="bottom"/>
            <w:gridSpan w:val="2"/>
            <w:vMerge w:val="restart"/>
          </w:tcPr>
          <w:p>
            <w:pPr>
              <w:jc w:val="right"/>
              <w:spacing w:after="0"/>
              <w:rPr>
                <w:sz w:val="20"/>
                <w:szCs w:val="20"/>
                <w:color w:val="auto"/>
              </w:rPr>
            </w:pPr>
            <w:r>
              <w:rPr>
                <w:rFonts w:ascii="Arial" w:cs="Arial" w:eastAsia="Arial" w:hAnsi="Arial"/>
                <w:sz w:val="20"/>
                <w:szCs w:val="20"/>
                <w:color w:val="00162F"/>
              </w:rPr>
              <w:t>1,155</w:t>
            </w:r>
          </w:p>
        </w:tc>
        <w:tc>
          <w:tcPr>
            <w:tcW w:w="0" w:type="dxa"/>
            <w:vAlign w:val="bottom"/>
          </w:tcPr>
          <w:p>
            <w:pPr>
              <w:spacing w:after="0"/>
              <w:rPr>
                <w:sz w:val="1"/>
                <w:szCs w:val="1"/>
                <w:color w:val="auto"/>
              </w:rPr>
            </w:pPr>
          </w:p>
        </w:tc>
      </w:tr>
      <w:tr>
        <w:trPr>
          <w:trHeight w:val="266"/>
        </w:trPr>
        <w:tc>
          <w:tcPr>
            <w:tcW w:w="4280" w:type="dxa"/>
            <w:vAlign w:val="bottom"/>
            <w:gridSpan w:val="2"/>
          </w:tcPr>
          <w:p>
            <w:pPr>
              <w:ind w:left="220"/>
              <w:spacing w:after="0"/>
              <w:rPr>
                <w:sz w:val="20"/>
                <w:szCs w:val="20"/>
                <w:color w:val="auto"/>
              </w:rPr>
            </w:pPr>
            <w:r>
              <w:rPr>
                <w:rFonts w:ascii="Arial" w:cs="Arial" w:eastAsia="Arial" w:hAnsi="Arial"/>
                <w:sz w:val="20"/>
                <w:szCs w:val="20"/>
                <w:color w:val="00162F"/>
              </w:rPr>
              <w:t xml:space="preserve">benefits </w:t>
            </w:r>
            <w:r>
              <w:rPr>
                <w:rFonts w:ascii="Arial" w:cs="Arial" w:eastAsia="Arial" w:hAnsi="Arial"/>
                <w:sz w:val="12"/>
                <w:szCs w:val="12"/>
                <w:color w:val="00162F"/>
              </w:rPr>
              <w:t>(g)</w:t>
            </w:r>
            <w:r>
              <w:rPr>
                <w:rFonts w:ascii="Arial" w:cs="Arial" w:eastAsia="Arial" w:hAnsi="Arial"/>
                <w:sz w:val="20"/>
                <w:szCs w:val="20"/>
                <w:color w:val="00162F"/>
              </w:rPr>
              <w:t xml:space="preserve"> (See Note 8)</w:t>
            </w:r>
          </w:p>
        </w:tc>
        <w:tc>
          <w:tcPr>
            <w:tcW w:w="820" w:type="dxa"/>
            <w:vAlign w:val="bottom"/>
            <w:vMerge w:val="continue"/>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28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Other purchase obligations </w:t>
            </w:r>
            <w:r>
              <w:rPr>
                <w:rFonts w:ascii="Arial" w:cs="Arial" w:eastAsia="Arial" w:hAnsi="Arial"/>
                <w:sz w:val="12"/>
                <w:szCs w:val="12"/>
                <w:color w:val="00162F"/>
              </w:rPr>
              <w:t>(h)</w:t>
            </w:r>
            <w:r>
              <w:rPr>
                <w:rFonts w:ascii="Arial" w:cs="Arial" w:eastAsia="Arial" w:hAnsi="Arial"/>
                <w:sz w:val="20"/>
                <w:szCs w:val="20"/>
                <w:color w:val="00162F"/>
              </w:rPr>
              <w:t xml:space="preserve"> (See Note 10(a))</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4,112</w:t>
            </w:r>
          </w:p>
        </w:tc>
        <w:tc>
          <w:tcPr>
            <w:tcW w:w="8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1,803</w:t>
            </w:r>
          </w:p>
        </w:tc>
        <w:tc>
          <w:tcPr>
            <w:tcW w:w="80" w:type="dxa"/>
            <w:vAlign w:val="bottom"/>
            <w:tcBorders>
              <w:bottom w:val="single" w:sz="8" w:color="EDEDED"/>
            </w:tcBorders>
            <w:shd w:val="clear" w:color="auto" w:fill="EDEDED"/>
          </w:tcPr>
          <w:p>
            <w:pPr>
              <w:spacing w:after="0"/>
              <w:rPr>
                <w:sz w:val="24"/>
                <w:szCs w:val="24"/>
                <w:color w:val="auto"/>
              </w:rPr>
            </w:pPr>
          </w:p>
        </w:tc>
        <w:tc>
          <w:tcPr>
            <w:tcW w:w="8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1,557</w:t>
            </w:r>
          </w:p>
        </w:tc>
        <w:tc>
          <w:tcPr>
            <w:tcW w:w="60" w:type="dxa"/>
            <w:vAlign w:val="bottom"/>
            <w:tcBorders>
              <w:bottom w:val="single" w:sz="8" w:color="EDEDED"/>
            </w:tcBorders>
            <w:shd w:val="clear" w:color="auto" w:fill="EDEDED"/>
          </w:tcPr>
          <w:p>
            <w:pPr>
              <w:spacing w:after="0"/>
              <w:rPr>
                <w:sz w:val="24"/>
                <w:szCs w:val="24"/>
                <w:color w:val="auto"/>
              </w:rPr>
            </w:pPr>
          </w:p>
        </w:tc>
        <w:tc>
          <w:tcPr>
            <w:tcW w:w="8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493</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6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615</w:t>
            </w:r>
          </w:p>
        </w:tc>
        <w:tc>
          <w:tcPr>
            <w:tcW w:w="8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00162F"/>
            </w:tcBorders>
            <w:shd w:val="clear" w:color="auto" w:fill="EDEDED"/>
          </w:tcPr>
          <w:p>
            <w:pPr>
              <w:spacing w:after="0"/>
              <w:rPr>
                <w:sz w:val="24"/>
                <w:szCs w:val="24"/>
                <w:color w:val="auto"/>
              </w:rPr>
            </w:pPr>
          </w:p>
        </w:tc>
        <w:tc>
          <w:tcPr>
            <w:tcW w:w="7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3,724</w:t>
            </w:r>
          </w:p>
        </w:tc>
        <w:tc>
          <w:tcPr>
            <w:tcW w:w="80" w:type="dxa"/>
            <w:vAlign w:val="bottom"/>
            <w:tcBorders>
              <w:bottom w:val="single" w:sz="8" w:color="EDEDED"/>
            </w:tcBorders>
            <w:shd w:val="clear" w:color="auto" w:fill="EDEDED"/>
          </w:tcPr>
          <w:p>
            <w:pPr>
              <w:spacing w:after="0"/>
              <w:rPr>
                <w:sz w:val="24"/>
                <w:szCs w:val="24"/>
                <w:color w:val="auto"/>
              </w:rPr>
            </w:pPr>
          </w:p>
        </w:tc>
        <w:tc>
          <w:tcPr>
            <w:tcW w:w="8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12,304</w:t>
            </w:r>
          </w:p>
        </w:tc>
        <w:tc>
          <w:tcPr>
            <w:tcW w:w="0" w:type="dxa"/>
            <w:vAlign w:val="bottom"/>
          </w:tcPr>
          <w:p>
            <w:pPr>
              <w:spacing w:after="0"/>
              <w:rPr>
                <w:sz w:val="1"/>
                <w:szCs w:val="1"/>
                <w:color w:val="auto"/>
              </w:rPr>
            </w:pPr>
          </w:p>
        </w:tc>
      </w:tr>
      <w:tr>
        <w:trPr>
          <w:trHeight w:val="283"/>
        </w:trPr>
        <w:tc>
          <w:tcPr>
            <w:tcW w:w="4280" w:type="dxa"/>
            <w:vAlign w:val="bottom"/>
            <w:gridSpan w:val="2"/>
          </w:tcPr>
          <w:p>
            <w:pPr>
              <w:ind w:left="400"/>
              <w:spacing w:after="0"/>
              <w:rPr>
                <w:sz w:val="20"/>
                <w:szCs w:val="20"/>
                <w:color w:val="auto"/>
              </w:rPr>
            </w:pPr>
            <w:r>
              <w:rPr>
                <w:rFonts w:ascii="Arial" w:cs="Arial" w:eastAsia="Arial" w:hAnsi="Arial"/>
                <w:sz w:val="20"/>
                <w:szCs w:val="20"/>
                <w:color w:val="00162F"/>
              </w:rPr>
              <w:t>Total American Contractual Obligations</w:t>
            </w:r>
          </w:p>
        </w:tc>
        <w:tc>
          <w:tcPr>
            <w:tcW w:w="820" w:type="dxa"/>
            <w:vAlign w:val="bottom"/>
          </w:tcPr>
          <w:p>
            <w:pPr>
              <w:jc w:val="right"/>
              <w:spacing w:after="0"/>
              <w:rPr>
                <w:sz w:val="20"/>
                <w:szCs w:val="20"/>
                <w:color w:val="auto"/>
              </w:rPr>
            </w:pPr>
            <w:r>
              <w:rPr>
                <w:rFonts w:ascii="Arial" w:cs="Arial" w:eastAsia="Arial" w:hAnsi="Arial"/>
                <w:sz w:val="20"/>
                <w:szCs w:val="20"/>
                <w:color w:val="00162F"/>
              </w:rPr>
              <w:t>15,105</w:t>
            </w:r>
          </w:p>
        </w:tc>
        <w:tc>
          <w:tcPr>
            <w:tcW w:w="900" w:type="dxa"/>
            <w:vAlign w:val="bottom"/>
            <w:gridSpan w:val="2"/>
          </w:tcPr>
          <w:p>
            <w:pPr>
              <w:jc w:val="right"/>
              <w:spacing w:after="0"/>
              <w:rPr>
                <w:sz w:val="20"/>
                <w:szCs w:val="20"/>
                <w:color w:val="auto"/>
              </w:rPr>
            </w:pPr>
            <w:r>
              <w:rPr>
                <w:rFonts w:ascii="Arial" w:cs="Arial" w:eastAsia="Arial" w:hAnsi="Arial"/>
                <w:sz w:val="20"/>
                <w:szCs w:val="20"/>
                <w:color w:val="00162F"/>
              </w:rPr>
              <w:t>12,633</w:t>
            </w:r>
          </w:p>
        </w:tc>
        <w:tc>
          <w:tcPr>
            <w:tcW w:w="920" w:type="dxa"/>
            <w:vAlign w:val="bottom"/>
            <w:gridSpan w:val="2"/>
          </w:tcPr>
          <w:p>
            <w:pPr>
              <w:jc w:val="right"/>
              <w:spacing w:after="0"/>
              <w:rPr>
                <w:sz w:val="20"/>
                <w:szCs w:val="20"/>
                <w:color w:val="auto"/>
              </w:rPr>
            </w:pPr>
            <w:r>
              <w:rPr>
                <w:rFonts w:ascii="Arial" w:cs="Arial" w:eastAsia="Arial" w:hAnsi="Arial"/>
                <w:sz w:val="20"/>
                <w:szCs w:val="20"/>
                <w:color w:val="00162F"/>
              </w:rPr>
              <w:t>16,208</w:t>
            </w:r>
          </w:p>
        </w:tc>
        <w:tc>
          <w:tcPr>
            <w:tcW w:w="900" w:type="dxa"/>
            <w:vAlign w:val="bottom"/>
            <w:gridSpan w:val="2"/>
          </w:tcPr>
          <w:p>
            <w:pPr>
              <w:jc w:val="right"/>
              <w:spacing w:after="0"/>
              <w:rPr>
                <w:sz w:val="20"/>
                <w:szCs w:val="20"/>
                <w:color w:val="auto"/>
              </w:rPr>
            </w:pPr>
            <w:r>
              <w:rPr>
                <w:rFonts w:ascii="Arial" w:cs="Arial" w:eastAsia="Arial" w:hAnsi="Arial"/>
                <w:sz w:val="20"/>
                <w:szCs w:val="20"/>
                <w:color w:val="00162F"/>
              </w:rPr>
              <w:t>12,127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00162F"/>
              </w:rPr>
              <w:t>6,389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0162F"/>
              </w:rPr>
              <w:t>20,127</w:t>
            </w:r>
          </w:p>
        </w:tc>
        <w:tc>
          <w:tcPr>
            <w:tcW w:w="920" w:type="dxa"/>
            <w:vAlign w:val="bottom"/>
            <w:gridSpan w:val="2"/>
          </w:tcPr>
          <w:p>
            <w:pPr>
              <w:jc w:val="right"/>
              <w:spacing w:after="0"/>
              <w:rPr>
                <w:sz w:val="20"/>
                <w:szCs w:val="20"/>
                <w:color w:val="auto"/>
              </w:rPr>
            </w:pPr>
            <w:r>
              <w:rPr>
                <w:rFonts w:ascii="Arial" w:cs="Arial" w:eastAsia="Arial" w:hAnsi="Arial"/>
                <w:sz w:val="20"/>
                <w:szCs w:val="20"/>
                <w:color w:val="00162F"/>
              </w:rPr>
              <w:t>82,589</w:t>
            </w:r>
          </w:p>
        </w:tc>
        <w:tc>
          <w:tcPr>
            <w:tcW w:w="0" w:type="dxa"/>
            <w:vAlign w:val="bottom"/>
          </w:tcPr>
          <w:p>
            <w:pPr>
              <w:spacing w:after="0"/>
              <w:rPr>
                <w:sz w:val="1"/>
                <w:szCs w:val="1"/>
                <w:color w:val="auto"/>
              </w:rPr>
            </w:pPr>
          </w:p>
        </w:tc>
      </w:tr>
      <w:tr>
        <w:trPr>
          <w:trHeight w:val="301"/>
        </w:trPr>
        <w:tc>
          <w:tcPr>
            <w:tcW w:w="1960" w:type="dxa"/>
            <w:vAlign w:val="bottom"/>
            <w:shd w:val="clear" w:color="auto" w:fill="EDEDED"/>
          </w:tcPr>
          <w:p>
            <w:pPr>
              <w:spacing w:after="0"/>
              <w:rPr>
                <w:sz w:val="24"/>
                <w:szCs w:val="24"/>
                <w:color w:val="auto"/>
              </w:rPr>
            </w:pPr>
          </w:p>
        </w:tc>
        <w:tc>
          <w:tcPr>
            <w:tcW w:w="232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8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6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280" w:type="dxa"/>
            <w:vAlign w:val="bottom"/>
            <w:gridSpan w:val="2"/>
          </w:tcPr>
          <w:p>
            <w:pPr>
              <w:ind w:left="40"/>
              <w:spacing w:after="0"/>
              <w:rPr>
                <w:sz w:val="20"/>
                <w:szCs w:val="20"/>
                <w:color w:val="auto"/>
              </w:rPr>
            </w:pPr>
            <w:r>
              <w:rPr>
                <w:rFonts w:ascii="Arial" w:cs="Arial" w:eastAsia="Arial" w:hAnsi="Arial"/>
                <w:sz w:val="20"/>
                <w:szCs w:val="20"/>
                <w:i w:val="1"/>
                <w:iCs w:val="1"/>
                <w:color w:val="00162F"/>
              </w:rPr>
              <w:t xml:space="preserve">AAG Parent and Other AAG Subsidiaries </w:t>
            </w:r>
            <w:r>
              <w:rPr>
                <w:rFonts w:ascii="Arial" w:cs="Arial" w:eastAsia="Arial" w:hAnsi="Arial"/>
                <w:sz w:val="12"/>
                <w:szCs w:val="12"/>
                <w:i w:val="1"/>
                <w:iCs w:val="1"/>
                <w:color w:val="00162F"/>
              </w:rPr>
              <w:t>(a)</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Long-term debt:</w:t>
            </w:r>
          </w:p>
        </w:tc>
        <w:tc>
          <w:tcPr>
            <w:tcW w:w="8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8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6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280" w:type="dxa"/>
            <w:vAlign w:val="bottom"/>
            <w:gridSpan w:val="2"/>
          </w:tcPr>
          <w:p>
            <w:pPr>
              <w:ind w:left="180"/>
              <w:spacing w:after="0"/>
              <w:rPr>
                <w:sz w:val="20"/>
                <w:szCs w:val="20"/>
                <w:color w:val="auto"/>
              </w:rPr>
            </w:pPr>
            <w:r>
              <w:rPr>
                <w:rFonts w:ascii="Arial" w:cs="Arial" w:eastAsia="Arial" w:hAnsi="Arial"/>
                <w:sz w:val="20"/>
                <w:szCs w:val="20"/>
                <w:color w:val="00162F"/>
              </w:rPr>
              <w:t xml:space="preserve">Principal amount </w:t>
            </w:r>
            <w:r>
              <w:rPr>
                <w:rFonts w:ascii="Arial" w:cs="Arial" w:eastAsia="Arial" w:hAnsi="Arial"/>
                <w:sz w:val="12"/>
                <w:szCs w:val="12"/>
                <w:color w:val="00162F"/>
              </w:rPr>
              <w:t>(b)</w:t>
            </w:r>
            <w:r>
              <w:rPr>
                <w:rFonts w:ascii="Arial" w:cs="Arial" w:eastAsia="Arial" w:hAnsi="Arial"/>
                <w:sz w:val="20"/>
                <w:szCs w:val="20"/>
                <w:color w:val="00162F"/>
              </w:rPr>
              <w:t xml:space="preserve"> (See Note 4)</w:t>
            </w:r>
          </w:p>
        </w:tc>
        <w:tc>
          <w:tcPr>
            <w:tcW w:w="82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00162F"/>
              </w:rPr>
              <w:t>1,757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0162F"/>
              </w:rPr>
              <w:t>1,989</w:t>
            </w:r>
          </w:p>
        </w:tc>
        <w:tc>
          <w:tcPr>
            <w:tcW w:w="920" w:type="dxa"/>
            <w:vAlign w:val="bottom"/>
            <w:gridSpan w:val="2"/>
          </w:tcPr>
          <w:p>
            <w:pPr>
              <w:jc w:val="right"/>
              <w:spacing w:after="0"/>
              <w:rPr>
                <w:sz w:val="20"/>
                <w:szCs w:val="20"/>
                <w:color w:val="auto"/>
              </w:rPr>
            </w:pPr>
            <w:r>
              <w:rPr>
                <w:rFonts w:ascii="Arial" w:cs="Arial" w:eastAsia="Arial" w:hAnsi="Arial"/>
                <w:sz w:val="20"/>
                <w:szCs w:val="20"/>
                <w:color w:val="00162F"/>
              </w:rPr>
              <w:t>3,746</w:t>
            </w:r>
          </w:p>
        </w:tc>
        <w:tc>
          <w:tcPr>
            <w:tcW w:w="0" w:type="dxa"/>
            <w:vAlign w:val="bottom"/>
          </w:tcPr>
          <w:p>
            <w:pPr>
              <w:spacing w:after="0"/>
              <w:rPr>
                <w:sz w:val="1"/>
                <w:szCs w:val="1"/>
                <w:color w:val="auto"/>
              </w:rPr>
            </w:pPr>
          </w:p>
        </w:tc>
      </w:tr>
      <w:tr>
        <w:trPr>
          <w:trHeight w:val="301"/>
        </w:trPr>
        <w:tc>
          <w:tcPr>
            <w:tcW w:w="4280" w:type="dxa"/>
            <w:vAlign w:val="bottom"/>
            <w:gridSpan w:val="2"/>
            <w:shd w:val="clear" w:color="auto" w:fill="EDEDED"/>
          </w:tcPr>
          <w:p>
            <w:pPr>
              <w:ind w:left="180"/>
              <w:spacing w:after="0"/>
              <w:rPr>
                <w:sz w:val="20"/>
                <w:szCs w:val="20"/>
                <w:color w:val="auto"/>
              </w:rPr>
            </w:pPr>
            <w:r>
              <w:rPr>
                <w:rFonts w:ascii="Arial" w:cs="Arial" w:eastAsia="Arial" w:hAnsi="Arial"/>
                <w:sz w:val="20"/>
                <w:szCs w:val="20"/>
                <w:color w:val="00162F"/>
              </w:rPr>
              <w:t xml:space="preserve">Interest obligations </w:t>
            </w:r>
            <w:r>
              <w:rPr>
                <w:rFonts w:ascii="Arial" w:cs="Arial" w:eastAsia="Arial" w:hAnsi="Arial"/>
                <w:sz w:val="12"/>
                <w:szCs w:val="12"/>
                <w:color w:val="00162F"/>
              </w:rPr>
              <w:t>(c)</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172</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197</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201</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208</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171</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998</w:t>
            </w:r>
          </w:p>
        </w:tc>
        <w:tc>
          <w:tcPr>
            <w:tcW w:w="0" w:type="dxa"/>
            <w:vAlign w:val="bottom"/>
          </w:tcPr>
          <w:p>
            <w:pPr>
              <w:spacing w:after="0"/>
              <w:rPr>
                <w:sz w:val="1"/>
                <w:szCs w:val="1"/>
                <w:color w:val="auto"/>
              </w:rPr>
            </w:pPr>
          </w:p>
        </w:tc>
      </w:tr>
      <w:tr>
        <w:trPr>
          <w:trHeight w:val="293"/>
        </w:trPr>
        <w:tc>
          <w:tcPr>
            <w:tcW w:w="4280" w:type="dxa"/>
            <w:vAlign w:val="bottom"/>
            <w:gridSpan w:val="2"/>
          </w:tcPr>
          <w:p>
            <w:pPr>
              <w:ind w:left="40"/>
              <w:spacing w:after="0"/>
              <w:rPr>
                <w:sz w:val="20"/>
                <w:szCs w:val="20"/>
                <w:color w:val="auto"/>
              </w:rPr>
            </w:pPr>
            <w:r>
              <w:rPr>
                <w:rFonts w:ascii="Arial" w:cs="Arial" w:eastAsia="Arial" w:hAnsi="Arial"/>
                <w:sz w:val="20"/>
                <w:szCs w:val="20"/>
                <w:color w:val="00162F"/>
              </w:rPr>
              <w:t>Finance lease obligations (See Note 5)</w:t>
            </w:r>
          </w:p>
        </w:tc>
        <w:tc>
          <w:tcPr>
            <w:tcW w:w="820" w:type="dxa"/>
            <w:vAlign w:val="bottom"/>
          </w:tcPr>
          <w:p>
            <w:pPr>
              <w:jc w:val="right"/>
              <w:spacing w:after="0"/>
              <w:rPr>
                <w:sz w:val="20"/>
                <w:szCs w:val="20"/>
                <w:color w:val="auto"/>
              </w:rPr>
            </w:pPr>
            <w:r>
              <w:rPr>
                <w:rFonts w:ascii="Arial" w:cs="Arial" w:eastAsia="Arial" w:hAnsi="Arial"/>
                <w:sz w:val="20"/>
                <w:szCs w:val="20"/>
                <w:color w:val="00162F"/>
              </w:rPr>
              <w:t>3</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0162F"/>
              </w:rPr>
              <w:t>—</w:t>
            </w:r>
          </w:p>
        </w:tc>
        <w:tc>
          <w:tcPr>
            <w:tcW w:w="920" w:type="dxa"/>
            <w:vAlign w:val="bottom"/>
            <w:gridSpan w:val="2"/>
          </w:tcPr>
          <w:p>
            <w:pPr>
              <w:jc w:val="right"/>
              <w:spacing w:after="0"/>
              <w:rPr>
                <w:sz w:val="20"/>
                <w:szCs w:val="20"/>
                <w:color w:val="auto"/>
              </w:rPr>
            </w:pPr>
            <w:r>
              <w:rPr>
                <w:rFonts w:ascii="Arial" w:cs="Arial" w:eastAsia="Arial" w:hAnsi="Arial"/>
                <w:sz w:val="20"/>
                <w:szCs w:val="20"/>
                <w:color w:val="00162F"/>
              </w:rPr>
              <w:t>3</w:t>
            </w:r>
          </w:p>
        </w:tc>
        <w:tc>
          <w:tcPr>
            <w:tcW w:w="0" w:type="dxa"/>
            <w:vAlign w:val="bottom"/>
          </w:tcPr>
          <w:p>
            <w:pPr>
              <w:spacing w:after="0"/>
              <w:rPr>
                <w:sz w:val="1"/>
                <w:szCs w:val="1"/>
                <w:color w:val="auto"/>
              </w:rPr>
            </w:pPr>
          </w:p>
        </w:tc>
      </w:tr>
      <w:tr>
        <w:trPr>
          <w:trHeight w:val="301"/>
        </w:trPr>
        <w:tc>
          <w:tcPr>
            <w:tcW w:w="42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Operating lease commitments (See Note 5)</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9</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8</w:t>
            </w:r>
          </w:p>
        </w:tc>
        <w:tc>
          <w:tcPr>
            <w:tcW w:w="90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7</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35</w:t>
            </w:r>
          </w:p>
        </w:tc>
        <w:tc>
          <w:tcPr>
            <w:tcW w:w="9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79</w:t>
            </w:r>
          </w:p>
        </w:tc>
        <w:tc>
          <w:tcPr>
            <w:tcW w:w="0" w:type="dxa"/>
            <w:vAlign w:val="bottom"/>
          </w:tcPr>
          <w:p>
            <w:pPr>
              <w:spacing w:after="0"/>
              <w:rPr>
                <w:sz w:val="1"/>
                <w:szCs w:val="1"/>
                <w:color w:val="auto"/>
              </w:rPr>
            </w:pPr>
          </w:p>
        </w:tc>
      </w:tr>
      <w:tr>
        <w:trPr>
          <w:trHeight w:val="293"/>
        </w:trPr>
        <w:tc>
          <w:tcPr>
            <w:tcW w:w="4280" w:type="dxa"/>
            <w:vAlign w:val="bottom"/>
            <w:gridSpan w:val="2"/>
          </w:tcPr>
          <w:p>
            <w:pPr>
              <w:ind w:left="40"/>
              <w:spacing w:after="0"/>
              <w:rPr>
                <w:sz w:val="20"/>
                <w:szCs w:val="20"/>
                <w:color w:val="auto"/>
              </w:rPr>
            </w:pPr>
            <w:r>
              <w:rPr>
                <w:rFonts w:ascii="Arial" w:cs="Arial" w:eastAsia="Arial" w:hAnsi="Arial"/>
                <w:sz w:val="20"/>
                <w:szCs w:val="20"/>
                <w:color w:val="00162F"/>
              </w:rPr>
              <w:t xml:space="preserve">Minimum pension obligations </w:t>
            </w:r>
            <w:r>
              <w:rPr>
                <w:rFonts w:ascii="Arial" w:cs="Arial" w:eastAsia="Arial" w:hAnsi="Arial"/>
                <w:sz w:val="12"/>
                <w:szCs w:val="12"/>
                <w:color w:val="00162F"/>
              </w:rPr>
              <w:t>(g)</w:t>
            </w:r>
            <w:r>
              <w:rPr>
                <w:rFonts w:ascii="Arial" w:cs="Arial" w:eastAsia="Arial" w:hAnsi="Arial"/>
                <w:sz w:val="20"/>
                <w:szCs w:val="20"/>
                <w:color w:val="00162F"/>
              </w:rPr>
              <w:t xml:space="preserve"> (See Note 9)</w:t>
            </w:r>
          </w:p>
        </w:tc>
        <w:tc>
          <w:tcPr>
            <w:tcW w:w="820" w:type="dxa"/>
            <w:vAlign w:val="bottom"/>
          </w:tcPr>
          <w:p>
            <w:pPr>
              <w:jc w:val="right"/>
              <w:spacing w:after="0"/>
              <w:rPr>
                <w:sz w:val="20"/>
                <w:szCs w:val="20"/>
                <w:color w:val="auto"/>
              </w:rPr>
            </w:pPr>
            <w:r>
              <w:rPr>
                <w:rFonts w:ascii="Arial" w:cs="Arial" w:eastAsia="Arial" w:hAnsi="Arial"/>
                <w:sz w:val="20"/>
                <w:szCs w:val="20"/>
                <w:color w:val="00162F"/>
              </w:rPr>
              <w:t>2</w:t>
            </w:r>
          </w:p>
        </w:tc>
        <w:tc>
          <w:tcPr>
            <w:tcW w:w="900" w:type="dxa"/>
            <w:vAlign w:val="bottom"/>
            <w:gridSpan w:val="2"/>
          </w:tcPr>
          <w:p>
            <w:pPr>
              <w:jc w:val="right"/>
              <w:spacing w:after="0"/>
              <w:rPr>
                <w:sz w:val="20"/>
                <w:szCs w:val="20"/>
                <w:color w:val="auto"/>
              </w:rPr>
            </w:pPr>
            <w:r>
              <w:rPr>
                <w:rFonts w:ascii="Arial" w:cs="Arial" w:eastAsia="Arial" w:hAnsi="Arial"/>
                <w:sz w:val="20"/>
                <w:szCs w:val="20"/>
                <w:color w:val="00162F"/>
              </w:rPr>
              <w:t>1</w:t>
            </w:r>
          </w:p>
        </w:tc>
        <w:tc>
          <w:tcPr>
            <w:tcW w:w="920" w:type="dxa"/>
            <w:vAlign w:val="bottom"/>
            <w:gridSpan w:val="2"/>
          </w:tcPr>
          <w:p>
            <w:pPr>
              <w:jc w:val="right"/>
              <w:spacing w:after="0"/>
              <w:rPr>
                <w:sz w:val="20"/>
                <w:szCs w:val="20"/>
                <w:color w:val="auto"/>
              </w:rPr>
            </w:pPr>
            <w:r>
              <w:rPr>
                <w:rFonts w:ascii="Arial" w:cs="Arial" w:eastAsia="Arial" w:hAnsi="Arial"/>
                <w:sz w:val="20"/>
                <w:szCs w:val="20"/>
                <w:color w:val="00162F"/>
              </w:rPr>
              <w:t>1</w:t>
            </w:r>
          </w:p>
        </w:tc>
        <w:tc>
          <w:tcPr>
            <w:tcW w:w="900" w:type="dxa"/>
            <w:vAlign w:val="bottom"/>
            <w:gridSpan w:val="2"/>
          </w:tcPr>
          <w:p>
            <w:pPr>
              <w:jc w:val="right"/>
              <w:spacing w:after="0"/>
              <w:rPr>
                <w:sz w:val="20"/>
                <w:szCs w:val="20"/>
                <w:color w:val="auto"/>
              </w:rPr>
            </w:pPr>
            <w:r>
              <w:rPr>
                <w:rFonts w:ascii="Arial" w:cs="Arial" w:eastAsia="Arial" w:hAnsi="Arial"/>
                <w:sz w:val="20"/>
                <w:szCs w:val="20"/>
                <w:color w:val="00162F"/>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00162F"/>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0162F"/>
              </w:rPr>
              <w:t>1</w:t>
            </w:r>
          </w:p>
        </w:tc>
        <w:tc>
          <w:tcPr>
            <w:tcW w:w="920" w:type="dxa"/>
            <w:vAlign w:val="bottom"/>
            <w:gridSpan w:val="2"/>
          </w:tcPr>
          <w:p>
            <w:pPr>
              <w:jc w:val="right"/>
              <w:spacing w:after="0"/>
              <w:rPr>
                <w:sz w:val="20"/>
                <w:szCs w:val="20"/>
                <w:color w:val="auto"/>
              </w:rPr>
            </w:pPr>
            <w:r>
              <w:rPr>
                <w:rFonts w:ascii="Arial" w:cs="Arial" w:eastAsia="Arial" w:hAnsi="Arial"/>
                <w:sz w:val="20"/>
                <w:szCs w:val="20"/>
                <w:color w:val="00162F"/>
              </w:rPr>
              <w:t>7</w:t>
            </w:r>
          </w:p>
        </w:tc>
        <w:tc>
          <w:tcPr>
            <w:tcW w:w="0" w:type="dxa"/>
            <w:vAlign w:val="bottom"/>
          </w:tcPr>
          <w:p>
            <w:pPr>
              <w:spacing w:after="0"/>
              <w:rPr>
                <w:sz w:val="1"/>
                <w:szCs w:val="1"/>
                <w:color w:val="auto"/>
              </w:rPr>
            </w:pPr>
          </w:p>
        </w:tc>
      </w:tr>
      <w:tr>
        <w:trPr>
          <w:trHeight w:val="291"/>
        </w:trPr>
        <w:tc>
          <w:tcPr>
            <w:tcW w:w="428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Other purchase obligations (See Note 11(a))</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14</w:t>
            </w:r>
          </w:p>
        </w:tc>
        <w:tc>
          <w:tcPr>
            <w:tcW w:w="8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12</w:t>
            </w:r>
          </w:p>
        </w:tc>
        <w:tc>
          <w:tcPr>
            <w:tcW w:w="80" w:type="dxa"/>
            <w:vAlign w:val="bottom"/>
            <w:tcBorders>
              <w:bottom w:val="single" w:sz="8" w:color="EDEDED"/>
            </w:tcBorders>
            <w:shd w:val="clear" w:color="auto" w:fill="EDEDED"/>
          </w:tcPr>
          <w:p>
            <w:pPr>
              <w:spacing w:after="0"/>
              <w:rPr>
                <w:sz w:val="24"/>
                <w:szCs w:val="24"/>
                <w:color w:val="auto"/>
              </w:rPr>
            </w:pPr>
          </w:p>
        </w:tc>
        <w:tc>
          <w:tcPr>
            <w:tcW w:w="8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w:t>
            </w:r>
          </w:p>
        </w:tc>
        <w:tc>
          <w:tcPr>
            <w:tcW w:w="60" w:type="dxa"/>
            <w:vAlign w:val="bottom"/>
            <w:tcBorders>
              <w:bottom w:val="single" w:sz="8" w:color="EDEDED"/>
            </w:tcBorders>
            <w:shd w:val="clear" w:color="auto" w:fill="EDEDED"/>
          </w:tcPr>
          <w:p>
            <w:pPr>
              <w:spacing w:after="0"/>
              <w:rPr>
                <w:sz w:val="24"/>
                <w:szCs w:val="24"/>
                <w:color w:val="auto"/>
              </w:rPr>
            </w:pPr>
          </w:p>
        </w:tc>
        <w:tc>
          <w:tcPr>
            <w:tcW w:w="8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6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00162F"/>
            </w:tcBorders>
            <w:shd w:val="clear" w:color="auto" w:fill="EDEDED"/>
          </w:tcPr>
          <w:p>
            <w:pPr>
              <w:spacing w:after="0"/>
              <w:rPr>
                <w:sz w:val="24"/>
                <w:szCs w:val="24"/>
                <w:color w:val="auto"/>
              </w:rPr>
            </w:pPr>
          </w:p>
        </w:tc>
        <w:tc>
          <w:tcPr>
            <w:tcW w:w="7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8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w:t>
            </w:r>
          </w:p>
        </w:tc>
        <w:tc>
          <w:tcPr>
            <w:tcW w:w="0" w:type="dxa"/>
            <w:vAlign w:val="bottom"/>
          </w:tcPr>
          <w:p>
            <w:pPr>
              <w:spacing w:after="0"/>
              <w:rPr>
                <w:sz w:val="1"/>
                <w:szCs w:val="1"/>
                <w:color w:val="auto"/>
              </w:rPr>
            </w:pPr>
          </w:p>
        </w:tc>
      </w:tr>
      <w:tr>
        <w:trPr>
          <w:trHeight w:val="257"/>
        </w:trPr>
        <w:tc>
          <w:tcPr>
            <w:tcW w:w="4280" w:type="dxa"/>
            <w:vAlign w:val="bottom"/>
            <w:gridSpan w:val="2"/>
          </w:tcPr>
          <w:p>
            <w:pPr>
              <w:ind w:left="400"/>
              <w:spacing w:after="0"/>
              <w:rPr>
                <w:sz w:val="20"/>
                <w:szCs w:val="20"/>
                <w:color w:val="auto"/>
              </w:rPr>
            </w:pPr>
            <w:r>
              <w:rPr>
                <w:rFonts w:ascii="Arial" w:cs="Arial" w:eastAsia="Arial" w:hAnsi="Arial"/>
                <w:sz w:val="20"/>
                <w:szCs w:val="20"/>
                <w:color w:val="00162F"/>
              </w:rPr>
              <w:t>Total AAG Contractual Obligations</w:t>
            </w:r>
          </w:p>
        </w:tc>
        <w:tc>
          <w:tcPr>
            <w:tcW w:w="820" w:type="dxa"/>
            <w:vAlign w:val="bottom"/>
          </w:tcPr>
          <w:p>
            <w:pPr>
              <w:jc w:val="right"/>
              <w:spacing w:after="0"/>
              <w:rPr>
                <w:sz w:val="20"/>
                <w:szCs w:val="20"/>
                <w:color w:val="auto"/>
              </w:rPr>
            </w:pPr>
            <w:r>
              <w:rPr>
                <w:rFonts w:ascii="Arial" w:cs="Arial" w:eastAsia="Arial" w:hAnsi="Arial"/>
                <w:sz w:val="20"/>
                <w:szCs w:val="20"/>
                <w:u w:val="single" w:color="auto"/>
                <w:color w:val="00162F"/>
              </w:rPr>
              <w:t>$</w:t>
            </w:r>
            <w:r>
              <w:rPr>
                <w:rFonts w:ascii="Arial" w:cs="Arial" w:eastAsia="Arial" w:hAnsi="Arial"/>
                <w:sz w:val="20"/>
                <w:szCs w:val="20"/>
                <w:color w:val="00162F"/>
              </w:rPr>
              <w:t>15,310</w:t>
            </w:r>
          </w:p>
        </w:tc>
        <w:tc>
          <w:tcPr>
            <w:tcW w:w="900" w:type="dxa"/>
            <w:vAlign w:val="bottom"/>
            <w:gridSpan w:val="2"/>
          </w:tcPr>
          <w:p>
            <w:pPr>
              <w:jc w:val="right"/>
              <w:spacing w:after="0"/>
              <w:rPr>
                <w:sz w:val="20"/>
                <w:szCs w:val="20"/>
                <w:color w:val="auto"/>
              </w:rPr>
            </w:pPr>
            <w:r>
              <w:rPr>
                <w:rFonts w:ascii="Arial" w:cs="Arial" w:eastAsia="Arial" w:hAnsi="Arial"/>
                <w:sz w:val="20"/>
                <w:szCs w:val="20"/>
                <w:u w:val="single" w:color="auto"/>
                <w:color w:val="00162F"/>
              </w:rPr>
              <w:t>$</w:t>
            </w:r>
            <w:r>
              <w:rPr>
                <w:rFonts w:ascii="Arial" w:cs="Arial" w:eastAsia="Arial" w:hAnsi="Arial"/>
                <w:sz w:val="20"/>
                <w:szCs w:val="20"/>
                <w:color w:val="00162F"/>
              </w:rPr>
              <w:t>12,852</w:t>
            </w:r>
          </w:p>
        </w:tc>
        <w:tc>
          <w:tcPr>
            <w:tcW w:w="920" w:type="dxa"/>
            <w:vAlign w:val="bottom"/>
            <w:gridSpan w:val="2"/>
          </w:tcPr>
          <w:p>
            <w:pPr>
              <w:jc w:val="right"/>
              <w:spacing w:after="0"/>
              <w:rPr>
                <w:sz w:val="20"/>
                <w:szCs w:val="20"/>
                <w:color w:val="auto"/>
              </w:rPr>
            </w:pPr>
            <w:r>
              <w:rPr>
                <w:rFonts w:ascii="Arial" w:cs="Arial" w:eastAsia="Arial" w:hAnsi="Arial"/>
                <w:sz w:val="20"/>
                <w:szCs w:val="20"/>
                <w:u w:val="single" w:color="auto"/>
                <w:color w:val="00162F"/>
              </w:rPr>
              <w:t>$</w:t>
            </w:r>
            <w:r>
              <w:rPr>
                <w:rFonts w:ascii="Arial" w:cs="Arial" w:eastAsia="Arial" w:hAnsi="Arial"/>
                <w:sz w:val="20"/>
                <w:szCs w:val="20"/>
                <w:color w:val="00162F"/>
              </w:rPr>
              <w:t>16,423</w:t>
            </w:r>
          </w:p>
        </w:tc>
        <w:tc>
          <w:tcPr>
            <w:tcW w:w="900" w:type="dxa"/>
            <w:vAlign w:val="bottom"/>
            <w:gridSpan w:val="2"/>
          </w:tcPr>
          <w:p>
            <w:pPr>
              <w:jc w:val="right"/>
              <w:spacing w:after="0"/>
              <w:rPr>
                <w:sz w:val="20"/>
                <w:szCs w:val="20"/>
                <w:color w:val="auto"/>
              </w:rPr>
            </w:pPr>
            <w:r>
              <w:rPr>
                <w:rFonts w:ascii="Arial" w:cs="Arial" w:eastAsia="Arial" w:hAnsi="Arial"/>
                <w:sz w:val="20"/>
                <w:szCs w:val="20"/>
                <w:u w:val="single" w:color="auto"/>
                <w:color w:val="00162F"/>
              </w:rPr>
              <w:t>$</w:t>
            </w:r>
            <w:r>
              <w:rPr>
                <w:rFonts w:ascii="Arial" w:cs="Arial" w:eastAsia="Arial" w:hAnsi="Arial"/>
                <w:sz w:val="20"/>
                <w:szCs w:val="20"/>
                <w:color w:val="00162F"/>
              </w:rPr>
              <w:t>12,345</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00162F"/>
              </w:rPr>
              <w:t>$</w:t>
            </w:r>
          </w:p>
        </w:tc>
        <w:tc>
          <w:tcPr>
            <w:tcW w:w="620" w:type="dxa"/>
            <w:vAlign w:val="bottom"/>
          </w:tcPr>
          <w:p>
            <w:pPr>
              <w:jc w:val="right"/>
              <w:spacing w:after="0"/>
              <w:rPr>
                <w:sz w:val="20"/>
                <w:szCs w:val="20"/>
                <w:color w:val="auto"/>
              </w:rPr>
            </w:pPr>
            <w:r>
              <w:rPr>
                <w:rFonts w:ascii="Arial" w:cs="Arial" w:eastAsia="Arial" w:hAnsi="Arial"/>
                <w:sz w:val="20"/>
                <w:szCs w:val="20"/>
                <w:color w:val="00162F"/>
              </w:rPr>
              <w:t>8,324</w:t>
            </w:r>
          </w:p>
        </w:tc>
        <w:tc>
          <w:tcPr>
            <w:tcW w:w="30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720" w:type="dxa"/>
            <w:vAlign w:val="bottom"/>
          </w:tcPr>
          <w:p>
            <w:pPr>
              <w:jc w:val="right"/>
              <w:spacing w:after="0"/>
              <w:rPr>
                <w:sz w:val="20"/>
                <w:szCs w:val="20"/>
                <w:color w:val="auto"/>
              </w:rPr>
            </w:pPr>
            <w:r>
              <w:rPr>
                <w:rFonts w:ascii="Arial" w:cs="Arial" w:eastAsia="Arial" w:hAnsi="Arial"/>
                <w:sz w:val="20"/>
                <w:szCs w:val="20"/>
                <w:color w:val="00162F"/>
              </w:rPr>
              <w:t>22,201</w:t>
            </w:r>
          </w:p>
        </w:tc>
        <w:tc>
          <w:tcPr>
            <w:tcW w:w="920" w:type="dxa"/>
            <w:vAlign w:val="bottom"/>
            <w:gridSpan w:val="2"/>
          </w:tcPr>
          <w:p>
            <w:pPr>
              <w:jc w:val="right"/>
              <w:spacing w:after="0"/>
              <w:rPr>
                <w:sz w:val="20"/>
                <w:szCs w:val="20"/>
                <w:color w:val="auto"/>
              </w:rPr>
            </w:pPr>
            <w:r>
              <w:rPr>
                <w:rFonts w:ascii="Arial" w:cs="Arial" w:eastAsia="Arial" w:hAnsi="Arial"/>
                <w:sz w:val="20"/>
                <w:szCs w:val="20"/>
                <w:u w:val="single" w:color="auto"/>
                <w:color w:val="00162F"/>
              </w:rPr>
              <w:t>$</w:t>
            </w:r>
            <w:r>
              <w:rPr>
                <w:rFonts w:ascii="Arial" w:cs="Arial" w:eastAsia="Arial" w:hAnsi="Arial"/>
                <w:sz w:val="20"/>
                <w:szCs w:val="20"/>
                <w:color w:val="00162F"/>
              </w:rPr>
              <w:t>87,455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162F"/>
              <w:bottom w:val="single" w:sz="8" w:color="00162F"/>
            </w:tcBorders>
          </w:tcPr>
          <w:p>
            <w:pPr>
              <w:spacing w:after="0" w:line="20" w:lineRule="exact"/>
              <w:rPr>
                <w:sz w:val="1"/>
                <w:szCs w:val="1"/>
                <w:color w:val="auto"/>
              </w:rPr>
            </w:pPr>
          </w:p>
        </w:tc>
        <w:tc>
          <w:tcPr>
            <w:tcW w:w="62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162F"/>
              <w:bottom w:val="single" w:sz="8" w:color="00162F"/>
            </w:tcBorders>
          </w:tcPr>
          <w:p>
            <w:pPr>
              <w:spacing w:after="0" w:line="20" w:lineRule="exact"/>
              <w:rPr>
                <w:sz w:val="1"/>
                <w:szCs w:val="1"/>
                <w:color w:val="auto"/>
              </w:rPr>
            </w:pPr>
          </w:p>
        </w:tc>
        <w:tc>
          <w:tcPr>
            <w:tcW w:w="72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00162F"/>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2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-4644390</wp:posOffset>
            </wp:positionV>
            <wp:extent cx="407924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4079240" cy="2540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-2202815</wp:posOffset>
            </wp:positionV>
            <wp:extent cx="352615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3526155" cy="2540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-316865</wp:posOffset>
            </wp:positionV>
            <wp:extent cx="352615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extLst>
                    </a:blip>
                    <a:srcRect/>
                    <a:stretch>
                      <a:fillRect/>
                    </a:stretch>
                  </pic:blipFill>
                  <pic:spPr bwMode="auto">
                    <a:xfrm>
                      <a:off x="0" y="0"/>
                      <a:ext cx="3526155" cy="25400"/>
                    </a:xfrm>
                    <a:prstGeom prst="rect">
                      <a:avLst/>
                    </a:prstGeom>
                    <a:noFill/>
                  </pic:spPr>
                </pic:pic>
              </a:graphicData>
            </a:graphic>
          </wp:anchor>
        </w:drawing>
      </w:r>
    </w:p>
    <w:p>
      <w:pPr>
        <w:spacing w:after="0" w:line="14" w:lineRule="exact"/>
        <w:rPr>
          <w:sz w:val="20"/>
          <w:szCs w:val="20"/>
          <w:color w:val="auto"/>
        </w:rPr>
      </w:pPr>
    </w:p>
    <w:p>
      <w:pPr>
        <w:ind w:left="365" w:hanging="365"/>
        <w:spacing w:after="0" w:line="282" w:lineRule="auto"/>
        <w:tabs>
          <w:tab w:leader="none" w:pos="365" w:val="left"/>
        </w:tabs>
        <w:numPr>
          <w:ilvl w:val="0"/>
          <w:numId w:val="37"/>
        </w:numPr>
        <w:rPr>
          <w:rFonts w:ascii="Arial" w:cs="Arial" w:eastAsia="Arial" w:hAnsi="Arial"/>
          <w:sz w:val="13"/>
          <w:szCs w:val="13"/>
          <w:color w:val="00162F"/>
        </w:rPr>
      </w:pPr>
      <w:r>
        <w:rPr>
          <w:rFonts w:ascii="Arial" w:cs="Arial" w:eastAsia="Arial" w:hAnsi="Arial"/>
          <w:sz w:val="20"/>
          <w:szCs w:val="20"/>
          <w:color w:val="00162F"/>
        </w:rPr>
        <w:t>For additional information, see the Notes to AAG’s and American’s Consolidated Financial Statements in Part II, Items 8A and 8B, respectively, referenced in the table above.</w:t>
      </w:r>
    </w:p>
    <w:p>
      <w:pPr>
        <w:spacing w:after="0" w:line="112"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37"/>
        </w:numPr>
        <w:rPr>
          <w:rFonts w:ascii="Arial" w:cs="Arial" w:eastAsia="Arial" w:hAnsi="Arial"/>
          <w:sz w:val="13"/>
          <w:szCs w:val="13"/>
          <w:color w:val="00162F"/>
        </w:rPr>
      </w:pPr>
      <w:r>
        <w:rPr>
          <w:rFonts w:ascii="Arial" w:cs="Arial" w:eastAsia="Arial" w:hAnsi="Arial"/>
          <w:sz w:val="20"/>
          <w:szCs w:val="20"/>
          <w:color w:val="00162F"/>
        </w:rPr>
        <w:t>Amounts represent contractual amounts due. Excludes $313 million and $1 million of unamortized debt discount, premium and issuance costs as of December 31, 2025 for American and AAG Parent, respectively.</w:t>
      </w:r>
    </w:p>
    <w:p>
      <w:pPr>
        <w:spacing w:after="0" w:line="112" w:lineRule="exact"/>
        <w:rPr>
          <w:rFonts w:ascii="Arial" w:cs="Arial" w:eastAsia="Arial" w:hAnsi="Arial"/>
          <w:sz w:val="13"/>
          <w:szCs w:val="13"/>
          <w:color w:val="00162F"/>
        </w:rPr>
      </w:pPr>
    </w:p>
    <w:p>
      <w:pPr>
        <w:ind w:left="365" w:hanging="365"/>
        <w:spacing w:after="0"/>
        <w:tabs>
          <w:tab w:leader="none" w:pos="365" w:val="left"/>
        </w:tabs>
        <w:numPr>
          <w:ilvl w:val="0"/>
          <w:numId w:val="37"/>
        </w:numPr>
        <w:rPr>
          <w:rFonts w:ascii="Arial" w:cs="Arial" w:eastAsia="Arial" w:hAnsi="Arial"/>
          <w:sz w:val="12"/>
          <w:szCs w:val="12"/>
          <w:color w:val="00162F"/>
        </w:rPr>
      </w:pPr>
      <w:r>
        <w:rPr>
          <w:rFonts w:ascii="Arial" w:cs="Arial" w:eastAsia="Arial" w:hAnsi="Arial"/>
          <w:sz w:val="19"/>
          <w:szCs w:val="19"/>
          <w:color w:val="00162F"/>
        </w:rPr>
        <w:t>For variable-rate debt, future interest obligations are estimated using the current forward rates at December 31, 2025.</w:t>
      </w:r>
    </w:p>
    <w:p>
      <w:pPr>
        <w:spacing w:after="0" w:line="197" w:lineRule="exact"/>
        <w:rPr>
          <w:rFonts w:ascii="Arial" w:cs="Arial" w:eastAsia="Arial" w:hAnsi="Arial"/>
          <w:sz w:val="12"/>
          <w:szCs w:val="12"/>
          <w:color w:val="00162F"/>
        </w:rPr>
      </w:pPr>
    </w:p>
    <w:p>
      <w:pPr>
        <w:ind w:left="365" w:hanging="365"/>
        <w:spacing w:after="0" w:line="282" w:lineRule="auto"/>
        <w:tabs>
          <w:tab w:leader="none" w:pos="365" w:val="left"/>
        </w:tabs>
        <w:numPr>
          <w:ilvl w:val="0"/>
          <w:numId w:val="37"/>
        </w:numPr>
        <w:rPr>
          <w:rFonts w:ascii="Arial" w:cs="Arial" w:eastAsia="Arial" w:hAnsi="Arial"/>
          <w:sz w:val="13"/>
          <w:szCs w:val="13"/>
          <w:color w:val="00162F"/>
        </w:rPr>
      </w:pPr>
      <w:r>
        <w:rPr>
          <w:rFonts w:ascii="Arial" w:cs="Arial" w:eastAsia="Arial" w:hAnsi="Arial"/>
          <w:sz w:val="20"/>
          <w:szCs w:val="20"/>
          <w:color w:val="00162F"/>
        </w:rPr>
        <w:t>Includes $6.9 billion of future principal payments and $1.0 billion of future interest payments as of December 31, 2025, related to EETCs associated with mortgage financings of certain aircraft and spare engines.</w:t>
      </w:r>
    </w:p>
    <w:p>
      <w:pPr>
        <w:spacing w:after="0" w:line="112" w:lineRule="exact"/>
        <w:rPr>
          <w:rFonts w:ascii="Arial" w:cs="Arial" w:eastAsia="Arial" w:hAnsi="Arial"/>
          <w:sz w:val="13"/>
          <w:szCs w:val="13"/>
          <w:color w:val="00162F"/>
        </w:rPr>
      </w:pPr>
    </w:p>
    <w:p>
      <w:pPr>
        <w:jc w:val="both"/>
        <w:ind w:left="365" w:hanging="365"/>
        <w:spacing w:after="0" w:line="253" w:lineRule="auto"/>
        <w:tabs>
          <w:tab w:leader="none" w:pos="365" w:val="left"/>
        </w:tabs>
        <w:numPr>
          <w:ilvl w:val="0"/>
          <w:numId w:val="37"/>
        </w:numPr>
        <w:rPr>
          <w:rFonts w:ascii="Arial" w:cs="Arial" w:eastAsia="Arial" w:hAnsi="Arial"/>
          <w:sz w:val="13"/>
          <w:szCs w:val="13"/>
          <w:color w:val="00162F"/>
        </w:rPr>
      </w:pPr>
      <w:r>
        <w:rPr>
          <w:rFonts w:ascii="Arial" w:cs="Arial" w:eastAsia="Arial" w:hAnsi="Arial"/>
          <w:sz w:val="20"/>
          <w:szCs w:val="20"/>
          <w:color w:val="00162F"/>
        </w:rPr>
        <w:t xml:space="preserve">See Part I, Item 2. Properties – </w:t>
      </w:r>
      <w:r>
        <w:rPr>
          <w:rFonts w:ascii="Arial" w:cs="Arial" w:eastAsia="Arial" w:hAnsi="Arial"/>
          <w:sz w:val="20"/>
          <w:szCs w:val="20"/>
          <w:i w:val="1"/>
          <w:iCs w:val="1"/>
          <w:color w:val="00162F"/>
        </w:rPr>
        <w:t>“Aircraft and Engine Purchase Commitments”</w:t>
      </w:r>
      <w:r>
        <w:rPr>
          <w:rFonts w:ascii="Arial" w:cs="Arial" w:eastAsia="Arial" w:hAnsi="Arial"/>
          <w:sz w:val="20"/>
          <w:szCs w:val="20"/>
          <w:color w:val="00162F"/>
        </w:rPr>
        <w:t xml:space="preserve"> for additional information about the firm commitments for the acquisition of aircraft and engines, including the anticipated aircraft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equipment manufacturers and regulatory concerns.</w:t>
      </w:r>
    </w:p>
    <w:p>
      <w:pPr>
        <w:sectPr>
          <w:pgSz w:w="11880" w:h="15480" w:orient="portrait"/>
          <w:cols w:equalWidth="0" w:num="1">
            <w:col w:w="10685"/>
          </w:cols>
          <w:pgMar w:left="595" w:top="992" w:right="600" w:bottom="0" w:gutter="0" w:footer="0" w:header="0"/>
        </w:sectPr>
      </w:pPr>
    </w:p>
    <w:p>
      <w:pPr>
        <w:spacing w:after="0" w:line="325"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75</w:t>
      </w:r>
    </w:p>
    <w:p>
      <w:pPr>
        <w:sectPr>
          <w:pgSz w:w="11880" w:h="15480" w:orient="portrait"/>
          <w:cols w:equalWidth="0" w:num="1">
            <w:col w:w="10685"/>
          </w:cols>
          <w:pgMar w:left="595" w:top="992" w:right="600" w:bottom="0" w:gutter="0" w:footer="0" w:header="0"/>
          <w:type w:val="continuous"/>
        </w:sectPr>
      </w:pPr>
    </w:p>
    <w:bookmarkStart w:id="76" w:name="page77"/>
    <w:bookmarkEnd w:id="76"/>
    <w:p>
      <w:pPr>
        <w:ind w:left="365" w:hanging="365"/>
        <w:spacing w:after="0" w:line="282" w:lineRule="auto"/>
        <w:tabs>
          <w:tab w:leader="none" w:pos="365" w:val="left"/>
        </w:tabs>
        <w:numPr>
          <w:ilvl w:val="0"/>
          <w:numId w:val="38"/>
        </w:numPr>
        <w:rPr>
          <w:rFonts w:ascii="Arial" w:cs="Arial" w:eastAsia="Arial" w:hAnsi="Arial"/>
          <w:sz w:val="13"/>
          <w:szCs w:val="13"/>
          <w:color w:val="00162F"/>
        </w:rPr>
      </w:pPr>
      <w:r>
        <w:rPr>
          <w:rFonts w:ascii="Arial" w:cs="Arial" w:eastAsia="Arial" w:hAnsi="Arial"/>
          <w:sz w:val="20"/>
          <w:szCs w:val="20"/>
          <w:color w:val="00162F"/>
        </w:rPr>
        <w:t>These commitments are estimates of costs based on assumed minimum levels of flying under the capacity purchase agreements and American’s actual payments could differ materially.</w:t>
      </w:r>
    </w:p>
    <w:p>
      <w:pPr>
        <w:spacing w:after="0" w:line="112" w:lineRule="exact"/>
        <w:rPr>
          <w:rFonts w:ascii="Arial" w:cs="Arial" w:eastAsia="Arial" w:hAnsi="Arial"/>
          <w:sz w:val="13"/>
          <w:szCs w:val="13"/>
          <w:color w:val="00162F"/>
        </w:rPr>
      </w:pPr>
    </w:p>
    <w:p>
      <w:pPr>
        <w:jc w:val="both"/>
        <w:ind w:left="365" w:hanging="365"/>
        <w:spacing w:after="0" w:line="259" w:lineRule="auto"/>
        <w:tabs>
          <w:tab w:leader="none" w:pos="365" w:val="left"/>
        </w:tabs>
        <w:numPr>
          <w:ilvl w:val="0"/>
          <w:numId w:val="38"/>
        </w:numPr>
        <w:rPr>
          <w:rFonts w:ascii="Arial" w:cs="Arial" w:eastAsia="Arial" w:hAnsi="Arial"/>
          <w:sz w:val="13"/>
          <w:szCs w:val="13"/>
          <w:color w:val="00162F"/>
        </w:rPr>
      </w:pPr>
      <w:r>
        <w:rPr>
          <w:rFonts w:ascii="Arial" w:cs="Arial" w:eastAsia="Arial" w:hAnsi="Arial"/>
          <w:sz w:val="20"/>
          <w:szCs w:val="20"/>
          <w:color w:val="00162F"/>
        </w:rPr>
        <w:t>Represents minimum pension contributions and expected contributions to our retiree medical and other post-retirement plans based on actuarially determined estimates as of December 31, 2025 and is based on estimated payments through 2035. In January 2026, we made required contributions of $236 million and a supplemental contribution of $50 million to our defined benefit pension plans.</w:t>
      </w:r>
    </w:p>
    <w:p>
      <w:pPr>
        <w:spacing w:after="0" w:line="135" w:lineRule="exact"/>
        <w:rPr>
          <w:rFonts w:ascii="Arial" w:cs="Arial" w:eastAsia="Arial" w:hAnsi="Arial"/>
          <w:sz w:val="13"/>
          <w:szCs w:val="13"/>
          <w:color w:val="00162F"/>
        </w:rPr>
      </w:pPr>
    </w:p>
    <w:p>
      <w:pPr>
        <w:jc w:val="both"/>
        <w:ind w:left="365" w:hanging="365"/>
        <w:spacing w:after="0" w:line="259" w:lineRule="auto"/>
        <w:tabs>
          <w:tab w:leader="none" w:pos="365" w:val="left"/>
        </w:tabs>
        <w:numPr>
          <w:ilvl w:val="0"/>
          <w:numId w:val="38"/>
        </w:numPr>
        <w:rPr>
          <w:rFonts w:ascii="Arial" w:cs="Arial" w:eastAsia="Arial" w:hAnsi="Arial"/>
          <w:sz w:val="13"/>
          <w:szCs w:val="13"/>
          <w:color w:val="00162F"/>
        </w:rPr>
      </w:pPr>
      <w:r>
        <w:rPr>
          <w:rFonts w:ascii="Arial" w:cs="Arial" w:eastAsia="Arial" w:hAnsi="Arial"/>
          <w:sz w:val="20"/>
          <w:szCs w:val="20"/>
          <w:color w:val="00162F"/>
        </w:rPr>
        <w:t>Includes purchase commitments for aircraft fuel, flight equipment maintenance and information technology support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24"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Capital Raising Activity and Other Possible Actions</w:t>
      </w:r>
    </w:p>
    <w:p>
      <w:pPr>
        <w:spacing w:after="0" w:line="97" w:lineRule="exact"/>
        <w:rPr>
          <w:sz w:val="20"/>
          <w:szCs w:val="20"/>
          <w:color w:val="auto"/>
        </w:rPr>
      </w:pPr>
    </w:p>
    <w:p>
      <w:pPr>
        <w:jc w:val="both"/>
        <w:ind w:left="5" w:firstLine="267"/>
        <w:spacing w:after="0" w:line="249" w:lineRule="auto"/>
        <w:rPr>
          <w:sz w:val="20"/>
          <w:szCs w:val="20"/>
          <w:color w:val="auto"/>
        </w:rPr>
      </w:pPr>
      <w:r>
        <w:rPr>
          <w:rFonts w:ascii="Arial" w:cs="Arial" w:eastAsia="Arial" w:hAnsi="Arial"/>
          <w:sz w:val="20"/>
          <w:szCs w:val="20"/>
          <w:color w:val="00162F"/>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governmental actions, military actions, terrorism, disease outbreaks, natural disasters or other causes could reduce the demand for air travel, which would reduce the amount of cash generated by operations. See Part I, Item 1A. Risk Factors – </w:t>
      </w:r>
      <w:r>
        <w:rPr>
          <w:rFonts w:ascii="Arial" w:cs="Arial" w:eastAsia="Arial" w:hAnsi="Arial"/>
          <w:sz w:val="20"/>
          <w:szCs w:val="20"/>
          <w:i w:val="1"/>
          <w:iCs w:val="1"/>
          <w:color w:val="00162F"/>
        </w:rPr>
        <w:t>“Downturns in economic</w:t>
      </w:r>
      <w:r>
        <w:rPr>
          <w:rFonts w:ascii="Arial" w:cs="Arial" w:eastAsia="Arial" w:hAnsi="Arial"/>
          <w:sz w:val="20"/>
          <w:szCs w:val="20"/>
          <w:color w:val="00162F"/>
        </w:rPr>
        <w:t xml:space="preserve"> </w:t>
      </w:r>
      <w:r>
        <w:rPr>
          <w:rFonts w:ascii="Arial" w:cs="Arial" w:eastAsia="Arial" w:hAnsi="Arial"/>
          <w:sz w:val="20"/>
          <w:szCs w:val="20"/>
          <w:i w:val="1"/>
          <w:iCs w:val="1"/>
          <w:color w:val="00162F"/>
        </w:rPr>
        <w:t xml:space="preserve">conditions could adversely affect our business” </w:t>
      </w:r>
      <w:r>
        <w:rPr>
          <w:rFonts w:ascii="Arial" w:cs="Arial" w:eastAsia="Arial" w:hAnsi="Arial"/>
          <w:sz w:val="20"/>
          <w:szCs w:val="20"/>
          <w:color w:val="00162F"/>
        </w:rPr>
        <w:t>for additional discussion. An increase in costs, either due to an increase in</w:t>
      </w:r>
      <w:r>
        <w:rPr>
          <w:rFonts w:ascii="Arial" w:cs="Arial" w:eastAsia="Arial" w:hAnsi="Arial"/>
          <w:sz w:val="20"/>
          <w:szCs w:val="20"/>
          <w:i w:val="1"/>
          <w:iCs w:val="1"/>
          <w:color w:val="00162F"/>
        </w:rPr>
        <w:t xml:space="preserve"> </w:t>
      </w:r>
      <w:r>
        <w:rPr>
          <w:rFonts w:ascii="Arial" w:cs="Arial" w:eastAsia="Arial" w:hAnsi="Arial"/>
          <w:sz w:val="20"/>
          <w:szCs w:val="20"/>
          <w:color w:val="00162F"/>
        </w:rPr>
        <w:t>borrowing costs caused by a reduction in credit ratings or a general increase in interest rates, due to an increase in the cost of fuel, maintenance, aircraft, aircraft engines or parts, or due to an increase in tariffs,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4 to AAG’s Consolidated Financial Statements in Part II, Item 8A and Note 3 to American’s Consolidated Financial Statements in Part II, Item 8B for information regarding our financing arrangements.</w:t>
      </w:r>
    </w:p>
    <w:p>
      <w:pPr>
        <w:spacing w:after="0" w:line="159"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 and the amounts involved may be material.</w:t>
      </w:r>
    </w:p>
    <w:p>
      <w:pPr>
        <w:sectPr>
          <w:pgSz w:w="11880" w:h="15480" w:orient="portrait"/>
          <w:cols w:equalWidth="0" w:num="1">
            <w:col w:w="10685"/>
          </w:cols>
          <w:pgMar w:left="595"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76</w:t>
      </w:r>
    </w:p>
    <w:p>
      <w:pPr>
        <w:sectPr>
          <w:pgSz w:w="11880" w:h="15480" w:orient="portrait"/>
          <w:cols w:equalWidth="0" w:num="1">
            <w:col w:w="10685"/>
          </w:cols>
          <w:pgMar w:left="595" w:top="992" w:right="60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b w:val="1"/>
          <w:bCs w:val="1"/>
          <w:u w:val="single" w:color="auto"/>
          <w:color w:val="00162F"/>
        </w:rPr>
        <w:t>OTHER INFORMATION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Basis of Presentation</w:t>
      </w:r>
    </w:p>
    <w:p>
      <w:pPr>
        <w:spacing w:after="0" w:line="97"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See Note 1 to each of AAG’s and American’s Consolidated Financial Statements in Part II, Items 8A and 8B, respectively, for information regarding the basis of presentation.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Critical Accounting Policies and Estimates</w:t>
      </w:r>
    </w:p>
    <w:p>
      <w:pPr>
        <w:spacing w:after="0" w:line="97"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 Critical accounting policies are defined as those that are reflective of significant judgments and uncertainties and could potentially result in materially different results under different assumptions and conditions. We have identified the following critical accounting policies that impact the preparation of our consolidated financial statements. See the “</w:t>
      </w:r>
      <w:r>
        <w:rPr>
          <w:rFonts w:ascii="Arial" w:cs="Arial" w:eastAsia="Arial" w:hAnsi="Arial"/>
          <w:sz w:val="20"/>
          <w:szCs w:val="20"/>
          <w:i w:val="1"/>
          <w:iCs w:val="1"/>
          <w:color w:val="00162F"/>
        </w:rPr>
        <w:t>Basis of Presentation and Summary of Significant</w:t>
      </w:r>
      <w:r>
        <w:rPr>
          <w:rFonts w:ascii="Arial" w:cs="Arial" w:eastAsia="Arial" w:hAnsi="Arial"/>
          <w:sz w:val="20"/>
          <w:szCs w:val="20"/>
          <w:color w:val="00162F"/>
        </w:rPr>
        <w:t xml:space="preserve"> </w:t>
      </w:r>
      <w:r>
        <w:rPr>
          <w:rFonts w:ascii="Arial" w:cs="Arial" w:eastAsia="Arial" w:hAnsi="Arial"/>
          <w:sz w:val="20"/>
          <w:szCs w:val="20"/>
          <w:i w:val="1"/>
          <w:iCs w:val="1"/>
          <w:color w:val="00162F"/>
        </w:rPr>
        <w:t>Accounting Policies</w:t>
      </w:r>
      <w:r>
        <w:rPr>
          <w:rFonts w:ascii="Arial" w:cs="Arial" w:eastAsia="Arial" w:hAnsi="Arial"/>
          <w:sz w:val="20"/>
          <w:szCs w:val="20"/>
          <w:color w:val="00162F"/>
        </w:rPr>
        <w:t>” included in Note 1 to each of AAG’s and American’s Consolidated Financial Statements in Part II,</w:t>
      </w:r>
      <w:r>
        <w:rPr>
          <w:rFonts w:ascii="Arial" w:cs="Arial" w:eastAsia="Arial" w:hAnsi="Arial"/>
          <w:sz w:val="20"/>
          <w:szCs w:val="20"/>
          <w:i w:val="1"/>
          <w:iCs w:val="1"/>
          <w:color w:val="00162F"/>
        </w:rPr>
        <w:t xml:space="preserve"> </w:t>
      </w:r>
      <w:r>
        <w:rPr>
          <w:rFonts w:ascii="Arial" w:cs="Arial" w:eastAsia="Arial" w:hAnsi="Arial"/>
          <w:sz w:val="20"/>
          <w:szCs w:val="20"/>
          <w:color w:val="00162F"/>
        </w:rPr>
        <w:t>Items 8A and 8B, respectively, for additional discussion of the application of these estimates and other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Passenger Revenue</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We recognize all revenues generated from transportation on American and our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American Eagle and partner airlines.</w:t>
      </w:r>
    </w:p>
    <w:p>
      <w:pPr>
        <w:spacing w:after="0" w:line="139"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The contract duration of passenger tickets is generally one year. The majority of tickets sold are nonrefundable. A small percentage of tickets, some of which are partially used tickets, expire unused. The estimate for tickets expected to expire unused is generally based on an analysis of our historical data and other current applicable factors such as policy changes. We have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Loyalty Revenue</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 xml:space="preserve">We currently operate the loyalty program, AAdvantage. This program awards mileage credits to passengers who fly on American, American Eagle, any </w:t>
      </w:r>
      <w:r>
        <w:rPr>
          <w:rFonts w:ascii="Arial" w:cs="Arial" w:eastAsia="Arial" w:hAnsi="Arial"/>
          <w:sz w:val="20"/>
          <w:szCs w:val="20"/>
          <w:b w:val="1"/>
          <w:bCs w:val="1"/>
          <w:color w:val="00162F"/>
        </w:rPr>
        <w:t>one</w:t>
      </w:r>
      <w:r>
        <w:rPr>
          <w:rFonts w:ascii="Arial" w:cs="Arial" w:eastAsia="Arial" w:hAnsi="Arial"/>
          <w:sz w:val="20"/>
          <w:szCs w:val="20"/>
          <w:color w:val="00162F"/>
        </w:rPr>
        <w:t>world airline or other partner airlines, or by using the services of other program participants, such as our co-branded credit cards, and certain hotels and car rental companies. Mileage credits can be redeemed for travel on American, American Eagle and other participating partner airlines, as well as for other non-air travel awards such as car rentals, hotel stays, cruises and retail goods from program partners. For mileage credits earned by AAdvantage program members, we apply the deferred revenue method.</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Mileage credits earned through travel</w:t>
      </w:r>
    </w:p>
    <w:p>
      <w:pPr>
        <w:spacing w:after="0" w:line="95"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cash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 For the year ended December 31, 2025, a hypothetical 10% increase in the estimated selling price of mileage credits would have decreased revenues by approximately $155 million primarily as a result of additional amounts deferred from passenger ticket sales to be recognized in future periods.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77</w:t>
      </w:r>
    </w:p>
    <w:p>
      <w:pPr>
        <w:sectPr>
          <w:pgSz w:w="11880" w:h="15480" w:orient="portrait"/>
          <w:cols w:equalWidth="0" w:num="1">
            <w:col w:w="10680"/>
          </w:cols>
          <w:pgMar w:left="600" w:top="992" w:right="600" w:bottom="0" w:gutter="0" w:footer="0" w:header="0"/>
          <w:type w:val="continuous"/>
        </w:sectPr>
      </w:pPr>
    </w:p>
    <w:bookmarkStart w:id="78" w:name="page79"/>
    <w:bookmarkEnd w:id="78"/>
    <w:p>
      <w:pPr>
        <w:ind w:left="260"/>
        <w:spacing w:after="0"/>
        <w:rPr>
          <w:sz w:val="20"/>
          <w:szCs w:val="20"/>
          <w:color w:val="auto"/>
        </w:rPr>
      </w:pPr>
      <w:r>
        <w:rPr>
          <w:rFonts w:ascii="Arial" w:cs="Arial" w:eastAsia="Arial" w:hAnsi="Arial"/>
          <w:sz w:val="20"/>
          <w:szCs w:val="20"/>
          <w:i w:val="1"/>
          <w:iCs w:val="1"/>
          <w:u w:val="single" w:color="auto"/>
          <w:color w:val="00162F"/>
        </w:rPr>
        <w:t>Mileage credits sold to co-branded credit card and other partners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We sell mileage credits to participating airline partners and non-airline business partners, including our co-branded credit card partner, under contracts with remaining terms generally from one to 10 years as of December 31, 2025. Consideration received from the sale of mileage credits is predominantly variable and payment terms typically are within 30 days subsequent to the month of mileage sale. Sales of mileage credits to co-branded credit card and non-airline business partners are comprised of two revenue elements: a transportation component and a marketing component. We allocate the consideration received from these sales of mileage credits based on the relative selling price of each product or service delivered.</w:t>
      </w:r>
    </w:p>
    <w:p>
      <w:pPr>
        <w:spacing w:after="0" w:line="144"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Our most significant mileage credit partner agreement is our co-branded credit card agreement with Citi. In December 2024, we announced a 10-year agreement with Citi and Citi became the exclusive issuer of the AAdvantage co-branded credit card portfolio in the U.S. starting in 2026.</w:t>
      </w:r>
    </w:p>
    <w:p>
      <w:pPr>
        <w:spacing w:after="0" w:line="12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36"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The marketing component includes the use of intellectual property, including the American brand and access to loyalty program member lists, which is the predominant element in these agreements, as well as advertising and other travel-related benefits. We recognize the marketing component in other revenue in the period of the mileage credit sale following the sales-based royalty method.</w:t>
      </w:r>
    </w:p>
    <w:p>
      <w:pPr>
        <w:spacing w:after="0" w:line="136"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For the portion of our outstanding mileage credits that we estimate will not be redeemed, we recognize the associated value proportionally as the remaining mileage credits are redeemed. Our estimates use a statistical model based on historical redemption patterns to develop an estimate of the likelihood of future redemption. For the year ended December 31, 2025, a hypothetical 10% increase in our estimate of mileage credits not expected to be redeemed would have increased revenues by approximately $140 million.</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Pensions and Retiree Medical and Other Postretirement Benefits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We recognize the funded status (i.e., the difference between the fair value of plan assets and the projected benefit obligations) of our pension and retiree medical and other postretirement benefits plans on the consolidated balance sheets with a corresponding adjustment to accumulated other comprehensive income (loss).</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Our pension and retiree medical and other postretirement benefits costs and liabilities are calculated using various actuarial assumptions and methodologies. We use certain assumptions including, but not limited to, the selection of the discount rate and expected return on plan assets.</w:t>
      </w:r>
    </w:p>
    <w:p>
      <w:pPr>
        <w:spacing w:after="0" w:line="129"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As of December 31, 2025, our weighted average discount rate assumptions were 5.5% and 5.3% for our pension and retiree medical and other postretirement benefits obligations, respectively. When establishing the discount rate to measure our obligations, we match high quality corporate bonds available in the marketplace whose cash flows approximate our projected benefit disbursements. Lowering the discount rate by 50 basis points as of December 31, 2025 would increase our pension and retiree medical and other postretirement benefits obligations by approximately $635 million and $40 million, respectively, and decrease estimated 2026 pension and retiree medical and other postretirement benefits expense by approximately $10 million and $1 million, respectively.</w:t>
      </w:r>
    </w:p>
    <w:p>
      <w:pPr>
        <w:spacing w:after="0" w:line="144"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As of January 1, 2026, our expected rate of return on plan assets is 7.3%. The expected rate of return on plan assets is based upon an evaluation of our historical trends and experience, taking into account current and expected market conditions and our target asset allocation of 45% U.S. fixed income securities, 18% U.S. stocks, 25% private investments, 9% international developed market stocks and 3% emerging market stocks. The expected rate of return on plan assets component of our net periodic benefit cost is calculated based on the fair value of plan assets and our target asset allocation. Lowering the expected long-term rate of return on plan assets by 50 basis points would increase estimated 2026 pension expense by approximately $60 million.</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78</w:t>
      </w:r>
    </w:p>
    <w:p>
      <w:pPr>
        <w:sectPr>
          <w:pgSz w:w="11880" w:h="15480" w:orient="portrait"/>
          <w:cols w:equalWidth="0" w:num="1">
            <w:col w:w="10680"/>
          </w:cols>
          <w:pgMar w:left="600" w:top="994" w:right="600" w:bottom="0" w:gutter="0" w:footer="0" w:header="0"/>
          <w:type w:val="continuous"/>
        </w:sectPr>
      </w:pPr>
    </w:p>
    <w:bookmarkStart w:id="79" w:name="page80"/>
    <w:bookmarkEnd w:id="79"/>
    <w:p>
      <w:pPr>
        <w:jc w:val="both"/>
        <w:ind w:firstLine="267"/>
        <w:spacing w:after="0" w:line="254" w:lineRule="auto"/>
        <w:rPr>
          <w:sz w:val="20"/>
          <w:szCs w:val="20"/>
          <w:color w:val="auto"/>
        </w:rPr>
      </w:pPr>
      <w:r>
        <w:rPr>
          <w:rFonts w:ascii="Arial" w:cs="Arial" w:eastAsia="Arial" w:hAnsi="Arial"/>
          <w:sz w:val="20"/>
          <w:szCs w:val="20"/>
          <w:color w:val="00162F"/>
        </w:rPr>
        <w:t>Annually, we review and revise certain economic and demographic assumptions including the pension and retiree medical and other postretirement benefits discount rates, health care costs and certain other retirement assumptions. The net effect of changing these assumptions for the pension plans resulted in an increase of $238 million in the projected benefit obligation at December 31, 2025. The net effect of changing these assumptions for retiree medical and other postretirement benefits plans resulted in a decrease of $10 million in the accumulated postretirement benefit obligation at December 31, 2025.</w:t>
      </w:r>
    </w:p>
    <w:p>
      <w:pPr>
        <w:spacing w:after="0" w:line="143"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See Note 9 to AAG’s Consolidated Financial Statements in Part II, Item 8A and Note 8 to American’s Consolidated Financial Statements in Part II, Item 8B for additional information regarding our employee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Income Taxes</w:t>
      </w:r>
    </w:p>
    <w:p>
      <w:pPr>
        <w:spacing w:after="0" w:line="95"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Our ability to use our NOLs and other carryforwards depends on the amount of taxable income generated in future periods. We provide a valuation allowance for our deferred tax assets, which include our NOLs and other carryforwards,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 There can be no assurance that an additional valuation allowance on our net deferred tax assets will not be required. Such valuation allowance could be material.</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Recent Accounting Pronouncements</w:t>
      </w:r>
    </w:p>
    <w:p>
      <w:pPr>
        <w:spacing w:after="0" w:line="99" w:lineRule="exact"/>
        <w:rPr>
          <w:sz w:val="20"/>
          <w:szCs w:val="20"/>
          <w:color w:val="auto"/>
        </w:rPr>
      </w:pPr>
    </w:p>
    <w:p>
      <w:pPr>
        <w:jc w:val="both"/>
        <w:ind w:firstLine="267"/>
        <w:spacing w:after="0" w:line="280" w:lineRule="auto"/>
        <w:rPr>
          <w:sz w:val="20"/>
          <w:szCs w:val="20"/>
          <w:color w:val="auto"/>
        </w:rPr>
      </w:pPr>
      <w:r>
        <w:rPr>
          <w:rFonts w:ascii="Arial" w:cs="Arial" w:eastAsia="Arial" w:hAnsi="Arial"/>
          <w:sz w:val="20"/>
          <w:szCs w:val="20"/>
          <w:i w:val="1"/>
          <w:iCs w:val="1"/>
          <w:color w:val="00162F"/>
        </w:rPr>
        <w:t>Accounting Standards Update (ASU) 2024-03: Income Statement - Reporting Comprehensive Income - Expense Disaggregation Disclosures (Subtopic 220-04) Disaggregation of Income Statement Expenses</w:t>
      </w:r>
    </w:p>
    <w:p>
      <w:pPr>
        <w:spacing w:after="0" w:line="26"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This standard enhances transparency in reporting by requiring disaggregation of certain costs and expenses in the notes to financial statements. This update is effective for annual periods beginning after December 15, 2026 and interim periods within annual periods beginning after December 15, 2027, and early adoption is permitted. We are currently evaluating how the adoption of this standard may impact our disclosures.</w:t>
      </w:r>
    </w:p>
    <w:p>
      <w:pPr>
        <w:spacing w:after="0" w:line="226" w:lineRule="exact"/>
        <w:rPr>
          <w:sz w:val="20"/>
          <w:szCs w:val="20"/>
          <w:color w:val="auto"/>
        </w:rPr>
      </w:pPr>
    </w:p>
    <w:p>
      <w:pPr>
        <w:jc w:val="both"/>
        <w:ind w:firstLine="267"/>
        <w:spacing w:after="0" w:line="280" w:lineRule="auto"/>
        <w:rPr>
          <w:sz w:val="20"/>
          <w:szCs w:val="20"/>
          <w:color w:val="auto"/>
        </w:rPr>
      </w:pPr>
      <w:r>
        <w:rPr>
          <w:rFonts w:ascii="Arial" w:cs="Arial" w:eastAsia="Arial" w:hAnsi="Arial"/>
          <w:sz w:val="20"/>
          <w:szCs w:val="20"/>
          <w:i w:val="1"/>
          <w:iCs w:val="1"/>
          <w:color w:val="00162F"/>
        </w:rPr>
        <w:t>ASU 2025-06: Intangibles - Goodwill and Other - Internal-Use Software (Subtopic 350-40) Targeted Improvements to the Accounting for Internal-Use Software</w:t>
      </w:r>
    </w:p>
    <w:p>
      <w:pPr>
        <w:spacing w:after="0" w:line="26"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This standard modernizes the accounting for costs related to internal-use software by removing references to project stages and by clarifying the thresholds entities apply to begin capitalizing costs. The amendments in this update are effective for interim and annual periods beginning after December 15, 2027, and early adoption is permitted. We are currently evaluating how the adoption of this standard may impact our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ITEM 7A. QUANTITATIVE AND QUALITATIVE DISCLOSURES ABOUT MARKET RISK</w:t>
      </w:r>
    </w:p>
    <w:p>
      <w:pPr>
        <w:spacing w:after="0" w:line="97"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The risk inherent in our market risk sensitive instruments and positions is the potential loss arising from adverse changes in the price of aircraft fuel, foreign currency exchange rates and interest rates as discussed below. The sensitivity analyses presented do not consider the effects that such adverse changes may have on overall economic activity, nor do they consider additional actions we may take to mitigate our exposure to such changes. Therefore, actual results may differ.</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Aircraft Fuel</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Our operating results are materially impacted by changes in the availability, price volatility and cost of aircraft fuel, which represents one of the largest single cost items in our business. Because of the amount of fuel needed to operate our business, even a relatively small increase or decrease in the price of aircraft fuel can have a material effect on our operating results and liquidity. Market prices for aircraft fuel have fluctuated substantially over the past several years and prices continue to be highly volatile, with market spot prices ranging from a low of approximately $1.83 per gallon to a high of approximately $3.82 per gallon during the period from January 1, 2023 to December 31, 2025.</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79</w:t>
      </w:r>
    </w:p>
    <w:p>
      <w:pPr>
        <w:sectPr>
          <w:pgSz w:w="11880" w:h="15480" w:orient="portrait"/>
          <w:cols w:equalWidth="0" w:num="1">
            <w:col w:w="10680"/>
          </w:cols>
          <w:pgMar w:left="600" w:top="992" w:right="600" w:bottom="0" w:gutter="0" w:footer="0" w:header="0"/>
          <w:type w:val="continuous"/>
        </w:sectPr>
      </w:pPr>
    </w:p>
    <w:bookmarkStart w:id="80" w:name="page81"/>
    <w:bookmarkEnd w:id="80"/>
    <w:p>
      <w:pPr>
        <w:jc w:val="both"/>
        <w:ind w:firstLine="267"/>
        <w:spacing w:after="0" w:line="254" w:lineRule="auto"/>
        <w:rPr>
          <w:sz w:val="20"/>
          <w:szCs w:val="20"/>
          <w:color w:val="auto"/>
        </w:rPr>
      </w:pPr>
      <w:r>
        <w:rPr>
          <w:rFonts w:ascii="Arial" w:cs="Arial" w:eastAsia="Arial" w:hAnsi="Arial"/>
          <w:sz w:val="20"/>
          <w:szCs w:val="20"/>
          <w:color w:val="00162F"/>
        </w:rPr>
        <w:t>As of December 31, 2025,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Based on our 2026 forecasted fuel consumption, we estimate that a one cent per gallon increase in the price of aircraft fuel would increase our 2026 annual fuel expense by approximately $50 million.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Foreign Currency</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We are exposed to the effect of foreign exchange rate fluctuations on the U.S. dollar value of foreign currency-denominated transactions. Our largest exposure comes from the Euro, Canadian dollar, British pound sterling and various Latin American currencies (primarily the Brazilian real). We do not currently have a foreign currency hedge program. We estimate a uniform 10% strengthening in the value of the U.S. dollar from 2025 levels relative to each of the currencies in which we have foreign currency exposure would have resulted in a decrease in pre-tax income of approximately $140 million for the year ended December 31, 2025.</w:t>
      </w:r>
    </w:p>
    <w:p>
      <w:pPr>
        <w:spacing w:after="0" w:line="143"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 xml:space="preserve">Generally, fluctuations in foreign currencies, including devaluations, cannot be predicted by us and can significantly affect the value of our assets located outside the United States. These conditions, devaluations or imposition of more stringent repatriation restrictions, may materially adversely affect our business, results of operations and financial condition. See Part I, Item 1A. Risk Factors – </w:t>
      </w:r>
      <w:r>
        <w:rPr>
          <w:rFonts w:ascii="Arial" w:cs="Arial" w:eastAsia="Arial" w:hAnsi="Arial"/>
          <w:sz w:val="20"/>
          <w:szCs w:val="20"/>
          <w:i w:val="1"/>
          <w:iCs w:val="1"/>
          <w:color w:val="00162F"/>
        </w:rPr>
        <w:t>“We operate a global business with international operations that are subject</w:t>
      </w:r>
      <w:r>
        <w:rPr>
          <w:rFonts w:ascii="Arial" w:cs="Arial" w:eastAsia="Arial" w:hAnsi="Arial"/>
          <w:sz w:val="20"/>
          <w:szCs w:val="20"/>
          <w:color w:val="00162F"/>
        </w:rPr>
        <w:t xml:space="preserve"> </w:t>
      </w:r>
      <w:r>
        <w:rPr>
          <w:rFonts w:ascii="Arial" w:cs="Arial" w:eastAsia="Arial" w:hAnsi="Arial"/>
          <w:sz w:val="20"/>
          <w:szCs w:val="20"/>
          <w:i w:val="1"/>
          <w:iCs w:val="1"/>
          <w:color w:val="00162F"/>
        </w:rPr>
        <w:t xml:space="preserve">to economic and political instability and have been, and in the future may continue to be, adversely affected by numerous events, circumstances or government actions beyond our control” </w:t>
      </w:r>
      <w:r>
        <w:rPr>
          <w:rFonts w:ascii="Arial" w:cs="Arial" w:eastAsia="Arial" w:hAnsi="Arial"/>
          <w:sz w:val="20"/>
          <w:szCs w:val="20"/>
          <w:color w:val="00162F"/>
        </w:rPr>
        <w:t>for additional discussion of this and other currency</w:t>
      </w:r>
      <w:r>
        <w:rPr>
          <w:rFonts w:ascii="Arial" w:cs="Arial" w:eastAsia="Arial" w:hAnsi="Arial"/>
          <w:sz w:val="20"/>
          <w:szCs w:val="20"/>
          <w:i w:val="1"/>
          <w:iCs w:val="1"/>
          <w:color w:val="00162F"/>
        </w:rPr>
        <w:t xml:space="preserve"> </w:t>
      </w:r>
      <w:r>
        <w:rPr>
          <w:rFonts w:ascii="Arial" w:cs="Arial" w:eastAsia="Arial" w:hAnsi="Arial"/>
          <w:sz w:val="20"/>
          <w:szCs w:val="20"/>
          <w:color w:val="00162F"/>
        </w:rPr>
        <w:t>risks.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162F"/>
        </w:rPr>
        <w:t>Interest</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Our earnings and cash flow are affected by changes in interest rates due to the impact those changes have on our interest expense from variable-rate debt instruments and our interest income from short-term, interest-bearing investments.</w:t>
      </w:r>
    </w:p>
    <w:p>
      <w:pPr>
        <w:spacing w:after="0" w:line="129"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Our largest exposure with respect to variable-rate debt comes from changes in the relevant benchmark rate underlying such debt financings, principally the Secured Overnight Financing Rate (SOFR). Variable-rate debt instruments represented 47% of our total long-term debt as of December 31, 2025. We currently do not have an interest rate hedge program to hedge our exposure to floating interest rates on our variable-rate debt obligations. If annual interest rates increase 100 basis points, based on our December 31, 2025 variable-rate debt and short-term investments balances, annual interest expense on variable-rate debt would increase by approximately $130 million and annual interest income on short-term investments would increase by approximately $60 million. Additionally, the fair value of fixed-rate debt would have decreased by approximately $410 million for AAG and $320 million for American.</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80</w:t>
      </w:r>
    </w:p>
    <w:p>
      <w:pPr>
        <w:sectPr>
          <w:pgSz w:w="11880" w:h="15480" w:orient="portrait"/>
          <w:cols w:equalWidth="0" w:num="1">
            <w:col w:w="10680"/>
          </w:cols>
          <w:pgMar w:left="600" w:top="992" w:right="600" w:bottom="0" w:gutter="0" w:footer="0" w:header="0"/>
          <w:type w:val="continuous"/>
        </w:sectPr>
      </w:pPr>
    </w:p>
    <w:bookmarkStart w:id="81" w:name="page82"/>
    <w:bookmarkEnd w:id="81"/>
    <w:p>
      <w:pPr>
        <w:ind w:right="360"/>
        <w:spacing w:after="0" w:line="293" w:lineRule="auto"/>
        <w:rPr>
          <w:sz w:val="20"/>
          <w:szCs w:val="20"/>
          <w:color w:val="auto"/>
        </w:rPr>
      </w:pPr>
      <w:r>
        <w:rPr>
          <w:rFonts w:ascii="Arial" w:cs="Arial" w:eastAsia="Arial" w:hAnsi="Arial"/>
          <w:sz w:val="20"/>
          <w:szCs w:val="20"/>
          <w:b w:val="1"/>
          <w:bCs w:val="1"/>
          <w:color w:val="00162F"/>
        </w:rPr>
        <w:t>ITEM 8A. CONSOLIDATED FINANCIAL STATEMENTS AND SUPPLEMENTARY DATA OF AMERICAN AIRLINES GROUP INC.</w:t>
      </w:r>
    </w:p>
    <w:p>
      <w:pPr>
        <w:spacing w:after="0" w:line="92"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00162F"/>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00162F"/>
        </w:rPr>
        <w:t>To the Stockholders and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0162F"/>
        </w:rPr>
        <w:t>American Airlines Group Inc.:</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i w:val="1"/>
          <w:iCs w:val="1"/>
          <w:color w:val="00162F"/>
        </w:rPr>
        <w:t>Opinion on the Consolidated Financial Statements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00162F"/>
        </w:rPr>
        <w:t>We have audited the accompanying consolidated balance sheets of American Airlines Group Inc. and subsidiaries (the Company) as of December 31, 2025 and 2024, the related consolidated statements of operations, comprehensive income, cash flows, and stockholders’ deficit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00162F"/>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20"/>
          <w:szCs w:val="20"/>
          <w:i w:val="1"/>
          <w:iCs w:val="1"/>
          <w:color w:val="00162F"/>
        </w:rPr>
        <w:t>Internal Control</w:t>
      </w:r>
      <w:r>
        <w:rPr>
          <w:rFonts w:ascii="Arial" w:cs="Arial" w:eastAsia="Arial" w:hAnsi="Arial"/>
          <w:sz w:val="20"/>
          <w:szCs w:val="20"/>
          <w:color w:val="00162F"/>
        </w:rPr>
        <w:t xml:space="preserve"> – </w:t>
      </w:r>
      <w:r>
        <w:rPr>
          <w:rFonts w:ascii="Arial" w:cs="Arial" w:eastAsia="Arial" w:hAnsi="Arial"/>
          <w:sz w:val="20"/>
          <w:szCs w:val="20"/>
          <w:i w:val="1"/>
          <w:iCs w:val="1"/>
          <w:color w:val="00162F"/>
        </w:rPr>
        <w:t>Integrated Framework (2013)</w:t>
      </w:r>
      <w:r>
        <w:rPr>
          <w:rFonts w:ascii="Arial" w:cs="Arial" w:eastAsia="Arial" w:hAnsi="Arial"/>
          <w:sz w:val="20"/>
          <w:szCs w:val="20"/>
          <w:color w:val="00162F"/>
        </w:rPr>
        <w:t xml:space="preserve"> issued by the Committee of Sponsoring Organizations of the Treadway Commission, and our report dated February 18, 2026 expressed an unqualified opinion on the effectiveness of the Company’s internal control over financial reporting.</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i w:val="1"/>
          <w:iCs w:val="1"/>
          <w:color w:val="00162F"/>
        </w:rPr>
        <w:t>Basis for Opinion</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00162F"/>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00162F"/>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81</w:t>
      </w:r>
    </w:p>
    <w:p>
      <w:pPr>
        <w:sectPr>
          <w:pgSz w:w="11880" w:h="15480" w:orient="portrait"/>
          <w:cols w:equalWidth="0" w:num="1">
            <w:col w:w="10680"/>
          </w:cols>
          <w:pgMar w:left="600" w:top="992" w:right="600" w:bottom="0"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i w:val="1"/>
          <w:iCs w:val="1"/>
          <w:color w:val="00162F"/>
        </w:rPr>
        <w:t>Critical Audit Matter</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00162F"/>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00162F"/>
        </w:rPr>
        <w:t>Sufficiency of audit evidence over the realizability of tax net operating loss and other carryforwards</w:t>
      </w:r>
    </w:p>
    <w:p>
      <w:pPr>
        <w:spacing w:after="0" w:line="95" w:lineRule="exact"/>
        <w:rPr>
          <w:sz w:val="20"/>
          <w:szCs w:val="20"/>
          <w:color w:val="auto"/>
        </w:rPr>
      </w:pPr>
    </w:p>
    <w:p>
      <w:pPr>
        <w:jc w:val="both"/>
        <w:ind w:left="360"/>
        <w:spacing w:after="0" w:line="254" w:lineRule="auto"/>
        <w:rPr>
          <w:sz w:val="20"/>
          <w:szCs w:val="20"/>
          <w:color w:val="auto"/>
        </w:rPr>
      </w:pPr>
      <w:r>
        <w:rPr>
          <w:rFonts w:ascii="Arial" w:cs="Arial" w:eastAsia="Arial" w:hAnsi="Arial"/>
          <w:sz w:val="20"/>
          <w:szCs w:val="20"/>
          <w:color w:val="00162F"/>
        </w:rPr>
        <w:t>As discussed in Notes 1(i) and 6 to the consolidated financial statements, the Company had $4.1 billion of tax net operating loss and other carryforwards, which are recorded as deferred tax assets at December 31, 2025. Deferred tax assets are recognized related to tax net operating loss and other carryforwards that will reduce future taxable income. The Company provides a valuation allowance for deferred tax assets when it is more likely than not that some portion, or all of the deferred tax assets, will not be realized. In evaluating the need for a valuation allowance, management considers the weighting of all available positive and negative evidence.</w:t>
      </w:r>
    </w:p>
    <w:p>
      <w:pPr>
        <w:spacing w:after="0" w:line="143" w:lineRule="exact"/>
        <w:rPr>
          <w:sz w:val="20"/>
          <w:szCs w:val="20"/>
          <w:color w:val="auto"/>
        </w:rPr>
      </w:pPr>
    </w:p>
    <w:p>
      <w:pPr>
        <w:jc w:val="both"/>
        <w:ind w:left="360"/>
        <w:spacing w:after="0" w:line="259" w:lineRule="auto"/>
        <w:rPr>
          <w:sz w:val="20"/>
          <w:szCs w:val="20"/>
          <w:color w:val="auto"/>
        </w:rPr>
      </w:pPr>
      <w:r>
        <w:rPr>
          <w:rFonts w:ascii="Arial" w:cs="Arial" w:eastAsia="Arial" w:hAnsi="Arial"/>
          <w:sz w:val="20"/>
          <w:szCs w:val="20"/>
          <w:color w:val="00162F"/>
        </w:rPr>
        <w:t>We identified the evaluation of the sufficiency of audit evidence over the realizability of federal tax net operating loss and other carryforwards as a critical audit matter. Evaluating the sufficiency of audit evidence required subjective auditor judgment in order to assess the extent of procedures performed in assessing the realizability of the federal tax net operating loss and other carryforwards.</w:t>
      </w:r>
    </w:p>
    <w:p>
      <w:pPr>
        <w:spacing w:after="0" w:line="136" w:lineRule="exact"/>
        <w:rPr>
          <w:sz w:val="20"/>
          <w:szCs w:val="20"/>
          <w:color w:val="auto"/>
        </w:rPr>
      </w:pPr>
    </w:p>
    <w:p>
      <w:pPr>
        <w:jc w:val="both"/>
        <w:ind w:left="360"/>
        <w:spacing w:after="0" w:line="252" w:lineRule="auto"/>
        <w:rPr>
          <w:sz w:val="20"/>
          <w:szCs w:val="20"/>
          <w:color w:val="auto"/>
        </w:rPr>
      </w:pPr>
      <w:r>
        <w:rPr>
          <w:rFonts w:ascii="Arial" w:cs="Arial" w:eastAsia="Arial" w:hAnsi="Arial"/>
          <w:sz w:val="20"/>
          <w:szCs w:val="20"/>
          <w:color w:val="00162F"/>
        </w:rPr>
        <w:t>The following are the primary procedures we performed to address this critical audit matter. We evaluated the design and tested the operating effectiveness of certain internal controls related to the Company’s deferred tax asset valuation allowance process, including controls related to the realizability of federal tax net operating loss and other carryforwards. We evaluated positive and negative evidence used in assessing whether the federal tax net operating loss and other carryforwards were more likely than not to be realized in the future. We evaluated the reasonableness of management’s projections of future profitability considering historical profitability of the Company, and consistency with industry data. We involved tax professionals with specialized skills and knowledge, who assisted in evaluating the application of tax law. We assessed the sufficiency of audit evidence obtained over the realizability of the federal tax net operating loss and other carryforwards by evaluating the cumulative results of the audit procedures.</w:t>
      </w:r>
    </w:p>
    <w:p>
      <w:pPr>
        <w:spacing w:after="0" w:line="143"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20"/>
          <w:szCs w:val="20"/>
          <w:color w:val="00162F"/>
        </w:rPr>
        <w:t>/s/</w:t>
        <w:tab/>
        <w:t>KPMG LLP</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00162F"/>
        </w:rPr>
        <w:t>We have served as the Company’s auditor since 2014.</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0162F"/>
        </w:rPr>
        <w:t>Dallas, Texas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0162F"/>
        </w:rPr>
        <w:t>February 18, 2026</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82</w:t>
      </w:r>
    </w:p>
    <w:p>
      <w:pPr>
        <w:sectPr>
          <w:pgSz w:w="11880" w:h="15480" w:orient="portrait"/>
          <w:cols w:equalWidth="0" w:num="1">
            <w:col w:w="10680"/>
          </w:cols>
          <w:pgMar w:left="600" w:top="994" w:right="600" w:bottom="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20"/>
          <w:szCs w:val="20"/>
          <w:b w:val="1"/>
          <w:bCs w:val="1"/>
          <w:color w:val="00162F"/>
        </w:rPr>
        <w:t>AMERICAN AIRLINES GROUP INC.</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00162F"/>
        </w:rPr>
        <w:t>CONSOLIDATED STATEMENTS OF OPERATIONS</w:t>
      </w:r>
    </w:p>
    <w:p>
      <w:pPr>
        <w:spacing w:after="0" w:line="8"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00162F"/>
        </w:rPr>
        <w:t>(In millions, except share and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3040" w:type="dxa"/>
            <w:vAlign w:val="bottom"/>
            <w:tcBorders>
              <w:bottom w:val="single" w:sz="8" w:color="00162F"/>
            </w:tcBorders>
            <w:gridSpan w:val="6"/>
          </w:tcPr>
          <w:p>
            <w:pPr>
              <w:jc w:val="right"/>
              <w:ind w:right="18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42"/>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62"/>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2"/>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Operating revenues: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r>
      <w:tr>
        <w:trPr>
          <w:trHeight w:val="293"/>
        </w:trPr>
        <w:tc>
          <w:tcPr>
            <w:tcW w:w="6220" w:type="dxa"/>
            <w:vAlign w:val="bottom"/>
          </w:tcPr>
          <w:p>
            <w:pPr>
              <w:ind w:left="400"/>
              <w:spacing w:after="0"/>
              <w:rPr>
                <w:sz w:val="20"/>
                <w:szCs w:val="20"/>
                <w:color w:val="auto"/>
              </w:rPr>
            </w:pPr>
            <w:r>
              <w:rPr>
                <w:rFonts w:ascii="Arial" w:cs="Arial" w:eastAsia="Arial" w:hAnsi="Arial"/>
                <w:sz w:val="20"/>
                <w:szCs w:val="20"/>
                <w:color w:val="00162F"/>
              </w:rPr>
              <w:t>Passenger</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49,643</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49,586</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48,512</w:t>
            </w:r>
          </w:p>
        </w:tc>
      </w:tr>
      <w:tr>
        <w:trPr>
          <w:trHeight w:val="301"/>
        </w:trPr>
        <w:tc>
          <w:tcPr>
            <w:tcW w:w="622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Cargo</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839</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804</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812</w:t>
            </w:r>
          </w:p>
        </w:tc>
      </w:tr>
      <w:tr>
        <w:trPr>
          <w:trHeight w:val="287"/>
        </w:trPr>
        <w:tc>
          <w:tcPr>
            <w:tcW w:w="6220" w:type="dxa"/>
            <w:vAlign w:val="bottom"/>
            <w:tcBorders>
              <w:bottom w:val="single" w:sz="8" w:color="EDEDED"/>
            </w:tcBorders>
          </w:tcPr>
          <w:p>
            <w:pPr>
              <w:ind w:left="400"/>
              <w:spacing w:after="0"/>
              <w:rPr>
                <w:sz w:val="20"/>
                <w:szCs w:val="20"/>
                <w:color w:val="auto"/>
              </w:rPr>
            </w:pPr>
            <w:r>
              <w:rPr>
                <w:rFonts w:ascii="Arial" w:cs="Arial" w:eastAsia="Arial" w:hAnsi="Arial"/>
                <w:sz w:val="20"/>
                <w:szCs w:val="20"/>
                <w:color w:val="00162F"/>
              </w:rPr>
              <w:t>Other</w:t>
            </w: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4,151</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2"/>
              <w:spacing w:after="0"/>
              <w:rPr>
                <w:sz w:val="20"/>
                <w:szCs w:val="20"/>
                <w:color w:val="auto"/>
              </w:rPr>
            </w:pPr>
            <w:r>
              <w:rPr>
                <w:rFonts w:ascii="Arial" w:cs="Arial" w:eastAsia="Arial" w:hAnsi="Arial"/>
                <w:sz w:val="20"/>
                <w:szCs w:val="20"/>
                <w:color w:val="00162F"/>
              </w:rPr>
              <w:t>3,821</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3,464</w:t>
            </w:r>
          </w:p>
        </w:tc>
      </w:tr>
      <w:tr>
        <w:trPr>
          <w:trHeight w:val="287"/>
        </w:trPr>
        <w:tc>
          <w:tcPr>
            <w:tcW w:w="6220" w:type="dxa"/>
            <w:vAlign w:val="bottom"/>
            <w:shd w:val="clear" w:color="auto" w:fill="EDEDED"/>
          </w:tcPr>
          <w:p>
            <w:pPr>
              <w:ind w:left="620"/>
              <w:spacing w:after="0"/>
              <w:rPr>
                <w:sz w:val="20"/>
                <w:szCs w:val="20"/>
                <w:color w:val="auto"/>
              </w:rPr>
            </w:pPr>
            <w:r>
              <w:rPr>
                <w:rFonts w:ascii="Arial" w:cs="Arial" w:eastAsia="Arial" w:hAnsi="Arial"/>
                <w:sz w:val="20"/>
                <w:szCs w:val="20"/>
                <w:color w:val="00162F"/>
              </w:rPr>
              <w:t>Total operating revenues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54,633</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54,211</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52,788</w:t>
            </w:r>
          </w:p>
        </w:tc>
      </w:tr>
      <w:tr>
        <w:trPr>
          <w:trHeight w:val="297"/>
        </w:trPr>
        <w:tc>
          <w:tcPr>
            <w:tcW w:w="6220" w:type="dxa"/>
            <w:vAlign w:val="bottom"/>
          </w:tcPr>
          <w:p>
            <w:pPr>
              <w:ind w:left="40"/>
              <w:spacing w:after="0"/>
              <w:rPr>
                <w:sz w:val="20"/>
                <w:szCs w:val="20"/>
                <w:color w:val="auto"/>
              </w:rPr>
            </w:pPr>
            <w:r>
              <w:rPr>
                <w:rFonts w:ascii="Arial" w:cs="Arial" w:eastAsia="Arial" w:hAnsi="Arial"/>
                <w:sz w:val="20"/>
                <w:szCs w:val="20"/>
                <w:b w:val="1"/>
                <w:bCs w:val="1"/>
                <w:color w:val="00162F"/>
              </w:rPr>
              <w:t>Operating expenses: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622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Aircraft fuel and related taxes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10,718</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11,418</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12,257</w:t>
            </w:r>
          </w:p>
        </w:tc>
      </w:tr>
      <w:tr>
        <w:trPr>
          <w:trHeight w:val="293"/>
        </w:trPr>
        <w:tc>
          <w:tcPr>
            <w:tcW w:w="6220" w:type="dxa"/>
            <w:vAlign w:val="bottom"/>
          </w:tcPr>
          <w:p>
            <w:pPr>
              <w:ind w:left="400"/>
              <w:spacing w:after="0"/>
              <w:rPr>
                <w:sz w:val="20"/>
                <w:szCs w:val="20"/>
                <w:color w:val="auto"/>
              </w:rPr>
            </w:pPr>
            <w:r>
              <w:rPr>
                <w:rFonts w:ascii="Arial" w:cs="Arial" w:eastAsia="Arial" w:hAnsi="Arial"/>
                <w:sz w:val="20"/>
                <w:szCs w:val="20"/>
                <w:color w:val="00162F"/>
              </w:rPr>
              <w:t>Salaries, wages and benefits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17,566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16,021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14,580</w:t>
            </w:r>
          </w:p>
        </w:tc>
      </w:tr>
      <w:tr>
        <w:trPr>
          <w:trHeight w:val="301"/>
        </w:trPr>
        <w:tc>
          <w:tcPr>
            <w:tcW w:w="622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Regional expenses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5,448</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5,042</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4,643</w:t>
            </w:r>
          </w:p>
        </w:tc>
      </w:tr>
      <w:tr>
        <w:trPr>
          <w:trHeight w:val="293"/>
        </w:trPr>
        <w:tc>
          <w:tcPr>
            <w:tcW w:w="6220" w:type="dxa"/>
            <w:vAlign w:val="bottom"/>
          </w:tcPr>
          <w:p>
            <w:pPr>
              <w:ind w:left="400"/>
              <w:spacing w:after="0"/>
              <w:rPr>
                <w:sz w:val="20"/>
                <w:szCs w:val="20"/>
                <w:color w:val="auto"/>
              </w:rPr>
            </w:pPr>
            <w:r>
              <w:rPr>
                <w:rFonts w:ascii="Arial" w:cs="Arial" w:eastAsia="Arial" w:hAnsi="Arial"/>
                <w:sz w:val="20"/>
                <w:szCs w:val="20"/>
                <w:color w:val="00162F"/>
              </w:rPr>
              <w:t>Maintenance, materials and repairs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3,844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3,794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3,265</w:t>
            </w:r>
          </w:p>
        </w:tc>
      </w:tr>
      <w:tr>
        <w:trPr>
          <w:trHeight w:val="301"/>
        </w:trPr>
        <w:tc>
          <w:tcPr>
            <w:tcW w:w="622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Other rent and landing fees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3,476</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3,303</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2,928</w:t>
            </w:r>
          </w:p>
        </w:tc>
      </w:tr>
      <w:tr>
        <w:trPr>
          <w:trHeight w:val="293"/>
        </w:trPr>
        <w:tc>
          <w:tcPr>
            <w:tcW w:w="6220" w:type="dxa"/>
            <w:vAlign w:val="bottom"/>
          </w:tcPr>
          <w:p>
            <w:pPr>
              <w:ind w:left="400"/>
              <w:spacing w:after="0"/>
              <w:rPr>
                <w:sz w:val="20"/>
                <w:szCs w:val="20"/>
                <w:color w:val="auto"/>
              </w:rPr>
            </w:pPr>
            <w:r>
              <w:rPr>
                <w:rFonts w:ascii="Arial" w:cs="Arial" w:eastAsia="Arial" w:hAnsi="Arial"/>
                <w:sz w:val="20"/>
                <w:szCs w:val="20"/>
                <w:color w:val="00162F"/>
              </w:rPr>
              <w:t>Aircraft rent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1,220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1,242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1,369</w:t>
            </w:r>
          </w:p>
        </w:tc>
      </w:tr>
      <w:tr>
        <w:trPr>
          <w:trHeight w:val="301"/>
        </w:trPr>
        <w:tc>
          <w:tcPr>
            <w:tcW w:w="622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Selling expenses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1,997</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1,812</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1,799</w:t>
            </w:r>
          </w:p>
        </w:tc>
      </w:tr>
      <w:tr>
        <w:trPr>
          <w:trHeight w:val="293"/>
        </w:trPr>
        <w:tc>
          <w:tcPr>
            <w:tcW w:w="6220" w:type="dxa"/>
            <w:vAlign w:val="bottom"/>
          </w:tcPr>
          <w:p>
            <w:pPr>
              <w:ind w:left="400"/>
              <w:spacing w:after="0"/>
              <w:rPr>
                <w:sz w:val="20"/>
                <w:szCs w:val="20"/>
                <w:color w:val="auto"/>
              </w:rPr>
            </w:pPr>
            <w:r>
              <w:rPr>
                <w:rFonts w:ascii="Arial" w:cs="Arial" w:eastAsia="Arial" w:hAnsi="Arial"/>
                <w:sz w:val="20"/>
                <w:szCs w:val="20"/>
                <w:color w:val="00162F"/>
              </w:rPr>
              <w:t>Depreciation and amortization</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1,890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1,926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1,936</w:t>
            </w:r>
          </w:p>
        </w:tc>
      </w:tr>
      <w:tr>
        <w:trPr>
          <w:trHeight w:val="301"/>
        </w:trPr>
        <w:tc>
          <w:tcPr>
            <w:tcW w:w="622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Special items, net</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159</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610</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971</w:t>
            </w:r>
          </w:p>
        </w:tc>
      </w:tr>
      <w:tr>
        <w:trPr>
          <w:trHeight w:val="287"/>
        </w:trPr>
        <w:tc>
          <w:tcPr>
            <w:tcW w:w="6220" w:type="dxa"/>
            <w:vAlign w:val="bottom"/>
            <w:tcBorders>
              <w:bottom w:val="single" w:sz="8" w:color="EDEDED"/>
            </w:tcBorders>
          </w:tcPr>
          <w:p>
            <w:pPr>
              <w:ind w:left="400"/>
              <w:spacing w:after="0"/>
              <w:rPr>
                <w:sz w:val="20"/>
                <w:szCs w:val="20"/>
                <w:color w:val="auto"/>
              </w:rPr>
            </w:pPr>
            <w:r>
              <w:rPr>
                <w:rFonts w:ascii="Arial" w:cs="Arial" w:eastAsia="Arial" w:hAnsi="Arial"/>
                <w:sz w:val="20"/>
                <w:szCs w:val="20"/>
                <w:color w:val="00162F"/>
              </w:rPr>
              <w:t>Other</w:t>
            </w: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6,848</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2"/>
              <w:spacing w:after="0"/>
              <w:rPr>
                <w:sz w:val="20"/>
                <w:szCs w:val="20"/>
                <w:color w:val="auto"/>
              </w:rPr>
            </w:pPr>
            <w:r>
              <w:rPr>
                <w:rFonts w:ascii="Arial" w:cs="Arial" w:eastAsia="Arial" w:hAnsi="Arial"/>
                <w:sz w:val="20"/>
                <w:szCs w:val="20"/>
                <w:color w:val="00162F"/>
              </w:rPr>
              <w:t>6,429</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6,006</w:t>
            </w:r>
          </w:p>
        </w:tc>
      </w:tr>
      <w:tr>
        <w:trPr>
          <w:trHeight w:val="297"/>
        </w:trPr>
        <w:tc>
          <w:tcPr>
            <w:tcW w:w="6220" w:type="dxa"/>
            <w:vAlign w:val="bottom"/>
            <w:tcBorders>
              <w:bottom w:val="single" w:sz="8" w:color="EDEDED"/>
            </w:tcBorders>
            <w:shd w:val="clear" w:color="auto" w:fill="EDEDED"/>
          </w:tcPr>
          <w:p>
            <w:pPr>
              <w:ind w:left="640"/>
              <w:spacing w:after="0"/>
              <w:rPr>
                <w:sz w:val="20"/>
                <w:szCs w:val="20"/>
                <w:color w:val="auto"/>
              </w:rPr>
            </w:pPr>
            <w:r>
              <w:rPr>
                <w:rFonts w:ascii="Arial" w:cs="Arial" w:eastAsia="Arial" w:hAnsi="Arial"/>
                <w:sz w:val="20"/>
                <w:szCs w:val="20"/>
                <w:color w:val="00162F"/>
              </w:rPr>
              <w:t>Total operating expenses</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53,166</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2"/>
              <w:spacing w:after="0"/>
              <w:rPr>
                <w:sz w:val="20"/>
                <w:szCs w:val="20"/>
                <w:color w:val="auto"/>
              </w:rPr>
            </w:pPr>
            <w:r>
              <w:rPr>
                <w:rFonts w:ascii="Arial" w:cs="Arial" w:eastAsia="Arial" w:hAnsi="Arial"/>
                <w:sz w:val="20"/>
                <w:szCs w:val="20"/>
                <w:color w:val="00162F"/>
              </w:rPr>
              <w:t>51,597</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49,754</w:t>
            </w:r>
          </w:p>
        </w:tc>
      </w:tr>
      <w:tr>
        <w:trPr>
          <w:trHeight w:val="257"/>
        </w:trPr>
        <w:tc>
          <w:tcPr>
            <w:tcW w:w="6220" w:type="dxa"/>
            <w:vAlign w:val="bottom"/>
            <w:tcBorders>
              <w:bottom w:val="single" w:sz="8" w:color="EDEDED"/>
            </w:tcBorders>
          </w:tcPr>
          <w:p>
            <w:pPr>
              <w:ind w:left="40"/>
              <w:spacing w:after="0"/>
              <w:rPr>
                <w:sz w:val="20"/>
                <w:szCs w:val="20"/>
                <w:color w:val="auto"/>
              </w:rPr>
            </w:pPr>
            <w:r>
              <w:rPr>
                <w:rFonts w:ascii="Arial" w:cs="Arial" w:eastAsia="Arial" w:hAnsi="Arial"/>
                <w:sz w:val="20"/>
                <w:szCs w:val="20"/>
                <w:b w:val="1"/>
                <w:bCs w:val="1"/>
                <w:color w:val="00162F"/>
              </w:rPr>
              <w:t>Operating income</w:t>
            </w:r>
          </w:p>
        </w:tc>
        <w:tc>
          <w:tcPr>
            <w:tcW w:w="340" w:type="dxa"/>
            <w:vAlign w:val="bottom"/>
            <w:tcBorders>
              <w:bottom w:val="single" w:sz="8" w:color="00162F"/>
            </w:tcBorders>
          </w:tcPr>
          <w:p>
            <w:pPr>
              <w:spacing w:after="0"/>
              <w:rPr>
                <w:sz w:val="22"/>
                <w:szCs w:val="22"/>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1,467</w:t>
            </w:r>
          </w:p>
        </w:tc>
        <w:tc>
          <w:tcPr>
            <w:tcW w:w="80" w:type="dxa"/>
            <w:vAlign w:val="bottom"/>
            <w:tcBorders>
              <w:bottom w:val="single" w:sz="8" w:color="EDEDED"/>
            </w:tcBorders>
          </w:tcPr>
          <w:p>
            <w:pPr>
              <w:spacing w:after="0"/>
              <w:rPr>
                <w:sz w:val="22"/>
                <w:szCs w:val="22"/>
                <w:color w:val="auto"/>
              </w:rPr>
            </w:pPr>
          </w:p>
        </w:tc>
        <w:tc>
          <w:tcPr>
            <w:tcW w:w="340" w:type="dxa"/>
            <w:vAlign w:val="bottom"/>
            <w:tcBorders>
              <w:bottom w:val="single" w:sz="8" w:color="00162F"/>
            </w:tcBorders>
          </w:tcPr>
          <w:p>
            <w:pPr>
              <w:spacing w:after="0"/>
              <w:rPr>
                <w:sz w:val="22"/>
                <w:szCs w:val="22"/>
                <w:color w:val="auto"/>
              </w:rPr>
            </w:pPr>
          </w:p>
        </w:tc>
        <w:tc>
          <w:tcPr>
            <w:tcW w:w="1100" w:type="dxa"/>
            <w:vAlign w:val="bottom"/>
            <w:tcBorders>
              <w:bottom w:val="single" w:sz="8" w:color="00162F"/>
            </w:tcBorders>
          </w:tcPr>
          <w:p>
            <w:pPr>
              <w:jc w:val="right"/>
              <w:ind w:right="2"/>
              <w:spacing w:after="0"/>
              <w:rPr>
                <w:sz w:val="20"/>
                <w:szCs w:val="20"/>
                <w:color w:val="auto"/>
              </w:rPr>
            </w:pPr>
            <w:r>
              <w:rPr>
                <w:rFonts w:ascii="Arial" w:cs="Arial" w:eastAsia="Arial" w:hAnsi="Arial"/>
                <w:sz w:val="20"/>
                <w:szCs w:val="20"/>
                <w:color w:val="00162F"/>
              </w:rPr>
              <w:t>2,614</w:t>
            </w:r>
          </w:p>
        </w:tc>
        <w:tc>
          <w:tcPr>
            <w:tcW w:w="60" w:type="dxa"/>
            <w:vAlign w:val="bottom"/>
            <w:tcBorders>
              <w:bottom w:val="single" w:sz="8" w:color="EDEDED"/>
            </w:tcBorders>
          </w:tcPr>
          <w:p>
            <w:pPr>
              <w:spacing w:after="0"/>
              <w:rPr>
                <w:sz w:val="22"/>
                <w:szCs w:val="22"/>
                <w:color w:val="auto"/>
              </w:rPr>
            </w:pPr>
          </w:p>
        </w:tc>
        <w:tc>
          <w:tcPr>
            <w:tcW w:w="360" w:type="dxa"/>
            <w:vAlign w:val="bottom"/>
            <w:tcBorders>
              <w:bottom w:val="single" w:sz="8" w:color="00162F"/>
            </w:tcBorders>
          </w:tcPr>
          <w:p>
            <w:pPr>
              <w:spacing w:after="0"/>
              <w:rPr>
                <w:sz w:val="22"/>
                <w:szCs w:val="22"/>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3,034</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Nonoperating income (expense):</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r>
      <w:tr>
        <w:trPr>
          <w:trHeight w:val="293"/>
        </w:trPr>
        <w:tc>
          <w:tcPr>
            <w:tcW w:w="6220" w:type="dxa"/>
            <w:vAlign w:val="bottom"/>
          </w:tcPr>
          <w:p>
            <w:pPr>
              <w:ind w:left="400"/>
              <w:spacing w:after="0"/>
              <w:rPr>
                <w:sz w:val="20"/>
                <w:szCs w:val="20"/>
                <w:color w:val="auto"/>
              </w:rPr>
            </w:pPr>
            <w:r>
              <w:rPr>
                <w:rFonts w:ascii="Arial" w:cs="Arial" w:eastAsia="Arial" w:hAnsi="Arial"/>
                <w:sz w:val="20"/>
                <w:szCs w:val="20"/>
                <w:color w:val="00162F"/>
              </w:rPr>
              <w:t>Interest income</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357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468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591</w:t>
            </w:r>
          </w:p>
        </w:tc>
      </w:tr>
      <w:tr>
        <w:trPr>
          <w:trHeight w:val="301"/>
        </w:trPr>
        <w:tc>
          <w:tcPr>
            <w:tcW w:w="622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Interest expense, net</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(1,716)</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(1,934)</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(2,145)</w:t>
            </w:r>
          </w:p>
        </w:tc>
      </w:tr>
      <w:tr>
        <w:trPr>
          <w:trHeight w:val="287"/>
        </w:trPr>
        <w:tc>
          <w:tcPr>
            <w:tcW w:w="6220" w:type="dxa"/>
            <w:vAlign w:val="bottom"/>
            <w:tcBorders>
              <w:bottom w:val="single" w:sz="8" w:color="EDEDED"/>
            </w:tcBorders>
          </w:tcPr>
          <w:p>
            <w:pPr>
              <w:ind w:left="400"/>
              <w:spacing w:after="0"/>
              <w:rPr>
                <w:sz w:val="20"/>
                <w:szCs w:val="20"/>
                <w:color w:val="auto"/>
              </w:rPr>
            </w:pPr>
            <w:r>
              <w:rPr>
                <w:rFonts w:ascii="Arial" w:cs="Arial" w:eastAsia="Arial" w:hAnsi="Arial"/>
                <w:sz w:val="20"/>
                <w:szCs w:val="20"/>
                <w:color w:val="00162F"/>
              </w:rPr>
              <w:t>Other income (expense), net</w:t>
            </w: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82</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2"/>
              <w:spacing w:after="0"/>
              <w:rPr>
                <w:sz w:val="20"/>
                <w:szCs w:val="20"/>
                <w:color w:val="auto"/>
              </w:rPr>
            </w:pPr>
            <w:r>
              <w:rPr>
                <w:rFonts w:ascii="Arial" w:cs="Arial" w:eastAsia="Arial" w:hAnsi="Arial"/>
                <w:sz w:val="20"/>
                <w:szCs w:val="20"/>
                <w:color w:val="00162F"/>
              </w:rPr>
              <w:t>6</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(359)</w:t>
            </w:r>
          </w:p>
        </w:tc>
      </w:tr>
      <w:tr>
        <w:trPr>
          <w:trHeight w:val="297"/>
        </w:trPr>
        <w:tc>
          <w:tcPr>
            <w:tcW w:w="622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20"/>
                <w:szCs w:val="20"/>
                <w:color w:val="00162F"/>
              </w:rPr>
              <w:t>Total nonoperating expense, net</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(1,277)</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(1,460)</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(1,913)</w:t>
            </w:r>
          </w:p>
        </w:tc>
      </w:tr>
      <w:tr>
        <w:trPr>
          <w:trHeight w:val="267"/>
        </w:trPr>
        <w:tc>
          <w:tcPr>
            <w:tcW w:w="6220" w:type="dxa"/>
            <w:vAlign w:val="bottom"/>
          </w:tcPr>
          <w:p>
            <w:pPr>
              <w:ind w:left="40"/>
              <w:spacing w:after="0"/>
              <w:rPr>
                <w:sz w:val="20"/>
                <w:szCs w:val="20"/>
                <w:color w:val="auto"/>
              </w:rPr>
            </w:pPr>
            <w:r>
              <w:rPr>
                <w:rFonts w:ascii="Arial" w:cs="Arial" w:eastAsia="Arial" w:hAnsi="Arial"/>
                <w:sz w:val="20"/>
                <w:szCs w:val="20"/>
                <w:b w:val="1"/>
                <w:bCs w:val="1"/>
                <w:color w:val="00162F"/>
              </w:rPr>
              <w:t>Income before income taxes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190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1,154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1,121</w:t>
            </w:r>
          </w:p>
        </w:tc>
      </w:tr>
      <w:tr>
        <w:trPr>
          <w:trHeight w:val="307"/>
        </w:trPr>
        <w:tc>
          <w:tcPr>
            <w:tcW w:w="6220" w:type="dxa"/>
            <w:vAlign w:val="bottom"/>
            <w:tcBorders>
              <w:bottom w:val="single" w:sz="8" w:color="EDEDED"/>
            </w:tcBorders>
            <w:shd w:val="clear" w:color="auto" w:fill="EDEDED"/>
          </w:tcPr>
          <w:p>
            <w:pPr>
              <w:ind w:left="400"/>
              <w:spacing w:after="0"/>
              <w:rPr>
                <w:sz w:val="20"/>
                <w:szCs w:val="20"/>
                <w:color w:val="auto"/>
              </w:rPr>
            </w:pPr>
            <w:r>
              <w:rPr>
                <w:rFonts w:ascii="Arial" w:cs="Arial" w:eastAsia="Arial" w:hAnsi="Arial"/>
                <w:sz w:val="20"/>
                <w:szCs w:val="20"/>
                <w:color w:val="00162F"/>
              </w:rPr>
              <w:t>Income tax provision</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79</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2"/>
              <w:spacing w:after="0"/>
              <w:rPr>
                <w:sz w:val="20"/>
                <w:szCs w:val="20"/>
                <w:color w:val="auto"/>
              </w:rPr>
            </w:pPr>
            <w:r>
              <w:rPr>
                <w:rFonts w:ascii="Arial" w:cs="Arial" w:eastAsia="Arial" w:hAnsi="Arial"/>
                <w:sz w:val="20"/>
                <w:szCs w:val="20"/>
                <w:color w:val="00162F"/>
              </w:rPr>
              <w:t>308</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299</w:t>
            </w:r>
          </w:p>
        </w:tc>
      </w:tr>
      <w:tr>
        <w:trPr>
          <w:trHeight w:val="277"/>
        </w:trPr>
        <w:tc>
          <w:tcPr>
            <w:tcW w:w="6220" w:type="dxa"/>
            <w:vAlign w:val="bottom"/>
          </w:tcPr>
          <w:p>
            <w:pPr>
              <w:ind w:left="40"/>
              <w:spacing w:after="0"/>
              <w:rPr>
                <w:sz w:val="20"/>
                <w:szCs w:val="20"/>
                <w:color w:val="auto"/>
              </w:rPr>
            </w:pPr>
            <w:r>
              <w:rPr>
                <w:rFonts w:ascii="Arial" w:cs="Arial" w:eastAsia="Arial" w:hAnsi="Arial"/>
                <w:sz w:val="20"/>
                <w:szCs w:val="20"/>
                <w:b w:val="1"/>
                <w:bCs w:val="1"/>
                <w:color w:val="00162F"/>
              </w:rPr>
              <w:t>Net income</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111</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846</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822</w:t>
            </w:r>
          </w:p>
        </w:tc>
      </w:tr>
      <w:tr>
        <w:trPr>
          <w:trHeight w:val="267"/>
        </w:trPr>
        <w:tc>
          <w:tcPr>
            <w:tcW w:w="6220" w:type="dxa"/>
            <w:vAlign w:val="bottom"/>
            <w:tcBorders>
              <w:top w:val="single" w:sz="8" w:color="EDEDED"/>
            </w:tcBorders>
            <w:shd w:val="clear" w:color="auto" w:fill="EDEDED"/>
          </w:tcPr>
          <w:p>
            <w:pPr>
              <w:spacing w:after="0"/>
              <w:rPr>
                <w:sz w:val="23"/>
                <w:szCs w:val="23"/>
                <w:color w:val="auto"/>
              </w:rPr>
            </w:pPr>
          </w:p>
        </w:tc>
        <w:tc>
          <w:tcPr>
            <w:tcW w:w="340" w:type="dxa"/>
            <w:vAlign w:val="bottom"/>
            <w:tcBorders>
              <w:top w:val="single" w:sz="8" w:color="00162F"/>
            </w:tcBorders>
            <w:shd w:val="clear" w:color="auto" w:fill="EDEDED"/>
          </w:tcPr>
          <w:p>
            <w:pPr>
              <w:spacing w:after="0"/>
              <w:rPr>
                <w:sz w:val="23"/>
                <w:szCs w:val="23"/>
                <w:color w:val="auto"/>
              </w:rPr>
            </w:pPr>
          </w:p>
        </w:tc>
        <w:tc>
          <w:tcPr>
            <w:tcW w:w="1100" w:type="dxa"/>
            <w:vAlign w:val="bottom"/>
            <w:tcBorders>
              <w:top w:val="single" w:sz="8" w:color="00162F"/>
            </w:tcBorders>
            <w:shd w:val="clear" w:color="auto" w:fill="EDEDED"/>
          </w:tcPr>
          <w:p>
            <w:pPr>
              <w:spacing w:after="0"/>
              <w:rPr>
                <w:sz w:val="23"/>
                <w:szCs w:val="23"/>
                <w:color w:val="auto"/>
              </w:rPr>
            </w:pPr>
          </w:p>
        </w:tc>
        <w:tc>
          <w:tcPr>
            <w:tcW w:w="80" w:type="dxa"/>
            <w:vAlign w:val="bottom"/>
            <w:tcBorders>
              <w:top w:val="single" w:sz="8" w:color="EDEDED"/>
            </w:tcBorders>
            <w:shd w:val="clear" w:color="auto" w:fill="EDEDED"/>
          </w:tcPr>
          <w:p>
            <w:pPr>
              <w:spacing w:after="0"/>
              <w:rPr>
                <w:sz w:val="23"/>
                <w:szCs w:val="23"/>
                <w:color w:val="auto"/>
              </w:rPr>
            </w:pPr>
          </w:p>
        </w:tc>
        <w:tc>
          <w:tcPr>
            <w:tcW w:w="340" w:type="dxa"/>
            <w:vAlign w:val="bottom"/>
            <w:tcBorders>
              <w:top w:val="single" w:sz="8" w:color="00162F"/>
            </w:tcBorders>
            <w:shd w:val="clear" w:color="auto" w:fill="EDEDED"/>
          </w:tcPr>
          <w:p>
            <w:pPr>
              <w:spacing w:after="0"/>
              <w:rPr>
                <w:sz w:val="23"/>
                <w:szCs w:val="23"/>
                <w:color w:val="auto"/>
              </w:rPr>
            </w:pPr>
          </w:p>
        </w:tc>
        <w:tc>
          <w:tcPr>
            <w:tcW w:w="1100" w:type="dxa"/>
            <w:vAlign w:val="bottom"/>
            <w:tcBorders>
              <w:top w:val="single" w:sz="8" w:color="00162F"/>
            </w:tcBorders>
            <w:shd w:val="clear" w:color="auto" w:fill="EDEDED"/>
          </w:tcPr>
          <w:p>
            <w:pPr>
              <w:spacing w:after="0"/>
              <w:rPr>
                <w:sz w:val="23"/>
                <w:szCs w:val="23"/>
                <w:color w:val="auto"/>
              </w:rPr>
            </w:pPr>
          </w:p>
        </w:tc>
        <w:tc>
          <w:tcPr>
            <w:tcW w:w="60" w:type="dxa"/>
            <w:vAlign w:val="bottom"/>
            <w:tcBorders>
              <w:top w:val="single" w:sz="8" w:color="EDEDED"/>
            </w:tcBorders>
            <w:shd w:val="clear" w:color="auto" w:fill="EDEDED"/>
          </w:tcPr>
          <w:p>
            <w:pPr>
              <w:spacing w:after="0"/>
              <w:rPr>
                <w:sz w:val="23"/>
                <w:szCs w:val="23"/>
                <w:color w:val="auto"/>
              </w:rPr>
            </w:pPr>
          </w:p>
        </w:tc>
        <w:tc>
          <w:tcPr>
            <w:tcW w:w="360" w:type="dxa"/>
            <w:vAlign w:val="bottom"/>
            <w:tcBorders>
              <w:top w:val="single" w:sz="8" w:color="00162F"/>
            </w:tcBorders>
            <w:shd w:val="clear" w:color="auto" w:fill="EDEDED"/>
          </w:tcPr>
          <w:p>
            <w:pPr>
              <w:spacing w:after="0"/>
              <w:rPr>
                <w:sz w:val="23"/>
                <w:szCs w:val="23"/>
                <w:color w:val="auto"/>
              </w:rPr>
            </w:pPr>
          </w:p>
        </w:tc>
        <w:tc>
          <w:tcPr>
            <w:tcW w:w="1080" w:type="dxa"/>
            <w:vAlign w:val="bottom"/>
            <w:tcBorders>
              <w:top w:val="single" w:sz="8" w:color="00162F"/>
            </w:tcBorders>
            <w:shd w:val="clear" w:color="auto" w:fill="EDEDED"/>
          </w:tcPr>
          <w:p>
            <w:pPr>
              <w:spacing w:after="0"/>
              <w:rPr>
                <w:sz w:val="23"/>
                <w:szCs w:val="23"/>
                <w:color w:val="auto"/>
              </w:rPr>
            </w:pPr>
          </w:p>
        </w:tc>
      </w:tr>
      <w:tr>
        <w:trPr>
          <w:trHeight w:val="297"/>
        </w:trPr>
        <w:tc>
          <w:tcPr>
            <w:tcW w:w="6220" w:type="dxa"/>
            <w:vAlign w:val="bottom"/>
          </w:tcPr>
          <w:p>
            <w:pPr>
              <w:ind w:left="40"/>
              <w:spacing w:after="0"/>
              <w:rPr>
                <w:sz w:val="20"/>
                <w:szCs w:val="20"/>
                <w:color w:val="auto"/>
              </w:rPr>
            </w:pPr>
            <w:r>
              <w:rPr>
                <w:rFonts w:ascii="Arial" w:cs="Arial" w:eastAsia="Arial" w:hAnsi="Arial"/>
                <w:sz w:val="20"/>
                <w:szCs w:val="20"/>
                <w:b w:val="1"/>
                <w:bCs w:val="1"/>
                <w:color w:val="00162F"/>
              </w:rPr>
              <w:t>Earnings per common share: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622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Basic</w:t>
            </w:r>
          </w:p>
        </w:tc>
        <w:tc>
          <w:tcPr>
            <w:tcW w:w="340" w:type="dxa"/>
            <w:vAlign w:val="bottom"/>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0.17</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1.29</w:t>
            </w:r>
          </w:p>
        </w:tc>
        <w:tc>
          <w:tcPr>
            <w:tcW w:w="420" w:type="dxa"/>
            <w:vAlign w:val="bottom"/>
            <w:gridSpan w:val="2"/>
            <w:shd w:val="clear" w:color="auto" w:fill="EDEDED"/>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1.26</w:t>
            </w:r>
          </w:p>
        </w:tc>
      </w:tr>
      <w:tr>
        <w:trPr>
          <w:trHeight w:val="293"/>
        </w:trPr>
        <w:tc>
          <w:tcPr>
            <w:tcW w:w="6220" w:type="dxa"/>
            <w:vAlign w:val="bottom"/>
          </w:tcPr>
          <w:p>
            <w:pPr>
              <w:ind w:left="400"/>
              <w:spacing w:after="0"/>
              <w:rPr>
                <w:sz w:val="20"/>
                <w:szCs w:val="20"/>
                <w:color w:val="auto"/>
              </w:rPr>
            </w:pPr>
            <w:r>
              <w:rPr>
                <w:rFonts w:ascii="Arial" w:cs="Arial" w:eastAsia="Arial" w:hAnsi="Arial"/>
                <w:sz w:val="20"/>
                <w:szCs w:val="20"/>
                <w:color w:val="00162F"/>
              </w:rPr>
              <w:t>Diluted</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0.17</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1.24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1.21</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Weighted average shares outstanding (in thousands):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r>
      <w:tr>
        <w:trPr>
          <w:trHeight w:val="293"/>
        </w:trPr>
        <w:tc>
          <w:tcPr>
            <w:tcW w:w="6220" w:type="dxa"/>
            <w:vAlign w:val="bottom"/>
          </w:tcPr>
          <w:p>
            <w:pPr>
              <w:ind w:left="400"/>
              <w:spacing w:after="0"/>
              <w:rPr>
                <w:sz w:val="20"/>
                <w:szCs w:val="20"/>
                <w:color w:val="auto"/>
              </w:rPr>
            </w:pPr>
            <w:r>
              <w:rPr>
                <w:rFonts w:ascii="Arial" w:cs="Arial" w:eastAsia="Arial" w:hAnsi="Arial"/>
                <w:sz w:val="20"/>
                <w:szCs w:val="20"/>
                <w:color w:val="00162F"/>
              </w:rPr>
              <w:t>Basic</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659,964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00162F"/>
              </w:rPr>
              <w:t>656,996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653,612</w:t>
            </w:r>
          </w:p>
        </w:tc>
      </w:tr>
      <w:tr>
        <w:trPr>
          <w:trHeight w:val="301"/>
        </w:trPr>
        <w:tc>
          <w:tcPr>
            <w:tcW w:w="622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Diluted</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661,052</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20"/>
                <w:szCs w:val="20"/>
                <w:color w:val="00162F"/>
              </w:rPr>
              <w:t>721,300</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719,669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-6234430</wp:posOffset>
            </wp:positionV>
            <wp:extent cx="2863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7">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-5480050</wp:posOffset>
            </wp:positionV>
            <wp:extent cx="19361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8">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-3217545</wp:posOffset>
            </wp:positionV>
            <wp:extent cx="19361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9">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-3028950</wp:posOffset>
            </wp:positionV>
            <wp:extent cx="19361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0">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-2840355</wp:posOffset>
            </wp:positionV>
            <wp:extent cx="19361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-2085975</wp:posOffset>
            </wp:positionV>
            <wp:extent cx="19361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2">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-1897380</wp:posOffset>
            </wp:positionV>
            <wp:extent cx="19361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3">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-1520825</wp:posOffset>
            </wp:positionV>
            <wp:extent cx="19361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4">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-1344295</wp:posOffset>
            </wp:positionV>
            <wp:extent cx="286321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5">
                      <a:extLst>
                        <a:ext uri="{28A0092B-C50C-407E-A947-70E740481C1C}"/>
                      </a:extLst>
                    </a:blip>
                    <a:srcRect/>
                    <a:stretch>
                      <a:fillRect/>
                    </a:stretch>
                  </pic:blipFill>
                  <pic:spPr bwMode="auto">
                    <a:xfrm>
                      <a:off x="0" y="0"/>
                      <a:ext cx="2863215" cy="5080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00162F"/>
        </w:rPr>
        <w:t>See accompanying notes to consolidated financial statements.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83</w:t>
      </w:r>
    </w:p>
    <w:p>
      <w:pPr>
        <w:sectPr>
          <w:pgSz w:w="11880" w:h="15480" w:orient="portrait"/>
          <w:cols w:equalWidth="0" w:num="1">
            <w:col w:w="10680"/>
          </w:cols>
          <w:pgMar w:left="600" w:top="992" w:right="600" w:bottom="0" w:gutter="0" w:footer="0" w:header="0"/>
          <w:type w:val="continuous"/>
        </w:sectPr>
      </w:pPr>
    </w:p>
    <w:bookmarkStart w:id="84" w:name="page85"/>
    <w:bookmarkEnd w:id="84"/>
    <w:p>
      <w:pPr>
        <w:jc w:val="center"/>
        <w:spacing w:after="0" w:line="281" w:lineRule="auto"/>
        <w:rPr>
          <w:sz w:val="20"/>
          <w:szCs w:val="20"/>
          <w:color w:val="auto"/>
        </w:rPr>
      </w:pPr>
      <w:r>
        <w:rPr>
          <w:rFonts w:ascii="Arial" w:cs="Arial" w:eastAsia="Arial" w:hAnsi="Arial"/>
          <w:sz w:val="20"/>
          <w:szCs w:val="20"/>
          <w:b w:val="1"/>
          <w:bCs w:val="1"/>
          <w:color w:val="00162F"/>
        </w:rPr>
        <w:t>AMERICAN AIRLINES GROUP INC. CONSOLIDATED STATEMENTS OF COMPREHENSIVE INCOME (In millions)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960" w:type="dxa"/>
            <w:vAlign w:val="bottom"/>
            <w:tcBorders>
              <w:bottom w:val="single" w:sz="8" w:color="00162F"/>
            </w:tcBorders>
          </w:tcPr>
          <w:p>
            <w:pPr>
              <w:spacing w:after="0"/>
              <w:rPr>
                <w:sz w:val="18"/>
                <w:szCs w:val="18"/>
                <w:color w:val="auto"/>
              </w:rPr>
            </w:pPr>
          </w:p>
        </w:tc>
        <w:tc>
          <w:tcPr>
            <w:tcW w:w="2420" w:type="dxa"/>
            <w:vAlign w:val="bottom"/>
            <w:tcBorders>
              <w:bottom w:val="single" w:sz="8" w:color="00162F"/>
            </w:tcBorders>
            <w:gridSpan w:val="6"/>
          </w:tcPr>
          <w:p>
            <w:pPr>
              <w:jc w:val="right"/>
              <w:ind w:right="18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18"/>
        </w:trPr>
        <w:tc>
          <w:tcPr>
            <w:tcW w:w="6220" w:type="dxa"/>
            <w:vAlign w:val="bottom"/>
            <w:tcBorders>
              <w:bottom w:val="single" w:sz="8" w:color="EDEDED"/>
            </w:tcBorders>
          </w:tcPr>
          <w:p>
            <w:pPr>
              <w:spacing w:after="0"/>
              <w:rPr>
                <w:sz w:val="18"/>
                <w:szCs w:val="18"/>
                <w:color w:val="auto"/>
              </w:rPr>
            </w:pPr>
          </w:p>
        </w:tc>
        <w:tc>
          <w:tcPr>
            <w:tcW w:w="96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2025</w:t>
            </w:r>
          </w:p>
        </w:tc>
        <w:tc>
          <w:tcPr>
            <w:tcW w:w="480" w:type="dxa"/>
            <w:vAlign w:val="bottom"/>
            <w:tcBorders>
              <w:bottom w:val="single" w:sz="8" w:color="00162F"/>
            </w:tcBorders>
          </w:tcPr>
          <w:p>
            <w:pPr>
              <w:spacing w:after="0"/>
              <w:rPr>
                <w:sz w:val="18"/>
                <w:szCs w:val="18"/>
                <w:color w:val="auto"/>
              </w:rPr>
            </w:pPr>
          </w:p>
        </w:tc>
        <w:tc>
          <w:tcPr>
            <w:tcW w:w="80" w:type="dxa"/>
            <w:vAlign w:val="bottom"/>
            <w:tcBorders>
              <w:bottom w:val="single" w:sz="8" w:color="EDEDED"/>
            </w:tcBorders>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100" w:type="dxa"/>
            <w:vAlign w:val="bottom"/>
            <w:tcBorders>
              <w:bottom w:val="single" w:sz="8" w:color="00162F"/>
            </w:tcBorders>
          </w:tcPr>
          <w:p>
            <w:pPr>
              <w:jc w:val="right"/>
              <w:ind w:right="464"/>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18"/>
                <w:szCs w:val="18"/>
                <w:color w:val="auto"/>
              </w:rPr>
            </w:pPr>
          </w:p>
        </w:tc>
        <w:tc>
          <w:tcPr>
            <w:tcW w:w="360" w:type="dxa"/>
            <w:vAlign w:val="bottom"/>
            <w:tcBorders>
              <w:bottom w:val="single" w:sz="8" w:color="00162F"/>
            </w:tcBorders>
          </w:tcPr>
          <w:p>
            <w:pPr>
              <w:spacing w:after="0"/>
              <w:rPr>
                <w:sz w:val="18"/>
                <w:szCs w:val="18"/>
                <w:color w:val="auto"/>
              </w:rPr>
            </w:pPr>
          </w:p>
        </w:tc>
        <w:tc>
          <w:tcPr>
            <w:tcW w:w="1080" w:type="dxa"/>
            <w:vAlign w:val="bottom"/>
            <w:tcBorders>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Net income</w:t>
            </w:r>
          </w:p>
        </w:tc>
        <w:tc>
          <w:tcPr>
            <w:tcW w:w="960" w:type="dxa"/>
            <w:vAlign w:val="bottom"/>
            <w:shd w:val="clear" w:color="auto" w:fill="EDEDED"/>
          </w:tcPr>
          <w:p>
            <w:pPr>
              <w:jc w:val="right"/>
              <w:ind w:right="708"/>
              <w:spacing w:after="0"/>
              <w:rPr>
                <w:sz w:val="20"/>
                <w:szCs w:val="20"/>
                <w:color w:val="auto"/>
              </w:rPr>
            </w:pPr>
            <w:r>
              <w:rPr>
                <w:rFonts w:ascii="Arial" w:cs="Arial" w:eastAsia="Arial" w:hAnsi="Arial"/>
                <w:sz w:val="20"/>
                <w:szCs w:val="20"/>
                <w:color w:val="00162F"/>
              </w:rPr>
              <w:t>$</w:t>
            </w:r>
          </w:p>
        </w:tc>
        <w:tc>
          <w:tcPr>
            <w:tcW w:w="4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111</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846</w:t>
            </w:r>
          </w:p>
        </w:tc>
        <w:tc>
          <w:tcPr>
            <w:tcW w:w="420" w:type="dxa"/>
            <w:vAlign w:val="bottom"/>
            <w:gridSpan w:val="2"/>
            <w:shd w:val="clear" w:color="auto" w:fill="EDEDED"/>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822</w:t>
            </w:r>
          </w:p>
        </w:tc>
      </w:tr>
      <w:tr>
        <w:trPr>
          <w:trHeight w:val="297"/>
        </w:trPr>
        <w:tc>
          <w:tcPr>
            <w:tcW w:w="6220" w:type="dxa"/>
            <w:vAlign w:val="bottom"/>
          </w:tcPr>
          <w:p>
            <w:pPr>
              <w:ind w:left="40"/>
              <w:spacing w:after="0"/>
              <w:rPr>
                <w:sz w:val="20"/>
                <w:szCs w:val="20"/>
                <w:color w:val="auto"/>
              </w:rPr>
            </w:pPr>
            <w:r>
              <w:rPr>
                <w:rFonts w:ascii="Arial" w:cs="Arial" w:eastAsia="Arial" w:hAnsi="Arial"/>
                <w:sz w:val="20"/>
                <w:szCs w:val="20"/>
                <w:b w:val="1"/>
                <w:bCs w:val="1"/>
                <w:color w:val="00162F"/>
              </w:rPr>
              <w:t>Other comprehensive income (loss), net of tax:</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Pension, retiree medical and other postretirement benefits</w:t>
            </w:r>
          </w:p>
        </w:tc>
        <w:tc>
          <w:tcPr>
            <w:tcW w:w="96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176</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327</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(312)</w:t>
            </w:r>
          </w:p>
        </w:tc>
      </w:tr>
      <w:tr>
        <w:trPr>
          <w:trHeight w:val="287"/>
        </w:trPr>
        <w:tc>
          <w:tcPr>
            <w:tcW w:w="6220" w:type="dxa"/>
            <w:vAlign w:val="bottom"/>
            <w:tcBorders>
              <w:bottom w:val="single" w:sz="8" w:color="EDEDED"/>
            </w:tcBorders>
          </w:tcPr>
          <w:p>
            <w:pPr>
              <w:ind w:left="180"/>
              <w:spacing w:after="0"/>
              <w:rPr>
                <w:sz w:val="20"/>
                <w:szCs w:val="20"/>
                <w:color w:val="auto"/>
              </w:rPr>
            </w:pPr>
            <w:r>
              <w:rPr>
                <w:rFonts w:ascii="Arial" w:cs="Arial" w:eastAsia="Arial" w:hAnsi="Arial"/>
                <w:sz w:val="20"/>
                <w:szCs w:val="20"/>
                <w:color w:val="00162F"/>
              </w:rPr>
              <w:t>Investments</w:t>
            </w:r>
          </w:p>
        </w:tc>
        <w:tc>
          <w:tcPr>
            <w:tcW w:w="960" w:type="dxa"/>
            <w:vAlign w:val="bottom"/>
            <w:tcBorders>
              <w:bottom w:val="single" w:sz="8" w:color="00162F"/>
            </w:tcBorders>
          </w:tcPr>
          <w:p>
            <w:pPr>
              <w:spacing w:after="0"/>
              <w:rPr>
                <w:sz w:val="24"/>
                <w:szCs w:val="24"/>
                <w:color w:val="auto"/>
              </w:rPr>
            </w:pPr>
          </w:p>
        </w:tc>
        <w:tc>
          <w:tcPr>
            <w:tcW w:w="4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4"/>
              <w:spacing w:after="0"/>
              <w:rPr>
                <w:sz w:val="20"/>
                <w:szCs w:val="20"/>
                <w:color w:val="auto"/>
              </w:rPr>
            </w:pPr>
            <w:r>
              <w:rPr>
                <w:rFonts w:ascii="Arial" w:cs="Arial" w:eastAsia="Arial" w:hAnsi="Arial"/>
                <w:sz w:val="20"/>
                <w:szCs w:val="20"/>
                <w:color w:val="00162F"/>
              </w:rPr>
              <w:t>2</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w:t>
            </w:r>
          </w:p>
        </w:tc>
      </w:tr>
      <w:tr>
        <w:trPr>
          <w:trHeight w:val="297"/>
        </w:trPr>
        <w:tc>
          <w:tcPr>
            <w:tcW w:w="6220" w:type="dxa"/>
            <w:vAlign w:val="bottom"/>
            <w:tcBorders>
              <w:bottom w:val="single" w:sz="8" w:color="EDEDED"/>
            </w:tcBorders>
            <w:shd w:val="clear" w:color="auto" w:fill="EDEDED"/>
          </w:tcPr>
          <w:p>
            <w:pPr>
              <w:ind w:left="400"/>
              <w:spacing w:after="0"/>
              <w:rPr>
                <w:sz w:val="20"/>
                <w:szCs w:val="20"/>
                <w:color w:val="auto"/>
              </w:rPr>
            </w:pPr>
            <w:r>
              <w:rPr>
                <w:rFonts w:ascii="Arial" w:cs="Arial" w:eastAsia="Arial" w:hAnsi="Arial"/>
                <w:sz w:val="20"/>
                <w:szCs w:val="20"/>
                <w:b w:val="1"/>
                <w:bCs w:val="1"/>
                <w:color w:val="00162F"/>
              </w:rPr>
              <w:t>Total other comprehensive income (loss), net of tax</w:t>
            </w:r>
          </w:p>
        </w:tc>
        <w:tc>
          <w:tcPr>
            <w:tcW w:w="960" w:type="dxa"/>
            <w:vAlign w:val="bottom"/>
            <w:tcBorders>
              <w:bottom w:val="single" w:sz="8" w:color="00162F"/>
            </w:tcBorders>
            <w:shd w:val="clear" w:color="auto" w:fill="EDEDED"/>
          </w:tcPr>
          <w:p>
            <w:pPr>
              <w:spacing w:after="0"/>
              <w:rPr>
                <w:sz w:val="24"/>
                <w:szCs w:val="24"/>
                <w:color w:val="auto"/>
              </w:rPr>
            </w:pPr>
          </w:p>
        </w:tc>
        <w:tc>
          <w:tcPr>
            <w:tcW w:w="4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176</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4"/>
              <w:spacing w:after="0"/>
              <w:rPr>
                <w:sz w:val="20"/>
                <w:szCs w:val="20"/>
                <w:color w:val="auto"/>
              </w:rPr>
            </w:pPr>
            <w:r>
              <w:rPr>
                <w:rFonts w:ascii="Arial" w:cs="Arial" w:eastAsia="Arial" w:hAnsi="Arial"/>
                <w:sz w:val="20"/>
                <w:szCs w:val="20"/>
                <w:color w:val="00162F"/>
              </w:rPr>
              <w:t>329</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(309)</w:t>
            </w:r>
          </w:p>
        </w:tc>
      </w:tr>
      <w:tr>
        <w:trPr>
          <w:trHeight w:val="237"/>
        </w:trPr>
        <w:tc>
          <w:tcPr>
            <w:tcW w:w="6220" w:type="dxa"/>
            <w:vAlign w:val="bottom"/>
          </w:tcPr>
          <w:p>
            <w:pPr>
              <w:ind w:left="40"/>
              <w:spacing w:after="0"/>
              <w:rPr>
                <w:sz w:val="20"/>
                <w:szCs w:val="20"/>
                <w:color w:val="auto"/>
              </w:rPr>
            </w:pPr>
            <w:r>
              <w:rPr>
                <w:rFonts w:ascii="Arial" w:cs="Arial" w:eastAsia="Arial" w:hAnsi="Arial"/>
                <w:sz w:val="20"/>
                <w:szCs w:val="20"/>
                <w:b w:val="1"/>
                <w:bCs w:val="1"/>
                <w:color w:val="00162F"/>
              </w:rPr>
              <w:t>Total comprehensive income</w:t>
            </w:r>
          </w:p>
        </w:tc>
        <w:tc>
          <w:tcPr>
            <w:tcW w:w="960" w:type="dxa"/>
            <w:vAlign w:val="bottom"/>
          </w:tcPr>
          <w:p>
            <w:pPr>
              <w:jc w:val="right"/>
              <w:ind w:right="708"/>
              <w:spacing w:after="0"/>
              <w:rPr>
                <w:sz w:val="20"/>
                <w:szCs w:val="20"/>
                <w:color w:val="auto"/>
              </w:rPr>
            </w:pPr>
            <w:r>
              <w:rPr>
                <w:rFonts w:ascii="Arial" w:cs="Arial" w:eastAsia="Arial" w:hAnsi="Arial"/>
                <w:sz w:val="20"/>
                <w:szCs w:val="20"/>
                <w:color w:val="00162F"/>
              </w:rPr>
              <w:t>$</w:t>
            </w:r>
          </w:p>
        </w:tc>
        <w:tc>
          <w:tcPr>
            <w:tcW w:w="480" w:type="dxa"/>
            <w:vAlign w:val="bottom"/>
          </w:tcPr>
          <w:p>
            <w:pPr>
              <w:jc w:val="right"/>
              <w:spacing w:after="0"/>
              <w:rPr>
                <w:sz w:val="20"/>
                <w:szCs w:val="20"/>
                <w:color w:val="auto"/>
              </w:rPr>
            </w:pPr>
            <w:r>
              <w:rPr>
                <w:rFonts w:ascii="Arial" w:cs="Arial" w:eastAsia="Arial" w:hAnsi="Arial"/>
                <w:sz w:val="20"/>
                <w:szCs w:val="20"/>
                <w:color w:val="00162F"/>
              </w:rPr>
              <w:t>287</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1,175</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513</w:t>
            </w:r>
          </w:p>
        </w:tc>
      </w:tr>
      <w:tr>
        <w:trPr>
          <w:trHeight w:val="20"/>
        </w:trPr>
        <w:tc>
          <w:tcPr>
            <w:tcW w:w="6220" w:type="dxa"/>
            <w:vAlign w:val="bottom"/>
          </w:tcPr>
          <w:p>
            <w:pPr>
              <w:spacing w:after="0" w:line="20" w:lineRule="exact"/>
              <w:rPr>
                <w:sz w:val="1"/>
                <w:szCs w:val="1"/>
                <w:color w:val="auto"/>
              </w:rPr>
            </w:pPr>
          </w:p>
        </w:tc>
        <w:tc>
          <w:tcPr>
            <w:tcW w:w="960" w:type="dxa"/>
            <w:vAlign w:val="bottom"/>
            <w:tcBorders>
              <w:top w:val="single" w:sz="8" w:color="00162F"/>
              <w:bottom w:val="single" w:sz="8" w:color="00162F"/>
            </w:tcBorders>
          </w:tcPr>
          <w:p>
            <w:pPr>
              <w:spacing w:after="0" w:line="20" w:lineRule="exact"/>
              <w:rPr>
                <w:sz w:val="1"/>
                <w:szCs w:val="1"/>
                <w:color w:val="auto"/>
              </w:rPr>
            </w:pPr>
          </w:p>
        </w:tc>
        <w:tc>
          <w:tcPr>
            <w:tcW w:w="48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1080" w:type="dxa"/>
            <w:vAlign w:val="bottom"/>
            <w:tcBorders>
              <w:top w:val="single" w:sz="8" w:color="00162F"/>
              <w:bottom w:val="single" w:sz="8" w:color="00162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-1162685</wp:posOffset>
            </wp:positionV>
            <wp:extent cx="2863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6">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-408305</wp:posOffset>
            </wp:positionV>
            <wp:extent cx="19361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7">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-219710</wp:posOffset>
            </wp:positionV>
            <wp:extent cx="19361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8">
                      <a:extLst>
                        <a:ext uri="{28A0092B-C50C-407E-A947-70E740481C1C}"/>
                      </a:extLst>
                    </a:blip>
                    <a:srcRect/>
                    <a:stretch>
                      <a:fillRect/>
                    </a:stretch>
                  </pic:blipFill>
                  <pic:spPr bwMode="auto">
                    <a:xfrm>
                      <a:off x="0" y="0"/>
                      <a:ext cx="1936115" cy="2540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00162F"/>
        </w:rPr>
        <w:t>See accompanying notes to consolidated financial statements.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84</w:t>
      </w:r>
    </w:p>
    <w:p>
      <w:pPr>
        <w:sectPr>
          <w:pgSz w:w="11880" w:h="15480" w:orient="portrait"/>
          <w:cols w:equalWidth="0" w:num="1">
            <w:col w:w="10680"/>
          </w:cols>
          <w:pgMar w:left="600" w:top="992" w:right="600" w:bottom="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00162F"/>
        </w:rPr>
        <w:t>AMERICAN AIRLINES GROUP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162F"/>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162F"/>
        </w:rPr>
        <w:t>(In millions, except share and par value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720" w:type="dxa"/>
            <w:vAlign w:val="bottom"/>
            <w:tcBorders>
              <w:bottom w:val="single" w:sz="8" w:color="00162F"/>
            </w:tcBorders>
            <w:gridSpan w:val="3"/>
          </w:tcPr>
          <w:p>
            <w:pPr>
              <w:jc w:val="right"/>
              <w:spacing w:after="0"/>
              <w:rPr>
                <w:sz w:val="20"/>
                <w:szCs w:val="20"/>
                <w:color w:val="auto"/>
              </w:rPr>
            </w:pPr>
            <w:r>
              <w:rPr>
                <w:rFonts w:ascii="Arial" w:cs="Arial" w:eastAsia="Arial" w:hAnsi="Arial"/>
                <w:sz w:val="16"/>
                <w:szCs w:val="16"/>
                <w:b w:val="1"/>
                <w:bCs w:val="1"/>
                <w:color w:val="00162F"/>
              </w:rPr>
              <w:t>December 31,</w:t>
            </w:r>
          </w:p>
        </w:tc>
        <w:tc>
          <w:tcPr>
            <w:tcW w:w="940" w:type="dxa"/>
            <w:vAlign w:val="bottom"/>
            <w:tcBorders>
              <w:bottom w:val="single" w:sz="8" w:color="00162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80" w:type="dxa"/>
            <w:vAlign w:val="bottom"/>
            <w:tcBorders>
              <w:bottom w:val="single" w:sz="8" w:color="EDEDED"/>
            </w:tcBorders>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120" w:type="dxa"/>
            <w:vAlign w:val="bottom"/>
            <w:tcBorders>
              <w:bottom w:val="single" w:sz="8" w:color="00162F"/>
            </w:tcBorders>
          </w:tcPr>
          <w:p>
            <w:pPr>
              <w:jc w:val="right"/>
              <w:ind w:right="481"/>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18"/>
                <w:szCs w:val="18"/>
                <w:color w:val="auto"/>
              </w:rPr>
            </w:pPr>
          </w:p>
        </w:tc>
        <w:tc>
          <w:tcPr>
            <w:tcW w:w="520" w:type="dxa"/>
            <w:vAlign w:val="bottom"/>
            <w:tcBorders>
              <w:bottom w:val="single" w:sz="8" w:color="00162F"/>
            </w:tcBorders>
          </w:tcPr>
          <w:p>
            <w:pPr>
              <w:spacing w:after="0"/>
              <w:rPr>
                <w:sz w:val="18"/>
                <w:szCs w:val="18"/>
                <w:color w:val="auto"/>
              </w:rPr>
            </w:pPr>
          </w:p>
        </w:tc>
        <w:tc>
          <w:tcPr>
            <w:tcW w:w="940" w:type="dxa"/>
            <w:vAlign w:val="bottom"/>
            <w:tcBorders>
              <w:bottom w:val="single" w:sz="8" w:color="00162F"/>
            </w:tcBorders>
          </w:tcPr>
          <w:p>
            <w:pPr>
              <w:jc w:val="right"/>
              <w:ind w:right="481"/>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28"/>
        </w:trPr>
        <w:tc>
          <w:tcPr>
            <w:tcW w:w="7680" w:type="dxa"/>
            <w:vAlign w:val="bottom"/>
            <w:shd w:val="clear" w:color="auto" w:fill="EDEDED"/>
          </w:tcPr>
          <w:p>
            <w:pPr>
              <w:ind w:left="40"/>
              <w:spacing w:after="0"/>
              <w:rPr>
                <w:sz w:val="20"/>
                <w:szCs w:val="20"/>
                <w:color w:val="auto"/>
              </w:rPr>
            </w:pPr>
            <w:r>
              <w:rPr>
                <w:rFonts w:ascii="Arial" w:cs="Arial" w:eastAsia="Arial" w:hAnsi="Arial"/>
                <w:sz w:val="16"/>
                <w:szCs w:val="16"/>
                <w:b w:val="1"/>
                <w:bCs w:val="1"/>
                <w:color w:val="00162F"/>
              </w:rPr>
              <w:t>ASSETS</w:t>
            </w:r>
          </w:p>
        </w:tc>
        <w:tc>
          <w:tcPr>
            <w:tcW w:w="340" w:type="dxa"/>
            <w:vAlign w:val="bottom"/>
            <w:shd w:val="clear" w:color="auto" w:fill="EDEDED"/>
          </w:tcPr>
          <w:p>
            <w:pPr>
              <w:spacing w:after="0"/>
              <w:rPr>
                <w:sz w:val="19"/>
                <w:szCs w:val="19"/>
                <w:color w:val="auto"/>
              </w:rPr>
            </w:pPr>
          </w:p>
        </w:tc>
        <w:tc>
          <w:tcPr>
            <w:tcW w:w="112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520" w:type="dxa"/>
            <w:vAlign w:val="bottom"/>
            <w:shd w:val="clear" w:color="auto" w:fill="EDEDED"/>
          </w:tcPr>
          <w:p>
            <w:pPr>
              <w:spacing w:after="0"/>
              <w:rPr>
                <w:sz w:val="19"/>
                <w:szCs w:val="19"/>
                <w:color w:val="auto"/>
              </w:rPr>
            </w:pPr>
          </w:p>
        </w:tc>
        <w:tc>
          <w:tcPr>
            <w:tcW w:w="940" w:type="dxa"/>
            <w:vAlign w:val="bottom"/>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680" w:type="dxa"/>
            <w:vAlign w:val="bottom"/>
          </w:tcPr>
          <w:p>
            <w:pPr>
              <w:ind w:left="40"/>
              <w:spacing w:after="0"/>
              <w:rPr>
                <w:sz w:val="20"/>
                <w:szCs w:val="20"/>
                <w:color w:val="auto"/>
              </w:rPr>
            </w:pPr>
            <w:r>
              <w:rPr>
                <w:rFonts w:ascii="Arial" w:cs="Arial" w:eastAsia="Arial" w:hAnsi="Arial"/>
                <w:sz w:val="16"/>
                <w:szCs w:val="16"/>
                <w:b w:val="1"/>
                <w:bCs w:val="1"/>
                <w:color w:val="00162F"/>
              </w:rPr>
              <w:t>Current assets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Cash</w:t>
            </w:r>
          </w:p>
        </w:tc>
        <w:tc>
          <w:tcPr>
            <w:tcW w:w="340" w:type="dxa"/>
            <w:vAlign w:val="bottom"/>
            <w:shd w:val="clear" w:color="auto" w:fill="EDEDED"/>
          </w:tcPr>
          <w:p>
            <w:pPr>
              <w:jc w:val="right"/>
              <w:ind w:right="121"/>
              <w:spacing w:after="0"/>
              <w:rPr>
                <w:sz w:val="20"/>
                <w:szCs w:val="20"/>
                <w:color w:val="auto"/>
              </w:rPr>
            </w:pPr>
            <w:r>
              <w:rPr>
                <w:rFonts w:ascii="Arial" w:cs="Arial" w:eastAsia="Arial" w:hAnsi="Arial"/>
                <w:sz w:val="16"/>
                <w:szCs w:val="16"/>
                <w:color w:val="00162F"/>
              </w:rPr>
              <w:t>$</w:t>
            </w: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954</w:t>
            </w:r>
          </w:p>
        </w:tc>
        <w:tc>
          <w:tcPr>
            <w:tcW w:w="80" w:type="dxa"/>
            <w:vAlign w:val="bottom"/>
            <w:shd w:val="clear" w:color="auto" w:fill="EDEDED"/>
          </w:tcPr>
          <w:p>
            <w:pPr>
              <w:spacing w:after="0"/>
              <w:rPr>
                <w:sz w:val="20"/>
                <w:szCs w:val="20"/>
                <w:color w:val="auto"/>
              </w:rPr>
            </w:pPr>
          </w:p>
        </w:tc>
        <w:tc>
          <w:tcPr>
            <w:tcW w:w="520" w:type="dxa"/>
            <w:vAlign w:val="bottom"/>
            <w:shd w:val="clear" w:color="auto" w:fill="EDEDED"/>
          </w:tcPr>
          <w:p>
            <w:pPr>
              <w:jc w:val="right"/>
              <w:ind w:right="301"/>
              <w:spacing w:after="0"/>
              <w:rPr>
                <w:sz w:val="20"/>
                <w:szCs w:val="20"/>
                <w:color w:val="auto"/>
              </w:rPr>
            </w:pPr>
            <w:r>
              <w:rPr>
                <w:rFonts w:ascii="Arial" w:cs="Arial" w:eastAsia="Arial" w:hAnsi="Arial"/>
                <w:sz w:val="16"/>
                <w:szCs w:val="16"/>
                <w:color w:val="00162F"/>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804</w:t>
            </w:r>
          </w:p>
        </w:tc>
        <w:tc>
          <w:tcPr>
            <w:tcW w:w="0" w:type="dxa"/>
            <w:vAlign w:val="bottom"/>
          </w:tcPr>
          <w:p>
            <w:pPr>
              <w:spacing w:after="0"/>
              <w:rPr>
                <w:sz w:val="1"/>
                <w:szCs w:val="1"/>
                <w:color w:val="auto"/>
              </w:rPr>
            </w:pPr>
          </w:p>
        </w:tc>
      </w:tr>
      <w:tr>
        <w:trPr>
          <w:trHeight w:val="231"/>
        </w:trPr>
        <w:tc>
          <w:tcPr>
            <w:tcW w:w="7680" w:type="dxa"/>
            <w:vAlign w:val="bottom"/>
          </w:tcPr>
          <w:p>
            <w:pPr>
              <w:ind w:left="260"/>
              <w:spacing w:after="0"/>
              <w:rPr>
                <w:sz w:val="20"/>
                <w:szCs w:val="20"/>
                <w:color w:val="auto"/>
              </w:rPr>
            </w:pPr>
            <w:r>
              <w:rPr>
                <w:rFonts w:ascii="Arial" w:cs="Arial" w:eastAsia="Arial" w:hAnsi="Arial"/>
                <w:sz w:val="16"/>
                <w:szCs w:val="16"/>
                <w:color w:val="00162F"/>
              </w:rPr>
              <w:t>Short-term investments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4,882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6,180</w:t>
            </w:r>
          </w:p>
        </w:tc>
        <w:tc>
          <w:tcPr>
            <w:tcW w:w="0" w:type="dxa"/>
            <w:vAlign w:val="bottom"/>
          </w:tcPr>
          <w:p>
            <w:pPr>
              <w:spacing w:after="0"/>
              <w:rPr>
                <w:sz w:val="1"/>
                <w:szCs w:val="1"/>
                <w:color w:val="auto"/>
              </w:rPr>
            </w:pPr>
          </w:p>
        </w:tc>
      </w:tr>
      <w:tr>
        <w:trPr>
          <w:trHeight w:val="244"/>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Restricted cash and short-term investments</w:t>
            </w:r>
          </w:p>
        </w:tc>
        <w:tc>
          <w:tcPr>
            <w:tcW w:w="340" w:type="dxa"/>
            <w:vAlign w:val="bottom"/>
            <w:shd w:val="clear" w:color="auto" w:fill="EDEDED"/>
          </w:tcPr>
          <w:p>
            <w:pPr>
              <w:spacing w:after="0"/>
              <w:rPr>
                <w:sz w:val="21"/>
                <w:szCs w:val="21"/>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735</w:t>
            </w:r>
          </w:p>
        </w:tc>
        <w:tc>
          <w:tcPr>
            <w:tcW w:w="80" w:type="dxa"/>
            <w:vAlign w:val="bottom"/>
            <w:shd w:val="clear" w:color="auto" w:fill="EDEDED"/>
          </w:tcPr>
          <w:p>
            <w:pPr>
              <w:spacing w:after="0"/>
              <w:rPr>
                <w:sz w:val="21"/>
                <w:szCs w:val="21"/>
                <w:color w:val="auto"/>
              </w:rPr>
            </w:pPr>
          </w:p>
        </w:tc>
        <w:tc>
          <w:tcPr>
            <w:tcW w:w="5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732</w:t>
            </w:r>
          </w:p>
        </w:tc>
        <w:tc>
          <w:tcPr>
            <w:tcW w:w="0" w:type="dxa"/>
            <w:vAlign w:val="bottom"/>
          </w:tcPr>
          <w:p>
            <w:pPr>
              <w:spacing w:after="0"/>
              <w:rPr>
                <w:sz w:val="1"/>
                <w:szCs w:val="1"/>
                <w:color w:val="auto"/>
              </w:rPr>
            </w:pPr>
          </w:p>
        </w:tc>
      </w:tr>
      <w:tr>
        <w:trPr>
          <w:trHeight w:val="231"/>
        </w:trPr>
        <w:tc>
          <w:tcPr>
            <w:tcW w:w="7680" w:type="dxa"/>
            <w:vAlign w:val="bottom"/>
          </w:tcPr>
          <w:p>
            <w:pPr>
              <w:ind w:left="260"/>
              <w:spacing w:after="0"/>
              <w:rPr>
                <w:sz w:val="20"/>
                <w:szCs w:val="20"/>
                <w:color w:val="auto"/>
              </w:rPr>
            </w:pPr>
            <w:r>
              <w:rPr>
                <w:rFonts w:ascii="Arial" w:cs="Arial" w:eastAsia="Arial" w:hAnsi="Arial"/>
                <w:sz w:val="16"/>
                <w:szCs w:val="16"/>
                <w:color w:val="00162F"/>
              </w:rPr>
              <w:t>Accounts receivable,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2,075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2,006</w:t>
            </w:r>
          </w:p>
        </w:tc>
        <w:tc>
          <w:tcPr>
            <w:tcW w:w="0" w:type="dxa"/>
            <w:vAlign w:val="bottom"/>
          </w:tcPr>
          <w:p>
            <w:pPr>
              <w:spacing w:after="0"/>
              <w:rPr>
                <w:sz w:val="1"/>
                <w:szCs w:val="1"/>
                <w:color w:val="auto"/>
              </w:rPr>
            </w:pPr>
          </w:p>
        </w:tc>
      </w:tr>
      <w:tr>
        <w:trPr>
          <w:trHeight w:val="244"/>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Aircraft fuel, spare parts and supplies, net</w:t>
            </w:r>
          </w:p>
        </w:tc>
        <w:tc>
          <w:tcPr>
            <w:tcW w:w="340" w:type="dxa"/>
            <w:vAlign w:val="bottom"/>
            <w:shd w:val="clear" w:color="auto" w:fill="EDEDED"/>
          </w:tcPr>
          <w:p>
            <w:pPr>
              <w:spacing w:after="0"/>
              <w:rPr>
                <w:sz w:val="21"/>
                <w:szCs w:val="21"/>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2,792</w:t>
            </w:r>
          </w:p>
        </w:tc>
        <w:tc>
          <w:tcPr>
            <w:tcW w:w="80" w:type="dxa"/>
            <w:vAlign w:val="bottom"/>
            <w:shd w:val="clear" w:color="auto" w:fill="EDEDED"/>
          </w:tcPr>
          <w:p>
            <w:pPr>
              <w:spacing w:after="0"/>
              <w:rPr>
                <w:sz w:val="21"/>
                <w:szCs w:val="21"/>
                <w:color w:val="auto"/>
              </w:rPr>
            </w:pPr>
          </w:p>
        </w:tc>
        <w:tc>
          <w:tcPr>
            <w:tcW w:w="5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2,638</w:t>
            </w:r>
          </w:p>
        </w:tc>
        <w:tc>
          <w:tcPr>
            <w:tcW w:w="0" w:type="dxa"/>
            <w:vAlign w:val="bottom"/>
          </w:tcPr>
          <w:p>
            <w:pPr>
              <w:spacing w:after="0"/>
              <w:rPr>
                <w:sz w:val="1"/>
                <w:szCs w:val="1"/>
                <w:color w:val="auto"/>
              </w:rPr>
            </w:pPr>
          </w:p>
        </w:tc>
      </w:tr>
      <w:tr>
        <w:trPr>
          <w:trHeight w:val="228"/>
        </w:trPr>
        <w:tc>
          <w:tcPr>
            <w:tcW w:w="7680" w:type="dxa"/>
            <w:vAlign w:val="bottom"/>
            <w:tcBorders>
              <w:bottom w:val="single" w:sz="8" w:color="EDEDED"/>
            </w:tcBorders>
          </w:tcPr>
          <w:p>
            <w:pPr>
              <w:ind w:left="260"/>
              <w:spacing w:after="0"/>
              <w:rPr>
                <w:sz w:val="20"/>
                <w:szCs w:val="20"/>
                <w:color w:val="auto"/>
              </w:rPr>
            </w:pPr>
            <w:r>
              <w:rPr>
                <w:rFonts w:ascii="Arial" w:cs="Arial" w:eastAsia="Arial" w:hAnsi="Arial"/>
                <w:sz w:val="16"/>
                <w:szCs w:val="16"/>
                <w:color w:val="00162F"/>
              </w:rPr>
              <w:t>Prepaid expenses and other</w:t>
            </w:r>
          </w:p>
        </w:tc>
        <w:tc>
          <w:tcPr>
            <w:tcW w:w="340" w:type="dxa"/>
            <w:vAlign w:val="bottom"/>
            <w:tcBorders>
              <w:bottom w:val="single" w:sz="8" w:color="00162F"/>
            </w:tcBorders>
          </w:tcPr>
          <w:p>
            <w:pPr>
              <w:spacing w:after="0"/>
              <w:rPr>
                <w:sz w:val="19"/>
                <w:szCs w:val="19"/>
                <w:color w:val="auto"/>
              </w:rPr>
            </w:pPr>
          </w:p>
        </w:tc>
        <w:tc>
          <w:tcPr>
            <w:tcW w:w="112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767</w:t>
            </w:r>
          </w:p>
        </w:tc>
        <w:tc>
          <w:tcPr>
            <w:tcW w:w="80" w:type="dxa"/>
            <w:vAlign w:val="bottom"/>
            <w:tcBorders>
              <w:bottom w:val="single" w:sz="8" w:color="EDEDED"/>
            </w:tcBorders>
          </w:tcPr>
          <w:p>
            <w:pPr>
              <w:spacing w:after="0"/>
              <w:rPr>
                <w:sz w:val="19"/>
                <w:szCs w:val="19"/>
                <w:color w:val="auto"/>
              </w:rPr>
            </w:pPr>
          </w:p>
        </w:tc>
        <w:tc>
          <w:tcPr>
            <w:tcW w:w="520" w:type="dxa"/>
            <w:vAlign w:val="bottom"/>
            <w:tcBorders>
              <w:bottom w:val="single" w:sz="8" w:color="00162F"/>
            </w:tcBorders>
          </w:tcPr>
          <w:p>
            <w:pPr>
              <w:spacing w:after="0"/>
              <w:rPr>
                <w:sz w:val="19"/>
                <w:szCs w:val="19"/>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794</w:t>
            </w:r>
          </w:p>
        </w:tc>
        <w:tc>
          <w:tcPr>
            <w:tcW w:w="0" w:type="dxa"/>
            <w:vAlign w:val="bottom"/>
          </w:tcPr>
          <w:p>
            <w:pPr>
              <w:spacing w:after="0"/>
              <w:rPr>
                <w:sz w:val="1"/>
                <w:szCs w:val="1"/>
                <w:color w:val="auto"/>
              </w:rPr>
            </w:pPr>
          </w:p>
        </w:tc>
      </w:tr>
      <w:tr>
        <w:trPr>
          <w:trHeight w:val="228"/>
        </w:trPr>
        <w:tc>
          <w:tcPr>
            <w:tcW w:w="7680" w:type="dxa"/>
            <w:vAlign w:val="bottom"/>
            <w:shd w:val="clear" w:color="auto" w:fill="EDEDED"/>
          </w:tcPr>
          <w:p>
            <w:pPr>
              <w:ind w:left="540"/>
              <w:spacing w:after="0"/>
              <w:rPr>
                <w:sz w:val="20"/>
                <w:szCs w:val="20"/>
                <w:color w:val="auto"/>
              </w:rPr>
            </w:pPr>
            <w:r>
              <w:rPr>
                <w:rFonts w:ascii="Arial" w:cs="Arial" w:eastAsia="Arial" w:hAnsi="Arial"/>
                <w:sz w:val="16"/>
                <w:szCs w:val="16"/>
                <w:color w:val="00162F"/>
              </w:rPr>
              <w:t>Total current assets</w:t>
            </w:r>
          </w:p>
        </w:tc>
        <w:tc>
          <w:tcPr>
            <w:tcW w:w="340" w:type="dxa"/>
            <w:vAlign w:val="bottom"/>
            <w:shd w:val="clear" w:color="auto" w:fill="EDEDED"/>
          </w:tcPr>
          <w:p>
            <w:pPr>
              <w:spacing w:after="0"/>
              <w:rPr>
                <w:sz w:val="19"/>
                <w:szCs w:val="19"/>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12,205</w:t>
            </w:r>
          </w:p>
        </w:tc>
        <w:tc>
          <w:tcPr>
            <w:tcW w:w="80" w:type="dxa"/>
            <w:vAlign w:val="bottom"/>
            <w:shd w:val="clear" w:color="auto" w:fill="EDEDED"/>
          </w:tcPr>
          <w:p>
            <w:pPr>
              <w:spacing w:after="0"/>
              <w:rPr>
                <w:sz w:val="19"/>
                <w:szCs w:val="19"/>
                <w:color w:val="auto"/>
              </w:rPr>
            </w:pPr>
          </w:p>
        </w:tc>
        <w:tc>
          <w:tcPr>
            <w:tcW w:w="520" w:type="dxa"/>
            <w:vAlign w:val="bottom"/>
            <w:shd w:val="clear" w:color="auto" w:fill="EDEDED"/>
          </w:tcPr>
          <w:p>
            <w:pPr>
              <w:spacing w:after="0"/>
              <w:rPr>
                <w:sz w:val="19"/>
                <w:szCs w:val="19"/>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13,154</w:t>
            </w:r>
          </w:p>
        </w:tc>
        <w:tc>
          <w:tcPr>
            <w:tcW w:w="0" w:type="dxa"/>
            <w:vAlign w:val="bottom"/>
          </w:tcPr>
          <w:p>
            <w:pPr>
              <w:spacing w:after="0"/>
              <w:rPr>
                <w:sz w:val="1"/>
                <w:szCs w:val="1"/>
                <w:color w:val="auto"/>
              </w:rPr>
            </w:pPr>
          </w:p>
        </w:tc>
      </w:tr>
      <w:tr>
        <w:trPr>
          <w:trHeight w:val="235"/>
        </w:trPr>
        <w:tc>
          <w:tcPr>
            <w:tcW w:w="7680" w:type="dxa"/>
            <w:vAlign w:val="bottom"/>
          </w:tcPr>
          <w:p>
            <w:pPr>
              <w:ind w:left="40"/>
              <w:spacing w:after="0"/>
              <w:rPr>
                <w:sz w:val="20"/>
                <w:szCs w:val="20"/>
                <w:color w:val="auto"/>
              </w:rPr>
            </w:pPr>
            <w:r>
              <w:rPr>
                <w:rFonts w:ascii="Arial" w:cs="Arial" w:eastAsia="Arial" w:hAnsi="Arial"/>
                <w:sz w:val="16"/>
                <w:szCs w:val="16"/>
                <w:b w:val="1"/>
                <w:bCs w:val="1"/>
                <w:color w:val="00162F"/>
              </w:rPr>
              <w:t>Operating property and equipment</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Flight equipment</w:t>
            </w:r>
          </w:p>
        </w:tc>
        <w:tc>
          <w:tcPr>
            <w:tcW w:w="340" w:type="dxa"/>
            <w:vAlign w:val="bottom"/>
            <w:shd w:val="clear" w:color="auto" w:fill="EDEDED"/>
          </w:tcPr>
          <w:p>
            <w:pPr>
              <w:spacing w:after="0"/>
              <w:rPr>
                <w:sz w:val="20"/>
                <w:szCs w:val="20"/>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46,597</w:t>
            </w:r>
          </w:p>
        </w:tc>
        <w:tc>
          <w:tcPr>
            <w:tcW w:w="80" w:type="dxa"/>
            <w:vAlign w:val="bottom"/>
            <w:shd w:val="clear" w:color="auto" w:fill="EDEDED"/>
          </w:tcPr>
          <w:p>
            <w:pPr>
              <w:spacing w:after="0"/>
              <w:rPr>
                <w:sz w:val="20"/>
                <w:szCs w:val="20"/>
                <w:color w:val="auto"/>
              </w:rPr>
            </w:pPr>
          </w:p>
        </w:tc>
        <w:tc>
          <w:tcPr>
            <w:tcW w:w="520" w:type="dxa"/>
            <w:vAlign w:val="bottom"/>
            <w:shd w:val="clear" w:color="auto" w:fill="EDEDED"/>
          </w:tcPr>
          <w:p>
            <w:pPr>
              <w:spacing w:after="0"/>
              <w:rPr>
                <w:sz w:val="20"/>
                <w:szCs w:val="20"/>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43,521</w:t>
            </w:r>
          </w:p>
        </w:tc>
        <w:tc>
          <w:tcPr>
            <w:tcW w:w="0" w:type="dxa"/>
            <w:vAlign w:val="bottom"/>
          </w:tcPr>
          <w:p>
            <w:pPr>
              <w:spacing w:after="0"/>
              <w:rPr>
                <w:sz w:val="1"/>
                <w:szCs w:val="1"/>
                <w:color w:val="auto"/>
              </w:rPr>
            </w:pPr>
          </w:p>
        </w:tc>
      </w:tr>
      <w:tr>
        <w:trPr>
          <w:trHeight w:val="231"/>
        </w:trPr>
        <w:tc>
          <w:tcPr>
            <w:tcW w:w="7680" w:type="dxa"/>
            <w:vAlign w:val="bottom"/>
          </w:tcPr>
          <w:p>
            <w:pPr>
              <w:ind w:left="260"/>
              <w:spacing w:after="0"/>
              <w:rPr>
                <w:sz w:val="20"/>
                <w:szCs w:val="20"/>
                <w:color w:val="auto"/>
              </w:rPr>
            </w:pPr>
            <w:r>
              <w:rPr>
                <w:rFonts w:ascii="Arial" w:cs="Arial" w:eastAsia="Arial" w:hAnsi="Arial"/>
                <w:sz w:val="16"/>
                <w:szCs w:val="16"/>
                <w:color w:val="00162F"/>
              </w:rPr>
              <w:t>Ground property and equipment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10,479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10,202</w:t>
            </w:r>
          </w:p>
        </w:tc>
        <w:tc>
          <w:tcPr>
            <w:tcW w:w="0" w:type="dxa"/>
            <w:vAlign w:val="bottom"/>
          </w:tcPr>
          <w:p>
            <w:pPr>
              <w:spacing w:after="0"/>
              <w:rPr>
                <w:sz w:val="1"/>
                <w:szCs w:val="1"/>
                <w:color w:val="auto"/>
              </w:rPr>
            </w:pPr>
          </w:p>
        </w:tc>
      </w:tr>
      <w:tr>
        <w:trPr>
          <w:trHeight w:val="253"/>
        </w:trPr>
        <w:tc>
          <w:tcPr>
            <w:tcW w:w="768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16"/>
                <w:szCs w:val="16"/>
                <w:color w:val="00162F"/>
              </w:rPr>
              <w:t>Equipment purchase deposits</w:t>
            </w:r>
          </w:p>
        </w:tc>
        <w:tc>
          <w:tcPr>
            <w:tcW w:w="340" w:type="dxa"/>
            <w:vAlign w:val="bottom"/>
            <w:tcBorders>
              <w:bottom w:val="single" w:sz="8" w:color="00162F"/>
            </w:tcBorders>
            <w:shd w:val="clear" w:color="auto" w:fill="EDEDED"/>
          </w:tcPr>
          <w:p>
            <w:pPr>
              <w:spacing w:after="0"/>
              <w:rPr>
                <w:sz w:val="21"/>
                <w:szCs w:val="21"/>
                <w:color w:val="auto"/>
              </w:rPr>
            </w:pP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656</w:t>
            </w:r>
          </w:p>
        </w:tc>
        <w:tc>
          <w:tcPr>
            <w:tcW w:w="80" w:type="dxa"/>
            <w:vAlign w:val="bottom"/>
            <w:tcBorders>
              <w:bottom w:val="single" w:sz="8" w:color="EDEDED"/>
            </w:tcBorders>
            <w:shd w:val="clear" w:color="auto" w:fill="EDEDED"/>
          </w:tcPr>
          <w:p>
            <w:pPr>
              <w:spacing w:after="0"/>
              <w:rPr>
                <w:sz w:val="21"/>
                <w:szCs w:val="21"/>
                <w:color w:val="auto"/>
              </w:rPr>
            </w:pPr>
          </w:p>
        </w:tc>
        <w:tc>
          <w:tcPr>
            <w:tcW w:w="520" w:type="dxa"/>
            <w:vAlign w:val="bottom"/>
            <w:tcBorders>
              <w:bottom w:val="single" w:sz="8" w:color="00162F"/>
            </w:tcBorders>
            <w:shd w:val="clear" w:color="auto" w:fill="EDEDED"/>
          </w:tcPr>
          <w:p>
            <w:pPr>
              <w:spacing w:after="0"/>
              <w:rPr>
                <w:sz w:val="21"/>
                <w:szCs w:val="21"/>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1,012</w:t>
            </w:r>
          </w:p>
        </w:tc>
        <w:tc>
          <w:tcPr>
            <w:tcW w:w="0" w:type="dxa"/>
            <w:vAlign w:val="bottom"/>
          </w:tcPr>
          <w:p>
            <w:pPr>
              <w:spacing w:after="0"/>
              <w:rPr>
                <w:sz w:val="1"/>
                <w:szCs w:val="1"/>
                <w:color w:val="auto"/>
              </w:rPr>
            </w:pPr>
          </w:p>
        </w:tc>
      </w:tr>
      <w:tr>
        <w:trPr>
          <w:trHeight w:val="203"/>
        </w:trPr>
        <w:tc>
          <w:tcPr>
            <w:tcW w:w="7680" w:type="dxa"/>
            <w:vAlign w:val="bottom"/>
          </w:tcPr>
          <w:p>
            <w:pPr>
              <w:ind w:left="540"/>
              <w:spacing w:after="0"/>
              <w:rPr>
                <w:sz w:val="20"/>
                <w:szCs w:val="20"/>
                <w:color w:val="auto"/>
              </w:rPr>
            </w:pPr>
            <w:r>
              <w:rPr>
                <w:rFonts w:ascii="Arial" w:cs="Arial" w:eastAsia="Arial" w:hAnsi="Arial"/>
                <w:sz w:val="16"/>
                <w:szCs w:val="16"/>
                <w:color w:val="00162F"/>
              </w:rPr>
              <w:t>Total property and equipment, at cost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57,732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54,735</w:t>
            </w:r>
          </w:p>
        </w:tc>
        <w:tc>
          <w:tcPr>
            <w:tcW w:w="0" w:type="dxa"/>
            <w:vAlign w:val="bottom"/>
          </w:tcPr>
          <w:p>
            <w:pPr>
              <w:spacing w:after="0"/>
              <w:rPr>
                <w:sz w:val="1"/>
                <w:szCs w:val="1"/>
                <w:color w:val="auto"/>
              </w:rPr>
            </w:pPr>
          </w:p>
        </w:tc>
      </w:tr>
      <w:tr>
        <w:trPr>
          <w:trHeight w:val="253"/>
        </w:trPr>
        <w:tc>
          <w:tcPr>
            <w:tcW w:w="768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16"/>
                <w:szCs w:val="16"/>
                <w:color w:val="00162F"/>
              </w:rPr>
              <w:t>Less accumulated depreciation and amortization</w:t>
            </w:r>
          </w:p>
        </w:tc>
        <w:tc>
          <w:tcPr>
            <w:tcW w:w="340" w:type="dxa"/>
            <w:vAlign w:val="bottom"/>
            <w:tcBorders>
              <w:bottom w:val="single" w:sz="8" w:color="00162F"/>
            </w:tcBorders>
            <w:shd w:val="clear" w:color="auto" w:fill="EDEDED"/>
          </w:tcPr>
          <w:p>
            <w:pPr>
              <w:spacing w:after="0"/>
              <w:rPr>
                <w:sz w:val="21"/>
                <w:szCs w:val="21"/>
                <w:color w:val="auto"/>
              </w:rPr>
            </w:pP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(25,192)</w:t>
            </w:r>
          </w:p>
        </w:tc>
        <w:tc>
          <w:tcPr>
            <w:tcW w:w="80" w:type="dxa"/>
            <w:vAlign w:val="bottom"/>
            <w:tcBorders>
              <w:bottom w:val="single" w:sz="8" w:color="EDEDED"/>
            </w:tcBorders>
            <w:shd w:val="clear" w:color="auto" w:fill="EDEDED"/>
          </w:tcPr>
          <w:p>
            <w:pPr>
              <w:spacing w:after="0"/>
              <w:rPr>
                <w:sz w:val="21"/>
                <w:szCs w:val="21"/>
                <w:color w:val="auto"/>
              </w:rPr>
            </w:pPr>
          </w:p>
        </w:tc>
        <w:tc>
          <w:tcPr>
            <w:tcW w:w="520" w:type="dxa"/>
            <w:vAlign w:val="bottom"/>
            <w:tcBorders>
              <w:bottom w:val="single" w:sz="8" w:color="00162F"/>
            </w:tcBorders>
            <w:shd w:val="clear" w:color="auto" w:fill="EDEDED"/>
          </w:tcPr>
          <w:p>
            <w:pPr>
              <w:spacing w:after="0"/>
              <w:rPr>
                <w:sz w:val="21"/>
                <w:szCs w:val="21"/>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(23,608)</w:t>
            </w:r>
          </w:p>
        </w:tc>
        <w:tc>
          <w:tcPr>
            <w:tcW w:w="0" w:type="dxa"/>
            <w:vAlign w:val="bottom"/>
          </w:tcPr>
          <w:p>
            <w:pPr>
              <w:spacing w:after="0"/>
              <w:rPr>
                <w:sz w:val="1"/>
                <w:szCs w:val="1"/>
                <w:color w:val="auto"/>
              </w:rPr>
            </w:pPr>
          </w:p>
        </w:tc>
      </w:tr>
      <w:tr>
        <w:trPr>
          <w:trHeight w:val="203"/>
        </w:trPr>
        <w:tc>
          <w:tcPr>
            <w:tcW w:w="7680" w:type="dxa"/>
            <w:vAlign w:val="bottom"/>
          </w:tcPr>
          <w:p>
            <w:pPr>
              <w:ind w:left="540"/>
              <w:spacing w:after="0"/>
              <w:rPr>
                <w:sz w:val="20"/>
                <w:szCs w:val="20"/>
                <w:color w:val="auto"/>
              </w:rPr>
            </w:pPr>
            <w:r>
              <w:rPr>
                <w:rFonts w:ascii="Arial" w:cs="Arial" w:eastAsia="Arial" w:hAnsi="Arial"/>
                <w:sz w:val="16"/>
                <w:szCs w:val="16"/>
                <w:color w:val="00162F"/>
              </w:rPr>
              <w:t>Total property and equipment, net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32,540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31,127</w:t>
            </w:r>
          </w:p>
        </w:tc>
        <w:tc>
          <w:tcPr>
            <w:tcW w:w="0" w:type="dxa"/>
            <w:vAlign w:val="bottom"/>
          </w:tcPr>
          <w:p>
            <w:pPr>
              <w:spacing w:after="0"/>
              <w:rPr>
                <w:sz w:val="1"/>
                <w:szCs w:val="1"/>
                <w:color w:val="auto"/>
              </w:rPr>
            </w:pPr>
          </w:p>
        </w:tc>
      </w:tr>
      <w:tr>
        <w:trPr>
          <w:trHeight w:val="244"/>
        </w:trPr>
        <w:tc>
          <w:tcPr>
            <w:tcW w:w="7680" w:type="dxa"/>
            <w:vAlign w:val="bottom"/>
            <w:shd w:val="clear" w:color="auto" w:fill="EDEDED"/>
          </w:tcPr>
          <w:p>
            <w:pPr>
              <w:ind w:left="40"/>
              <w:spacing w:after="0"/>
              <w:rPr>
                <w:sz w:val="20"/>
                <w:szCs w:val="20"/>
                <w:color w:val="auto"/>
              </w:rPr>
            </w:pPr>
            <w:r>
              <w:rPr>
                <w:rFonts w:ascii="Arial" w:cs="Arial" w:eastAsia="Arial" w:hAnsi="Arial"/>
                <w:sz w:val="16"/>
                <w:szCs w:val="16"/>
                <w:b w:val="1"/>
                <w:bCs w:val="1"/>
                <w:color w:val="00162F"/>
              </w:rPr>
              <w:t>Operating lease right-of-use assets</w:t>
            </w:r>
          </w:p>
        </w:tc>
        <w:tc>
          <w:tcPr>
            <w:tcW w:w="340" w:type="dxa"/>
            <w:vAlign w:val="bottom"/>
            <w:shd w:val="clear" w:color="auto" w:fill="EDEDED"/>
          </w:tcPr>
          <w:p>
            <w:pPr>
              <w:spacing w:after="0"/>
              <w:rPr>
                <w:sz w:val="21"/>
                <w:szCs w:val="21"/>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7,091</w:t>
            </w:r>
          </w:p>
        </w:tc>
        <w:tc>
          <w:tcPr>
            <w:tcW w:w="80" w:type="dxa"/>
            <w:vAlign w:val="bottom"/>
            <w:shd w:val="clear" w:color="auto" w:fill="EDEDED"/>
          </w:tcPr>
          <w:p>
            <w:pPr>
              <w:spacing w:after="0"/>
              <w:rPr>
                <w:sz w:val="21"/>
                <w:szCs w:val="21"/>
                <w:color w:val="auto"/>
              </w:rPr>
            </w:pPr>
          </w:p>
        </w:tc>
        <w:tc>
          <w:tcPr>
            <w:tcW w:w="5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7,333</w:t>
            </w:r>
          </w:p>
        </w:tc>
        <w:tc>
          <w:tcPr>
            <w:tcW w:w="0" w:type="dxa"/>
            <w:vAlign w:val="bottom"/>
          </w:tcPr>
          <w:p>
            <w:pPr>
              <w:spacing w:after="0"/>
              <w:rPr>
                <w:sz w:val="1"/>
                <w:szCs w:val="1"/>
                <w:color w:val="auto"/>
              </w:rPr>
            </w:pPr>
          </w:p>
        </w:tc>
      </w:tr>
      <w:tr>
        <w:trPr>
          <w:trHeight w:val="235"/>
        </w:trPr>
        <w:tc>
          <w:tcPr>
            <w:tcW w:w="7680" w:type="dxa"/>
            <w:vAlign w:val="bottom"/>
          </w:tcPr>
          <w:p>
            <w:pPr>
              <w:ind w:left="40"/>
              <w:spacing w:after="0"/>
              <w:rPr>
                <w:sz w:val="20"/>
                <w:szCs w:val="20"/>
                <w:color w:val="auto"/>
              </w:rPr>
            </w:pPr>
            <w:r>
              <w:rPr>
                <w:rFonts w:ascii="Arial" w:cs="Arial" w:eastAsia="Arial" w:hAnsi="Arial"/>
                <w:sz w:val="16"/>
                <w:szCs w:val="16"/>
                <w:b w:val="1"/>
                <w:bCs w:val="1"/>
                <w:color w:val="00162F"/>
              </w:rPr>
              <w:t>Other assets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Goodwill</w:t>
            </w:r>
          </w:p>
        </w:tc>
        <w:tc>
          <w:tcPr>
            <w:tcW w:w="340" w:type="dxa"/>
            <w:vAlign w:val="bottom"/>
            <w:shd w:val="clear" w:color="auto" w:fill="EDEDED"/>
          </w:tcPr>
          <w:p>
            <w:pPr>
              <w:spacing w:after="0"/>
              <w:rPr>
                <w:sz w:val="20"/>
                <w:szCs w:val="20"/>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4,091</w:t>
            </w:r>
          </w:p>
        </w:tc>
        <w:tc>
          <w:tcPr>
            <w:tcW w:w="80" w:type="dxa"/>
            <w:vAlign w:val="bottom"/>
            <w:shd w:val="clear" w:color="auto" w:fill="EDEDED"/>
          </w:tcPr>
          <w:p>
            <w:pPr>
              <w:spacing w:after="0"/>
              <w:rPr>
                <w:sz w:val="20"/>
                <w:szCs w:val="20"/>
                <w:color w:val="auto"/>
              </w:rPr>
            </w:pPr>
          </w:p>
        </w:tc>
        <w:tc>
          <w:tcPr>
            <w:tcW w:w="520" w:type="dxa"/>
            <w:vAlign w:val="bottom"/>
            <w:shd w:val="clear" w:color="auto" w:fill="EDEDED"/>
          </w:tcPr>
          <w:p>
            <w:pPr>
              <w:spacing w:after="0"/>
              <w:rPr>
                <w:sz w:val="20"/>
                <w:szCs w:val="20"/>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4,091</w:t>
            </w:r>
          </w:p>
        </w:tc>
        <w:tc>
          <w:tcPr>
            <w:tcW w:w="0" w:type="dxa"/>
            <w:vAlign w:val="bottom"/>
          </w:tcPr>
          <w:p>
            <w:pPr>
              <w:spacing w:after="0"/>
              <w:rPr>
                <w:sz w:val="1"/>
                <w:szCs w:val="1"/>
                <w:color w:val="auto"/>
              </w:rPr>
            </w:pPr>
          </w:p>
        </w:tc>
      </w:tr>
      <w:tr>
        <w:trPr>
          <w:trHeight w:val="231"/>
        </w:trPr>
        <w:tc>
          <w:tcPr>
            <w:tcW w:w="7680" w:type="dxa"/>
            <w:vAlign w:val="bottom"/>
          </w:tcPr>
          <w:p>
            <w:pPr>
              <w:ind w:left="260"/>
              <w:spacing w:after="0"/>
              <w:rPr>
                <w:sz w:val="20"/>
                <w:szCs w:val="20"/>
                <w:color w:val="auto"/>
              </w:rPr>
            </w:pPr>
            <w:r>
              <w:rPr>
                <w:rFonts w:ascii="Arial" w:cs="Arial" w:eastAsia="Arial" w:hAnsi="Arial"/>
                <w:sz w:val="16"/>
                <w:szCs w:val="16"/>
                <w:color w:val="00162F"/>
              </w:rPr>
              <w:t>Intangibles, net of accumulated amortization of $848 and $841, respectively</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2,066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2,044</w:t>
            </w:r>
          </w:p>
        </w:tc>
        <w:tc>
          <w:tcPr>
            <w:tcW w:w="0" w:type="dxa"/>
            <w:vAlign w:val="bottom"/>
          </w:tcPr>
          <w:p>
            <w:pPr>
              <w:spacing w:after="0"/>
              <w:rPr>
                <w:sz w:val="1"/>
                <w:szCs w:val="1"/>
                <w:color w:val="auto"/>
              </w:rPr>
            </w:pPr>
          </w:p>
        </w:tc>
      </w:tr>
      <w:tr>
        <w:trPr>
          <w:trHeight w:val="244"/>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Deferred tax asset</w:t>
            </w:r>
          </w:p>
        </w:tc>
        <w:tc>
          <w:tcPr>
            <w:tcW w:w="340" w:type="dxa"/>
            <w:vAlign w:val="bottom"/>
            <w:shd w:val="clear" w:color="auto" w:fill="EDEDED"/>
          </w:tcPr>
          <w:p>
            <w:pPr>
              <w:spacing w:after="0"/>
              <w:rPr>
                <w:sz w:val="21"/>
                <w:szCs w:val="21"/>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2,368</w:t>
            </w:r>
          </w:p>
        </w:tc>
        <w:tc>
          <w:tcPr>
            <w:tcW w:w="80" w:type="dxa"/>
            <w:vAlign w:val="bottom"/>
            <w:shd w:val="clear" w:color="auto" w:fill="EDEDED"/>
          </w:tcPr>
          <w:p>
            <w:pPr>
              <w:spacing w:after="0"/>
              <w:rPr>
                <w:sz w:val="21"/>
                <w:szCs w:val="21"/>
                <w:color w:val="auto"/>
              </w:rPr>
            </w:pPr>
          </w:p>
        </w:tc>
        <w:tc>
          <w:tcPr>
            <w:tcW w:w="5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2,485</w:t>
            </w:r>
          </w:p>
        </w:tc>
        <w:tc>
          <w:tcPr>
            <w:tcW w:w="0" w:type="dxa"/>
            <w:vAlign w:val="bottom"/>
          </w:tcPr>
          <w:p>
            <w:pPr>
              <w:spacing w:after="0"/>
              <w:rPr>
                <w:sz w:val="1"/>
                <w:szCs w:val="1"/>
                <w:color w:val="auto"/>
              </w:rPr>
            </w:pPr>
          </w:p>
        </w:tc>
      </w:tr>
      <w:tr>
        <w:trPr>
          <w:trHeight w:val="228"/>
        </w:trPr>
        <w:tc>
          <w:tcPr>
            <w:tcW w:w="7680" w:type="dxa"/>
            <w:vAlign w:val="bottom"/>
            <w:tcBorders>
              <w:bottom w:val="single" w:sz="8" w:color="EDEDED"/>
            </w:tcBorders>
          </w:tcPr>
          <w:p>
            <w:pPr>
              <w:ind w:left="260"/>
              <w:spacing w:after="0"/>
              <w:rPr>
                <w:sz w:val="20"/>
                <w:szCs w:val="20"/>
                <w:color w:val="auto"/>
              </w:rPr>
            </w:pPr>
            <w:r>
              <w:rPr>
                <w:rFonts w:ascii="Arial" w:cs="Arial" w:eastAsia="Arial" w:hAnsi="Arial"/>
                <w:sz w:val="16"/>
                <w:szCs w:val="16"/>
                <w:color w:val="00162F"/>
              </w:rPr>
              <w:t>Other assets</w:t>
            </w:r>
          </w:p>
        </w:tc>
        <w:tc>
          <w:tcPr>
            <w:tcW w:w="340" w:type="dxa"/>
            <w:vAlign w:val="bottom"/>
            <w:tcBorders>
              <w:bottom w:val="single" w:sz="8" w:color="00162F"/>
            </w:tcBorders>
          </w:tcPr>
          <w:p>
            <w:pPr>
              <w:spacing w:after="0"/>
              <w:rPr>
                <w:sz w:val="19"/>
                <w:szCs w:val="19"/>
                <w:color w:val="auto"/>
              </w:rPr>
            </w:pPr>
          </w:p>
        </w:tc>
        <w:tc>
          <w:tcPr>
            <w:tcW w:w="112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1,413</w:t>
            </w:r>
          </w:p>
        </w:tc>
        <w:tc>
          <w:tcPr>
            <w:tcW w:w="80" w:type="dxa"/>
            <w:vAlign w:val="bottom"/>
            <w:tcBorders>
              <w:bottom w:val="single" w:sz="8" w:color="EDEDED"/>
            </w:tcBorders>
          </w:tcPr>
          <w:p>
            <w:pPr>
              <w:spacing w:after="0"/>
              <w:rPr>
                <w:sz w:val="19"/>
                <w:szCs w:val="19"/>
                <w:color w:val="auto"/>
              </w:rPr>
            </w:pPr>
          </w:p>
        </w:tc>
        <w:tc>
          <w:tcPr>
            <w:tcW w:w="520" w:type="dxa"/>
            <w:vAlign w:val="bottom"/>
            <w:tcBorders>
              <w:bottom w:val="single" w:sz="8" w:color="00162F"/>
            </w:tcBorders>
          </w:tcPr>
          <w:p>
            <w:pPr>
              <w:spacing w:after="0"/>
              <w:rPr>
                <w:sz w:val="19"/>
                <w:szCs w:val="19"/>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1,549</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6"/>
                <w:szCs w:val="16"/>
                <w:color w:val="00162F"/>
              </w:rPr>
              <w:t>Total other assets</w:t>
            </w:r>
          </w:p>
        </w:tc>
        <w:tc>
          <w:tcPr>
            <w:tcW w:w="340" w:type="dxa"/>
            <w:vAlign w:val="bottom"/>
            <w:tcBorders>
              <w:bottom w:val="single" w:sz="8" w:color="00162F"/>
            </w:tcBorders>
            <w:shd w:val="clear" w:color="auto" w:fill="EDEDED"/>
          </w:tcPr>
          <w:p>
            <w:pPr>
              <w:spacing w:after="0"/>
              <w:rPr>
                <w:sz w:val="20"/>
                <w:szCs w:val="20"/>
                <w:color w:val="auto"/>
              </w:rPr>
            </w:pP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9,938</w:t>
            </w:r>
          </w:p>
        </w:tc>
        <w:tc>
          <w:tcPr>
            <w:tcW w:w="80" w:type="dxa"/>
            <w:vAlign w:val="bottom"/>
            <w:tcBorders>
              <w:bottom w:val="single" w:sz="8" w:color="EDEDED"/>
            </w:tcBorders>
            <w:shd w:val="clear" w:color="auto" w:fill="EDEDED"/>
          </w:tcPr>
          <w:p>
            <w:pPr>
              <w:spacing w:after="0"/>
              <w:rPr>
                <w:sz w:val="20"/>
                <w:szCs w:val="20"/>
                <w:color w:val="auto"/>
              </w:rPr>
            </w:pPr>
          </w:p>
        </w:tc>
        <w:tc>
          <w:tcPr>
            <w:tcW w:w="520" w:type="dxa"/>
            <w:vAlign w:val="bottom"/>
            <w:tcBorders>
              <w:bottom w:val="single" w:sz="8" w:color="00162F"/>
            </w:tcBorders>
            <w:shd w:val="clear" w:color="auto" w:fill="EDEDED"/>
          </w:tcPr>
          <w:p>
            <w:pPr>
              <w:spacing w:after="0"/>
              <w:rPr>
                <w:sz w:val="20"/>
                <w:szCs w:val="20"/>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10,169</w:t>
            </w:r>
          </w:p>
        </w:tc>
        <w:tc>
          <w:tcPr>
            <w:tcW w:w="0" w:type="dxa"/>
            <w:vAlign w:val="bottom"/>
          </w:tcPr>
          <w:p>
            <w:pPr>
              <w:spacing w:after="0"/>
              <w:rPr>
                <w:sz w:val="1"/>
                <w:szCs w:val="1"/>
                <w:color w:val="auto"/>
              </w:rPr>
            </w:pPr>
          </w:p>
        </w:tc>
      </w:tr>
      <w:tr>
        <w:trPr>
          <w:trHeight w:val="219"/>
        </w:trPr>
        <w:tc>
          <w:tcPr>
            <w:tcW w:w="7680" w:type="dxa"/>
            <w:vAlign w:val="bottom"/>
            <w:tcBorders>
              <w:bottom w:val="single" w:sz="8" w:color="EDEDED"/>
            </w:tcBorders>
          </w:tcPr>
          <w:p>
            <w:pPr>
              <w:ind w:left="760"/>
              <w:spacing w:after="0" w:line="179" w:lineRule="exact"/>
              <w:rPr>
                <w:sz w:val="20"/>
                <w:szCs w:val="20"/>
                <w:color w:val="auto"/>
              </w:rPr>
            </w:pPr>
            <w:r>
              <w:rPr>
                <w:rFonts w:ascii="Arial" w:cs="Arial" w:eastAsia="Arial" w:hAnsi="Arial"/>
                <w:sz w:val="16"/>
                <w:szCs w:val="16"/>
                <w:b w:val="1"/>
                <w:bCs w:val="1"/>
                <w:color w:val="00162F"/>
              </w:rPr>
              <w:t>Total assets</w:t>
            </w:r>
          </w:p>
        </w:tc>
        <w:tc>
          <w:tcPr>
            <w:tcW w:w="340" w:type="dxa"/>
            <w:vAlign w:val="bottom"/>
            <w:tcBorders>
              <w:bottom w:val="single" w:sz="8" w:color="00162F"/>
            </w:tcBorders>
          </w:tcPr>
          <w:p>
            <w:pPr>
              <w:jc w:val="right"/>
              <w:ind w:right="121"/>
              <w:spacing w:after="0" w:line="179" w:lineRule="exact"/>
              <w:rPr>
                <w:sz w:val="20"/>
                <w:szCs w:val="20"/>
                <w:color w:val="auto"/>
              </w:rPr>
            </w:pPr>
            <w:r>
              <w:rPr>
                <w:rFonts w:ascii="Arial" w:cs="Arial" w:eastAsia="Arial" w:hAnsi="Arial"/>
                <w:sz w:val="16"/>
                <w:szCs w:val="16"/>
                <w:color w:val="00162F"/>
              </w:rPr>
              <w:t>$</w:t>
            </w:r>
          </w:p>
        </w:tc>
        <w:tc>
          <w:tcPr>
            <w:tcW w:w="1120" w:type="dxa"/>
            <w:vAlign w:val="bottom"/>
            <w:tcBorders>
              <w:bottom w:val="single" w:sz="8" w:color="00162F"/>
            </w:tcBorders>
          </w:tcPr>
          <w:p>
            <w:pPr>
              <w:jc w:val="right"/>
              <w:spacing w:after="0" w:line="179" w:lineRule="exact"/>
              <w:rPr>
                <w:sz w:val="20"/>
                <w:szCs w:val="20"/>
                <w:color w:val="auto"/>
              </w:rPr>
            </w:pPr>
            <w:r>
              <w:rPr>
                <w:rFonts w:ascii="Arial" w:cs="Arial" w:eastAsia="Arial" w:hAnsi="Arial"/>
                <w:sz w:val="16"/>
                <w:szCs w:val="16"/>
                <w:color w:val="00162F"/>
              </w:rPr>
              <w:t>61,774</w:t>
            </w:r>
          </w:p>
        </w:tc>
        <w:tc>
          <w:tcPr>
            <w:tcW w:w="80" w:type="dxa"/>
            <w:vAlign w:val="bottom"/>
            <w:tcBorders>
              <w:bottom w:val="single" w:sz="8" w:color="EDEDED"/>
            </w:tcBorders>
          </w:tcPr>
          <w:p>
            <w:pPr>
              <w:spacing w:after="0"/>
              <w:rPr>
                <w:sz w:val="19"/>
                <w:szCs w:val="19"/>
                <w:color w:val="auto"/>
              </w:rPr>
            </w:pPr>
          </w:p>
        </w:tc>
        <w:tc>
          <w:tcPr>
            <w:tcW w:w="520" w:type="dxa"/>
            <w:vAlign w:val="bottom"/>
            <w:tcBorders>
              <w:bottom w:val="single" w:sz="8" w:color="00162F"/>
            </w:tcBorders>
          </w:tcPr>
          <w:p>
            <w:pPr>
              <w:jc w:val="right"/>
              <w:ind w:right="301"/>
              <w:spacing w:after="0" w:line="179" w:lineRule="exact"/>
              <w:rPr>
                <w:sz w:val="20"/>
                <w:szCs w:val="20"/>
                <w:color w:val="auto"/>
              </w:rPr>
            </w:pPr>
            <w:r>
              <w:rPr>
                <w:rFonts w:ascii="Arial" w:cs="Arial" w:eastAsia="Arial" w:hAnsi="Arial"/>
                <w:sz w:val="16"/>
                <w:szCs w:val="16"/>
                <w:color w:val="00162F"/>
              </w:rPr>
              <w:t>$</w:t>
            </w:r>
          </w:p>
        </w:tc>
        <w:tc>
          <w:tcPr>
            <w:tcW w:w="940" w:type="dxa"/>
            <w:vAlign w:val="bottom"/>
            <w:tcBorders>
              <w:bottom w:val="single" w:sz="8" w:color="00162F"/>
            </w:tcBorders>
          </w:tcPr>
          <w:p>
            <w:pPr>
              <w:jc w:val="right"/>
              <w:spacing w:after="0" w:line="179" w:lineRule="exact"/>
              <w:rPr>
                <w:sz w:val="20"/>
                <w:szCs w:val="20"/>
                <w:color w:val="auto"/>
              </w:rPr>
            </w:pPr>
            <w:r>
              <w:rPr>
                <w:rFonts w:ascii="Arial" w:cs="Arial" w:eastAsia="Arial" w:hAnsi="Arial"/>
                <w:sz w:val="16"/>
                <w:szCs w:val="16"/>
                <w:color w:val="00162F"/>
              </w:rPr>
              <w:t>61,783</w:t>
            </w:r>
          </w:p>
        </w:tc>
        <w:tc>
          <w:tcPr>
            <w:tcW w:w="0" w:type="dxa"/>
            <w:vAlign w:val="bottom"/>
          </w:tcPr>
          <w:p>
            <w:pPr>
              <w:spacing w:after="0"/>
              <w:rPr>
                <w:sz w:val="1"/>
                <w:szCs w:val="1"/>
                <w:color w:val="auto"/>
              </w:rPr>
            </w:pPr>
          </w:p>
        </w:tc>
      </w:tr>
      <w:tr>
        <w:trPr>
          <w:trHeight w:val="208"/>
        </w:trPr>
        <w:tc>
          <w:tcPr>
            <w:tcW w:w="7680" w:type="dxa"/>
            <w:vAlign w:val="bottom"/>
            <w:shd w:val="clear" w:color="auto" w:fill="EDEDED"/>
          </w:tcPr>
          <w:p>
            <w:pPr>
              <w:ind w:left="40"/>
              <w:spacing w:after="0"/>
              <w:rPr>
                <w:sz w:val="20"/>
                <w:szCs w:val="20"/>
                <w:color w:val="auto"/>
              </w:rPr>
            </w:pPr>
            <w:r>
              <w:rPr>
                <w:rFonts w:ascii="Arial" w:cs="Arial" w:eastAsia="Arial" w:hAnsi="Arial"/>
                <w:sz w:val="16"/>
                <w:szCs w:val="16"/>
                <w:b w:val="1"/>
                <w:bCs w:val="1"/>
                <w:color w:val="00162F"/>
              </w:rPr>
              <w:t>LIABILITIES AND STOCKHOLDERS’ EQUITY (DEFICIT)</w:t>
            </w:r>
          </w:p>
        </w:tc>
        <w:tc>
          <w:tcPr>
            <w:tcW w:w="340" w:type="dxa"/>
            <w:vAlign w:val="bottom"/>
            <w:shd w:val="clear" w:color="auto" w:fill="EDEDED"/>
          </w:tcPr>
          <w:p>
            <w:pPr>
              <w:spacing w:after="0"/>
              <w:rPr>
                <w:sz w:val="18"/>
                <w:szCs w:val="18"/>
                <w:color w:val="auto"/>
              </w:rPr>
            </w:pPr>
          </w:p>
        </w:tc>
        <w:tc>
          <w:tcPr>
            <w:tcW w:w="1120" w:type="dxa"/>
            <w:vAlign w:val="bottom"/>
            <w:shd w:val="clear" w:color="auto" w:fill="EDEDED"/>
          </w:tcPr>
          <w:p>
            <w:pPr>
              <w:spacing w:after="0"/>
              <w:rPr>
                <w:sz w:val="18"/>
                <w:szCs w:val="18"/>
                <w:color w:val="auto"/>
              </w:rPr>
            </w:pPr>
          </w:p>
        </w:tc>
        <w:tc>
          <w:tcPr>
            <w:tcW w:w="80" w:type="dxa"/>
            <w:vAlign w:val="bottom"/>
            <w:shd w:val="clear" w:color="auto" w:fill="EDEDED"/>
          </w:tcPr>
          <w:p>
            <w:pPr>
              <w:spacing w:after="0"/>
              <w:rPr>
                <w:sz w:val="18"/>
                <w:szCs w:val="18"/>
                <w:color w:val="auto"/>
              </w:rPr>
            </w:pPr>
          </w:p>
        </w:tc>
        <w:tc>
          <w:tcPr>
            <w:tcW w:w="520" w:type="dxa"/>
            <w:vAlign w:val="bottom"/>
            <w:shd w:val="clear" w:color="auto" w:fill="EDEDED"/>
          </w:tcPr>
          <w:p>
            <w:pPr>
              <w:spacing w:after="0"/>
              <w:rPr>
                <w:sz w:val="18"/>
                <w:szCs w:val="18"/>
                <w:color w:val="auto"/>
              </w:rPr>
            </w:pPr>
          </w:p>
        </w:tc>
        <w:tc>
          <w:tcPr>
            <w:tcW w:w="94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680" w:type="dxa"/>
            <w:vAlign w:val="bottom"/>
          </w:tcPr>
          <w:p>
            <w:pPr>
              <w:ind w:left="40"/>
              <w:spacing w:after="0"/>
              <w:rPr>
                <w:sz w:val="20"/>
                <w:szCs w:val="20"/>
                <w:color w:val="auto"/>
              </w:rPr>
            </w:pPr>
            <w:r>
              <w:rPr>
                <w:rFonts w:ascii="Arial" w:cs="Arial" w:eastAsia="Arial" w:hAnsi="Arial"/>
                <w:sz w:val="16"/>
                <w:szCs w:val="16"/>
                <w:b w:val="1"/>
                <w:bCs w:val="1"/>
                <w:color w:val="00162F"/>
              </w:rPr>
              <w:t>Current liabilities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Current maturities of long-term debt and finance leases</w:t>
            </w:r>
          </w:p>
        </w:tc>
        <w:tc>
          <w:tcPr>
            <w:tcW w:w="340" w:type="dxa"/>
            <w:vAlign w:val="bottom"/>
            <w:shd w:val="clear" w:color="auto" w:fill="EDEDED"/>
          </w:tcPr>
          <w:p>
            <w:pPr>
              <w:jc w:val="right"/>
              <w:ind w:right="121"/>
              <w:spacing w:after="0"/>
              <w:rPr>
                <w:sz w:val="20"/>
                <w:szCs w:val="20"/>
                <w:color w:val="auto"/>
              </w:rPr>
            </w:pPr>
            <w:r>
              <w:rPr>
                <w:rFonts w:ascii="Arial" w:cs="Arial" w:eastAsia="Arial" w:hAnsi="Arial"/>
                <w:sz w:val="16"/>
                <w:szCs w:val="16"/>
                <w:color w:val="00162F"/>
              </w:rPr>
              <w:t>$</w:t>
            </w: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3,753</w:t>
            </w:r>
          </w:p>
        </w:tc>
        <w:tc>
          <w:tcPr>
            <w:tcW w:w="80" w:type="dxa"/>
            <w:vAlign w:val="bottom"/>
            <w:shd w:val="clear" w:color="auto" w:fill="EDEDED"/>
          </w:tcPr>
          <w:p>
            <w:pPr>
              <w:spacing w:after="0"/>
              <w:rPr>
                <w:sz w:val="20"/>
                <w:szCs w:val="20"/>
                <w:color w:val="auto"/>
              </w:rPr>
            </w:pPr>
          </w:p>
        </w:tc>
        <w:tc>
          <w:tcPr>
            <w:tcW w:w="520" w:type="dxa"/>
            <w:vAlign w:val="bottom"/>
            <w:shd w:val="clear" w:color="auto" w:fill="EDEDED"/>
          </w:tcPr>
          <w:p>
            <w:pPr>
              <w:jc w:val="right"/>
              <w:ind w:right="301"/>
              <w:spacing w:after="0"/>
              <w:rPr>
                <w:sz w:val="20"/>
                <w:szCs w:val="20"/>
                <w:color w:val="auto"/>
              </w:rPr>
            </w:pPr>
            <w:r>
              <w:rPr>
                <w:rFonts w:ascii="Arial" w:cs="Arial" w:eastAsia="Arial" w:hAnsi="Arial"/>
                <w:sz w:val="16"/>
                <w:szCs w:val="16"/>
                <w:color w:val="00162F"/>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5,322</w:t>
            </w:r>
          </w:p>
        </w:tc>
        <w:tc>
          <w:tcPr>
            <w:tcW w:w="0" w:type="dxa"/>
            <w:vAlign w:val="bottom"/>
          </w:tcPr>
          <w:p>
            <w:pPr>
              <w:spacing w:after="0"/>
              <w:rPr>
                <w:sz w:val="1"/>
                <w:szCs w:val="1"/>
                <w:color w:val="auto"/>
              </w:rPr>
            </w:pPr>
          </w:p>
        </w:tc>
      </w:tr>
      <w:tr>
        <w:trPr>
          <w:trHeight w:val="231"/>
        </w:trPr>
        <w:tc>
          <w:tcPr>
            <w:tcW w:w="7680" w:type="dxa"/>
            <w:vAlign w:val="bottom"/>
          </w:tcPr>
          <w:p>
            <w:pPr>
              <w:ind w:left="260"/>
              <w:spacing w:after="0"/>
              <w:rPr>
                <w:sz w:val="20"/>
                <w:szCs w:val="20"/>
                <w:color w:val="auto"/>
              </w:rPr>
            </w:pPr>
            <w:r>
              <w:rPr>
                <w:rFonts w:ascii="Arial" w:cs="Arial" w:eastAsia="Arial" w:hAnsi="Arial"/>
                <w:sz w:val="16"/>
                <w:szCs w:val="16"/>
                <w:color w:val="00162F"/>
              </w:rPr>
              <w:t>Accounts payable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2,840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2,455</w:t>
            </w:r>
          </w:p>
        </w:tc>
        <w:tc>
          <w:tcPr>
            <w:tcW w:w="0" w:type="dxa"/>
            <w:vAlign w:val="bottom"/>
          </w:tcPr>
          <w:p>
            <w:pPr>
              <w:spacing w:after="0"/>
              <w:rPr>
                <w:sz w:val="1"/>
                <w:szCs w:val="1"/>
                <w:color w:val="auto"/>
              </w:rPr>
            </w:pPr>
          </w:p>
        </w:tc>
      </w:tr>
      <w:tr>
        <w:trPr>
          <w:trHeight w:val="244"/>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Accrued salaries and wages</w:t>
            </w:r>
          </w:p>
        </w:tc>
        <w:tc>
          <w:tcPr>
            <w:tcW w:w="340" w:type="dxa"/>
            <w:vAlign w:val="bottom"/>
            <w:shd w:val="clear" w:color="auto" w:fill="EDEDED"/>
          </w:tcPr>
          <w:p>
            <w:pPr>
              <w:spacing w:after="0"/>
              <w:rPr>
                <w:sz w:val="21"/>
                <w:szCs w:val="21"/>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2,128</w:t>
            </w:r>
          </w:p>
        </w:tc>
        <w:tc>
          <w:tcPr>
            <w:tcW w:w="80" w:type="dxa"/>
            <w:vAlign w:val="bottom"/>
            <w:shd w:val="clear" w:color="auto" w:fill="EDEDED"/>
          </w:tcPr>
          <w:p>
            <w:pPr>
              <w:spacing w:after="0"/>
              <w:rPr>
                <w:sz w:val="21"/>
                <w:szCs w:val="21"/>
                <w:color w:val="auto"/>
              </w:rPr>
            </w:pPr>
          </w:p>
        </w:tc>
        <w:tc>
          <w:tcPr>
            <w:tcW w:w="5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2,150</w:t>
            </w:r>
          </w:p>
        </w:tc>
        <w:tc>
          <w:tcPr>
            <w:tcW w:w="0" w:type="dxa"/>
            <w:vAlign w:val="bottom"/>
          </w:tcPr>
          <w:p>
            <w:pPr>
              <w:spacing w:after="0"/>
              <w:rPr>
                <w:sz w:val="1"/>
                <w:szCs w:val="1"/>
                <w:color w:val="auto"/>
              </w:rPr>
            </w:pPr>
          </w:p>
        </w:tc>
      </w:tr>
      <w:tr>
        <w:trPr>
          <w:trHeight w:val="231"/>
        </w:trPr>
        <w:tc>
          <w:tcPr>
            <w:tcW w:w="7680" w:type="dxa"/>
            <w:vAlign w:val="bottom"/>
          </w:tcPr>
          <w:p>
            <w:pPr>
              <w:ind w:left="260"/>
              <w:spacing w:after="0"/>
              <w:rPr>
                <w:sz w:val="20"/>
                <w:szCs w:val="20"/>
                <w:color w:val="auto"/>
              </w:rPr>
            </w:pPr>
            <w:r>
              <w:rPr>
                <w:rFonts w:ascii="Arial" w:cs="Arial" w:eastAsia="Arial" w:hAnsi="Arial"/>
                <w:sz w:val="16"/>
                <w:szCs w:val="16"/>
                <w:color w:val="00162F"/>
              </w:rPr>
              <w:t>Air traffic liability</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7,158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6,759</w:t>
            </w:r>
          </w:p>
        </w:tc>
        <w:tc>
          <w:tcPr>
            <w:tcW w:w="0" w:type="dxa"/>
            <w:vAlign w:val="bottom"/>
          </w:tcPr>
          <w:p>
            <w:pPr>
              <w:spacing w:after="0"/>
              <w:rPr>
                <w:sz w:val="1"/>
                <w:szCs w:val="1"/>
                <w:color w:val="auto"/>
              </w:rPr>
            </w:pPr>
          </w:p>
        </w:tc>
      </w:tr>
      <w:tr>
        <w:trPr>
          <w:trHeight w:val="244"/>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Loyalty program liability</w:t>
            </w:r>
          </w:p>
        </w:tc>
        <w:tc>
          <w:tcPr>
            <w:tcW w:w="340" w:type="dxa"/>
            <w:vAlign w:val="bottom"/>
            <w:shd w:val="clear" w:color="auto" w:fill="EDEDED"/>
          </w:tcPr>
          <w:p>
            <w:pPr>
              <w:spacing w:after="0"/>
              <w:rPr>
                <w:sz w:val="21"/>
                <w:szCs w:val="21"/>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3,725</w:t>
            </w:r>
          </w:p>
        </w:tc>
        <w:tc>
          <w:tcPr>
            <w:tcW w:w="80" w:type="dxa"/>
            <w:vAlign w:val="bottom"/>
            <w:shd w:val="clear" w:color="auto" w:fill="EDEDED"/>
          </w:tcPr>
          <w:p>
            <w:pPr>
              <w:spacing w:after="0"/>
              <w:rPr>
                <w:sz w:val="21"/>
                <w:szCs w:val="21"/>
                <w:color w:val="auto"/>
              </w:rPr>
            </w:pPr>
          </w:p>
        </w:tc>
        <w:tc>
          <w:tcPr>
            <w:tcW w:w="5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3,556</w:t>
            </w:r>
          </w:p>
        </w:tc>
        <w:tc>
          <w:tcPr>
            <w:tcW w:w="0" w:type="dxa"/>
            <w:vAlign w:val="bottom"/>
          </w:tcPr>
          <w:p>
            <w:pPr>
              <w:spacing w:after="0"/>
              <w:rPr>
                <w:sz w:val="1"/>
                <w:szCs w:val="1"/>
                <w:color w:val="auto"/>
              </w:rPr>
            </w:pPr>
          </w:p>
        </w:tc>
      </w:tr>
      <w:tr>
        <w:trPr>
          <w:trHeight w:val="231"/>
        </w:trPr>
        <w:tc>
          <w:tcPr>
            <w:tcW w:w="7680" w:type="dxa"/>
            <w:vAlign w:val="bottom"/>
          </w:tcPr>
          <w:p>
            <w:pPr>
              <w:ind w:left="260"/>
              <w:spacing w:after="0"/>
              <w:rPr>
                <w:sz w:val="20"/>
                <w:szCs w:val="20"/>
                <w:color w:val="auto"/>
              </w:rPr>
            </w:pPr>
            <w:r>
              <w:rPr>
                <w:rFonts w:ascii="Arial" w:cs="Arial" w:eastAsia="Arial" w:hAnsi="Arial"/>
                <w:sz w:val="16"/>
                <w:szCs w:val="16"/>
                <w:color w:val="00162F"/>
              </w:rPr>
              <w:t>Operating lease liabilities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1,058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1,092</w:t>
            </w:r>
          </w:p>
        </w:tc>
        <w:tc>
          <w:tcPr>
            <w:tcW w:w="0" w:type="dxa"/>
            <w:vAlign w:val="bottom"/>
          </w:tcPr>
          <w:p>
            <w:pPr>
              <w:spacing w:after="0"/>
              <w:rPr>
                <w:sz w:val="1"/>
                <w:szCs w:val="1"/>
                <w:color w:val="auto"/>
              </w:rPr>
            </w:pPr>
          </w:p>
        </w:tc>
      </w:tr>
      <w:tr>
        <w:trPr>
          <w:trHeight w:val="244"/>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Fuel financing</w:t>
            </w:r>
          </w:p>
        </w:tc>
        <w:tc>
          <w:tcPr>
            <w:tcW w:w="340" w:type="dxa"/>
            <w:vAlign w:val="bottom"/>
            <w:shd w:val="clear" w:color="auto" w:fill="EDEDED"/>
          </w:tcPr>
          <w:p>
            <w:pPr>
              <w:spacing w:after="0"/>
              <w:rPr>
                <w:sz w:val="21"/>
                <w:szCs w:val="21"/>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914</w:t>
            </w:r>
          </w:p>
        </w:tc>
        <w:tc>
          <w:tcPr>
            <w:tcW w:w="80" w:type="dxa"/>
            <w:vAlign w:val="bottom"/>
            <w:shd w:val="clear" w:color="auto" w:fill="EDEDED"/>
          </w:tcPr>
          <w:p>
            <w:pPr>
              <w:spacing w:after="0"/>
              <w:rPr>
                <w:sz w:val="21"/>
                <w:szCs w:val="21"/>
                <w:color w:val="auto"/>
              </w:rPr>
            </w:pPr>
          </w:p>
        </w:tc>
        <w:tc>
          <w:tcPr>
            <w:tcW w:w="5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74</w:t>
            </w:r>
          </w:p>
        </w:tc>
        <w:tc>
          <w:tcPr>
            <w:tcW w:w="0" w:type="dxa"/>
            <w:vAlign w:val="bottom"/>
          </w:tcPr>
          <w:p>
            <w:pPr>
              <w:spacing w:after="0"/>
              <w:rPr>
                <w:sz w:val="1"/>
                <w:szCs w:val="1"/>
                <w:color w:val="auto"/>
              </w:rPr>
            </w:pPr>
          </w:p>
        </w:tc>
      </w:tr>
      <w:tr>
        <w:trPr>
          <w:trHeight w:val="228"/>
        </w:trPr>
        <w:tc>
          <w:tcPr>
            <w:tcW w:w="7680" w:type="dxa"/>
            <w:vAlign w:val="bottom"/>
            <w:tcBorders>
              <w:bottom w:val="single" w:sz="8" w:color="EDEDED"/>
            </w:tcBorders>
          </w:tcPr>
          <w:p>
            <w:pPr>
              <w:ind w:left="260"/>
              <w:spacing w:after="0"/>
              <w:rPr>
                <w:sz w:val="20"/>
                <w:szCs w:val="20"/>
                <w:color w:val="auto"/>
              </w:rPr>
            </w:pPr>
            <w:r>
              <w:rPr>
                <w:rFonts w:ascii="Arial" w:cs="Arial" w:eastAsia="Arial" w:hAnsi="Arial"/>
                <w:sz w:val="16"/>
                <w:szCs w:val="16"/>
                <w:color w:val="00162F"/>
              </w:rPr>
              <w:t>Other accrued liabilities</w:t>
            </w:r>
          </w:p>
        </w:tc>
        <w:tc>
          <w:tcPr>
            <w:tcW w:w="340" w:type="dxa"/>
            <w:vAlign w:val="bottom"/>
            <w:tcBorders>
              <w:bottom w:val="single" w:sz="8" w:color="00162F"/>
            </w:tcBorders>
          </w:tcPr>
          <w:p>
            <w:pPr>
              <w:spacing w:after="0"/>
              <w:rPr>
                <w:sz w:val="19"/>
                <w:szCs w:val="19"/>
                <w:color w:val="auto"/>
              </w:rPr>
            </w:pPr>
          </w:p>
        </w:tc>
        <w:tc>
          <w:tcPr>
            <w:tcW w:w="112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2,916</w:t>
            </w:r>
          </w:p>
        </w:tc>
        <w:tc>
          <w:tcPr>
            <w:tcW w:w="80" w:type="dxa"/>
            <w:vAlign w:val="bottom"/>
            <w:tcBorders>
              <w:bottom w:val="single" w:sz="8" w:color="EDEDED"/>
            </w:tcBorders>
          </w:tcPr>
          <w:p>
            <w:pPr>
              <w:spacing w:after="0"/>
              <w:rPr>
                <w:sz w:val="19"/>
                <w:szCs w:val="19"/>
                <w:color w:val="auto"/>
              </w:rPr>
            </w:pPr>
          </w:p>
        </w:tc>
        <w:tc>
          <w:tcPr>
            <w:tcW w:w="520" w:type="dxa"/>
            <w:vAlign w:val="bottom"/>
            <w:tcBorders>
              <w:bottom w:val="single" w:sz="8" w:color="00162F"/>
            </w:tcBorders>
          </w:tcPr>
          <w:p>
            <w:pPr>
              <w:spacing w:after="0"/>
              <w:rPr>
                <w:sz w:val="19"/>
                <w:szCs w:val="19"/>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2,887</w:t>
            </w:r>
          </w:p>
        </w:tc>
        <w:tc>
          <w:tcPr>
            <w:tcW w:w="0" w:type="dxa"/>
            <w:vAlign w:val="bottom"/>
          </w:tcPr>
          <w:p>
            <w:pPr>
              <w:spacing w:after="0"/>
              <w:rPr>
                <w:sz w:val="1"/>
                <w:szCs w:val="1"/>
                <w:color w:val="auto"/>
              </w:rPr>
            </w:pPr>
          </w:p>
        </w:tc>
      </w:tr>
      <w:tr>
        <w:trPr>
          <w:trHeight w:val="228"/>
        </w:trPr>
        <w:tc>
          <w:tcPr>
            <w:tcW w:w="7680" w:type="dxa"/>
            <w:vAlign w:val="bottom"/>
            <w:shd w:val="clear" w:color="auto" w:fill="EDEDED"/>
          </w:tcPr>
          <w:p>
            <w:pPr>
              <w:ind w:left="540"/>
              <w:spacing w:after="0"/>
              <w:rPr>
                <w:sz w:val="20"/>
                <w:szCs w:val="20"/>
                <w:color w:val="auto"/>
              </w:rPr>
            </w:pPr>
            <w:r>
              <w:rPr>
                <w:rFonts w:ascii="Arial" w:cs="Arial" w:eastAsia="Arial" w:hAnsi="Arial"/>
                <w:sz w:val="16"/>
                <w:szCs w:val="16"/>
                <w:color w:val="00162F"/>
              </w:rPr>
              <w:t>Total current liabilities</w:t>
            </w:r>
          </w:p>
        </w:tc>
        <w:tc>
          <w:tcPr>
            <w:tcW w:w="340" w:type="dxa"/>
            <w:vAlign w:val="bottom"/>
            <w:shd w:val="clear" w:color="auto" w:fill="EDEDED"/>
          </w:tcPr>
          <w:p>
            <w:pPr>
              <w:spacing w:after="0"/>
              <w:rPr>
                <w:sz w:val="19"/>
                <w:szCs w:val="19"/>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24,492</w:t>
            </w:r>
          </w:p>
        </w:tc>
        <w:tc>
          <w:tcPr>
            <w:tcW w:w="80" w:type="dxa"/>
            <w:vAlign w:val="bottom"/>
            <w:shd w:val="clear" w:color="auto" w:fill="EDEDED"/>
          </w:tcPr>
          <w:p>
            <w:pPr>
              <w:spacing w:after="0"/>
              <w:rPr>
                <w:sz w:val="19"/>
                <w:szCs w:val="19"/>
                <w:color w:val="auto"/>
              </w:rPr>
            </w:pPr>
          </w:p>
        </w:tc>
        <w:tc>
          <w:tcPr>
            <w:tcW w:w="520" w:type="dxa"/>
            <w:vAlign w:val="bottom"/>
            <w:shd w:val="clear" w:color="auto" w:fill="EDEDED"/>
          </w:tcPr>
          <w:p>
            <w:pPr>
              <w:spacing w:after="0"/>
              <w:rPr>
                <w:sz w:val="19"/>
                <w:szCs w:val="19"/>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24,295</w:t>
            </w:r>
          </w:p>
        </w:tc>
        <w:tc>
          <w:tcPr>
            <w:tcW w:w="0" w:type="dxa"/>
            <w:vAlign w:val="bottom"/>
          </w:tcPr>
          <w:p>
            <w:pPr>
              <w:spacing w:after="0"/>
              <w:rPr>
                <w:sz w:val="1"/>
                <w:szCs w:val="1"/>
                <w:color w:val="auto"/>
              </w:rPr>
            </w:pPr>
          </w:p>
        </w:tc>
      </w:tr>
      <w:tr>
        <w:trPr>
          <w:trHeight w:val="235"/>
        </w:trPr>
        <w:tc>
          <w:tcPr>
            <w:tcW w:w="7680" w:type="dxa"/>
            <w:vAlign w:val="bottom"/>
          </w:tcPr>
          <w:p>
            <w:pPr>
              <w:ind w:left="40"/>
              <w:spacing w:after="0"/>
              <w:rPr>
                <w:sz w:val="20"/>
                <w:szCs w:val="20"/>
                <w:color w:val="auto"/>
              </w:rPr>
            </w:pPr>
            <w:r>
              <w:rPr>
                <w:rFonts w:ascii="Arial" w:cs="Arial" w:eastAsia="Arial" w:hAnsi="Arial"/>
                <w:sz w:val="16"/>
                <w:szCs w:val="16"/>
                <w:b w:val="1"/>
                <w:bCs w:val="1"/>
                <w:color w:val="00162F"/>
              </w:rPr>
              <w:t>Noncurrent liabilities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Long-term debt and finance leases, net of current maturities</w:t>
            </w:r>
          </w:p>
        </w:tc>
        <w:tc>
          <w:tcPr>
            <w:tcW w:w="340" w:type="dxa"/>
            <w:vAlign w:val="bottom"/>
            <w:shd w:val="clear" w:color="auto" w:fill="EDEDED"/>
          </w:tcPr>
          <w:p>
            <w:pPr>
              <w:spacing w:after="0"/>
              <w:rPr>
                <w:sz w:val="20"/>
                <w:szCs w:val="20"/>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25,254</w:t>
            </w:r>
          </w:p>
        </w:tc>
        <w:tc>
          <w:tcPr>
            <w:tcW w:w="80" w:type="dxa"/>
            <w:vAlign w:val="bottom"/>
            <w:shd w:val="clear" w:color="auto" w:fill="EDEDED"/>
          </w:tcPr>
          <w:p>
            <w:pPr>
              <w:spacing w:after="0"/>
              <w:rPr>
                <w:sz w:val="20"/>
                <w:szCs w:val="20"/>
                <w:color w:val="auto"/>
              </w:rPr>
            </w:pPr>
          </w:p>
        </w:tc>
        <w:tc>
          <w:tcPr>
            <w:tcW w:w="520" w:type="dxa"/>
            <w:vAlign w:val="bottom"/>
            <w:shd w:val="clear" w:color="auto" w:fill="EDEDED"/>
          </w:tcPr>
          <w:p>
            <w:pPr>
              <w:spacing w:after="0"/>
              <w:rPr>
                <w:sz w:val="20"/>
                <w:szCs w:val="20"/>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25,154</w:t>
            </w:r>
          </w:p>
        </w:tc>
        <w:tc>
          <w:tcPr>
            <w:tcW w:w="0" w:type="dxa"/>
            <w:vAlign w:val="bottom"/>
          </w:tcPr>
          <w:p>
            <w:pPr>
              <w:spacing w:after="0"/>
              <w:rPr>
                <w:sz w:val="1"/>
                <w:szCs w:val="1"/>
                <w:color w:val="auto"/>
              </w:rPr>
            </w:pPr>
          </w:p>
        </w:tc>
      </w:tr>
      <w:tr>
        <w:trPr>
          <w:trHeight w:val="231"/>
        </w:trPr>
        <w:tc>
          <w:tcPr>
            <w:tcW w:w="7680" w:type="dxa"/>
            <w:vAlign w:val="bottom"/>
          </w:tcPr>
          <w:p>
            <w:pPr>
              <w:ind w:left="260"/>
              <w:spacing w:after="0"/>
              <w:rPr>
                <w:sz w:val="20"/>
                <w:szCs w:val="20"/>
                <w:color w:val="auto"/>
              </w:rPr>
            </w:pPr>
            <w:r>
              <w:rPr>
                <w:rFonts w:ascii="Arial" w:cs="Arial" w:eastAsia="Arial" w:hAnsi="Arial"/>
                <w:sz w:val="16"/>
                <w:szCs w:val="16"/>
                <w:color w:val="00162F"/>
              </w:rPr>
              <w:t>Pension and postretirement benefits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1,568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2,128</w:t>
            </w:r>
          </w:p>
        </w:tc>
        <w:tc>
          <w:tcPr>
            <w:tcW w:w="0" w:type="dxa"/>
            <w:vAlign w:val="bottom"/>
          </w:tcPr>
          <w:p>
            <w:pPr>
              <w:spacing w:after="0"/>
              <w:rPr>
                <w:sz w:val="1"/>
                <w:szCs w:val="1"/>
                <w:color w:val="auto"/>
              </w:rPr>
            </w:pPr>
          </w:p>
        </w:tc>
      </w:tr>
      <w:tr>
        <w:trPr>
          <w:trHeight w:val="244"/>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Loyalty program liability</w:t>
            </w:r>
          </w:p>
        </w:tc>
        <w:tc>
          <w:tcPr>
            <w:tcW w:w="340" w:type="dxa"/>
            <w:vAlign w:val="bottom"/>
            <w:shd w:val="clear" w:color="auto" w:fill="EDEDED"/>
          </w:tcPr>
          <w:p>
            <w:pPr>
              <w:spacing w:after="0"/>
              <w:rPr>
                <w:sz w:val="21"/>
                <w:szCs w:val="21"/>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6,839</w:t>
            </w:r>
          </w:p>
        </w:tc>
        <w:tc>
          <w:tcPr>
            <w:tcW w:w="80" w:type="dxa"/>
            <w:vAlign w:val="bottom"/>
            <w:shd w:val="clear" w:color="auto" w:fill="EDEDED"/>
          </w:tcPr>
          <w:p>
            <w:pPr>
              <w:spacing w:after="0"/>
              <w:rPr>
                <w:sz w:val="21"/>
                <w:szCs w:val="21"/>
                <w:color w:val="auto"/>
              </w:rPr>
            </w:pPr>
          </w:p>
        </w:tc>
        <w:tc>
          <w:tcPr>
            <w:tcW w:w="5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6,498</w:t>
            </w:r>
          </w:p>
        </w:tc>
        <w:tc>
          <w:tcPr>
            <w:tcW w:w="0" w:type="dxa"/>
            <w:vAlign w:val="bottom"/>
          </w:tcPr>
          <w:p>
            <w:pPr>
              <w:spacing w:after="0"/>
              <w:rPr>
                <w:sz w:val="1"/>
                <w:szCs w:val="1"/>
                <w:color w:val="auto"/>
              </w:rPr>
            </w:pPr>
          </w:p>
        </w:tc>
      </w:tr>
      <w:tr>
        <w:trPr>
          <w:trHeight w:val="231"/>
        </w:trPr>
        <w:tc>
          <w:tcPr>
            <w:tcW w:w="7680" w:type="dxa"/>
            <w:vAlign w:val="bottom"/>
          </w:tcPr>
          <w:p>
            <w:pPr>
              <w:ind w:left="260"/>
              <w:spacing w:after="0"/>
              <w:rPr>
                <w:sz w:val="20"/>
                <w:szCs w:val="20"/>
                <w:color w:val="auto"/>
              </w:rPr>
            </w:pPr>
            <w:r>
              <w:rPr>
                <w:rFonts w:ascii="Arial" w:cs="Arial" w:eastAsia="Arial" w:hAnsi="Arial"/>
                <w:sz w:val="16"/>
                <w:szCs w:val="16"/>
                <w:color w:val="00162F"/>
              </w:rPr>
              <w:t>Operating lease liabilities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5,905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5,976</w:t>
            </w:r>
          </w:p>
        </w:tc>
        <w:tc>
          <w:tcPr>
            <w:tcW w:w="0" w:type="dxa"/>
            <w:vAlign w:val="bottom"/>
          </w:tcPr>
          <w:p>
            <w:pPr>
              <w:spacing w:after="0"/>
              <w:rPr>
                <w:sz w:val="1"/>
                <w:szCs w:val="1"/>
                <w:color w:val="auto"/>
              </w:rPr>
            </w:pPr>
          </w:p>
        </w:tc>
      </w:tr>
      <w:tr>
        <w:trPr>
          <w:trHeight w:val="253"/>
        </w:trPr>
        <w:tc>
          <w:tcPr>
            <w:tcW w:w="768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16"/>
                <w:szCs w:val="16"/>
                <w:color w:val="00162F"/>
              </w:rPr>
              <w:t>Other liabilities</w:t>
            </w:r>
          </w:p>
        </w:tc>
        <w:tc>
          <w:tcPr>
            <w:tcW w:w="340" w:type="dxa"/>
            <w:vAlign w:val="bottom"/>
            <w:tcBorders>
              <w:bottom w:val="single" w:sz="8" w:color="00162F"/>
            </w:tcBorders>
            <w:shd w:val="clear" w:color="auto" w:fill="EDEDED"/>
          </w:tcPr>
          <w:p>
            <w:pPr>
              <w:spacing w:after="0"/>
              <w:rPr>
                <w:sz w:val="21"/>
                <w:szCs w:val="21"/>
                <w:color w:val="auto"/>
              </w:rPr>
            </w:pP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1,443</w:t>
            </w:r>
          </w:p>
        </w:tc>
        <w:tc>
          <w:tcPr>
            <w:tcW w:w="80" w:type="dxa"/>
            <w:vAlign w:val="bottom"/>
            <w:tcBorders>
              <w:bottom w:val="single" w:sz="8" w:color="EDEDED"/>
            </w:tcBorders>
            <w:shd w:val="clear" w:color="auto" w:fill="EDEDED"/>
          </w:tcPr>
          <w:p>
            <w:pPr>
              <w:spacing w:after="0"/>
              <w:rPr>
                <w:sz w:val="21"/>
                <w:szCs w:val="21"/>
                <w:color w:val="auto"/>
              </w:rPr>
            </w:pPr>
          </w:p>
        </w:tc>
        <w:tc>
          <w:tcPr>
            <w:tcW w:w="520" w:type="dxa"/>
            <w:vAlign w:val="bottom"/>
            <w:tcBorders>
              <w:bottom w:val="single" w:sz="8" w:color="00162F"/>
            </w:tcBorders>
            <w:shd w:val="clear" w:color="auto" w:fill="EDEDED"/>
          </w:tcPr>
          <w:p>
            <w:pPr>
              <w:spacing w:after="0"/>
              <w:rPr>
                <w:sz w:val="21"/>
                <w:szCs w:val="21"/>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1,709</w:t>
            </w:r>
          </w:p>
        </w:tc>
        <w:tc>
          <w:tcPr>
            <w:tcW w:w="0" w:type="dxa"/>
            <w:vAlign w:val="bottom"/>
          </w:tcPr>
          <w:p>
            <w:pPr>
              <w:spacing w:after="0"/>
              <w:rPr>
                <w:sz w:val="1"/>
                <w:szCs w:val="1"/>
                <w:color w:val="auto"/>
              </w:rPr>
            </w:pPr>
          </w:p>
        </w:tc>
      </w:tr>
      <w:tr>
        <w:trPr>
          <w:trHeight w:val="203"/>
        </w:trPr>
        <w:tc>
          <w:tcPr>
            <w:tcW w:w="7680" w:type="dxa"/>
            <w:vAlign w:val="bottom"/>
          </w:tcPr>
          <w:p>
            <w:pPr>
              <w:ind w:left="540"/>
              <w:spacing w:after="0"/>
              <w:rPr>
                <w:sz w:val="20"/>
                <w:szCs w:val="20"/>
                <w:color w:val="auto"/>
              </w:rPr>
            </w:pPr>
            <w:r>
              <w:rPr>
                <w:rFonts w:ascii="Arial" w:cs="Arial" w:eastAsia="Arial" w:hAnsi="Arial"/>
                <w:sz w:val="16"/>
                <w:szCs w:val="16"/>
                <w:color w:val="00162F"/>
              </w:rPr>
              <w:t>Total noncurrent liabilities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41,009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41,465</w:t>
            </w:r>
          </w:p>
        </w:tc>
        <w:tc>
          <w:tcPr>
            <w:tcW w:w="0" w:type="dxa"/>
            <w:vAlign w:val="bottom"/>
          </w:tcPr>
          <w:p>
            <w:pPr>
              <w:spacing w:after="0"/>
              <w:rPr>
                <w:sz w:val="1"/>
                <w:szCs w:val="1"/>
                <w:color w:val="auto"/>
              </w:rPr>
            </w:pPr>
          </w:p>
        </w:tc>
      </w:tr>
      <w:tr>
        <w:trPr>
          <w:trHeight w:val="244"/>
        </w:trPr>
        <w:tc>
          <w:tcPr>
            <w:tcW w:w="7680" w:type="dxa"/>
            <w:vAlign w:val="bottom"/>
            <w:shd w:val="clear" w:color="auto" w:fill="EDEDED"/>
          </w:tcPr>
          <w:p>
            <w:pPr>
              <w:ind w:left="40"/>
              <w:spacing w:after="0"/>
              <w:rPr>
                <w:sz w:val="20"/>
                <w:szCs w:val="20"/>
                <w:color w:val="auto"/>
              </w:rPr>
            </w:pPr>
            <w:r>
              <w:rPr>
                <w:rFonts w:ascii="Arial" w:cs="Arial" w:eastAsia="Arial" w:hAnsi="Arial"/>
                <w:sz w:val="16"/>
                <w:szCs w:val="16"/>
                <w:b w:val="1"/>
                <w:bCs w:val="1"/>
                <w:color w:val="00162F"/>
              </w:rPr>
              <w:t>Commitments and contingencies (Note 11)</w:t>
            </w:r>
          </w:p>
        </w:tc>
        <w:tc>
          <w:tcPr>
            <w:tcW w:w="340" w:type="dxa"/>
            <w:vAlign w:val="bottom"/>
            <w:shd w:val="clear" w:color="auto" w:fill="EDEDED"/>
          </w:tcPr>
          <w:p>
            <w:pPr>
              <w:spacing w:after="0"/>
              <w:rPr>
                <w:sz w:val="21"/>
                <w:szCs w:val="21"/>
                <w:color w:val="auto"/>
              </w:rPr>
            </w:pPr>
          </w:p>
        </w:tc>
        <w:tc>
          <w:tcPr>
            <w:tcW w:w="112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520" w:type="dxa"/>
            <w:vAlign w:val="bottom"/>
            <w:shd w:val="clear" w:color="auto" w:fill="EDEDED"/>
          </w:tcPr>
          <w:p>
            <w:pPr>
              <w:spacing w:after="0"/>
              <w:rPr>
                <w:sz w:val="21"/>
                <w:szCs w:val="21"/>
                <w:color w:val="auto"/>
              </w:rPr>
            </w:pPr>
          </w:p>
        </w:tc>
        <w:tc>
          <w:tcPr>
            <w:tcW w:w="940" w:type="dxa"/>
            <w:vAlign w:val="bottom"/>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680" w:type="dxa"/>
            <w:vAlign w:val="bottom"/>
          </w:tcPr>
          <w:p>
            <w:pPr>
              <w:ind w:left="40"/>
              <w:spacing w:after="0"/>
              <w:rPr>
                <w:sz w:val="20"/>
                <w:szCs w:val="20"/>
                <w:color w:val="auto"/>
              </w:rPr>
            </w:pPr>
            <w:r>
              <w:rPr>
                <w:rFonts w:ascii="Arial" w:cs="Arial" w:eastAsia="Arial" w:hAnsi="Arial"/>
                <w:sz w:val="16"/>
                <w:szCs w:val="16"/>
                <w:b w:val="1"/>
                <w:bCs w:val="1"/>
                <w:color w:val="00162F"/>
              </w:rPr>
              <w:t>Stockholders’ equity (deficit)</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680" w:type="dxa"/>
            <w:vAlign w:val="bottom"/>
            <w:shd w:val="clear" w:color="auto" w:fill="EDEDED"/>
          </w:tcPr>
          <w:p>
            <w:pPr>
              <w:ind w:left="260"/>
              <w:spacing w:after="0" w:line="182" w:lineRule="exact"/>
              <w:rPr>
                <w:sz w:val="20"/>
                <w:szCs w:val="20"/>
                <w:color w:val="auto"/>
              </w:rPr>
            </w:pPr>
            <w:r>
              <w:rPr>
                <w:rFonts w:ascii="Arial" w:cs="Arial" w:eastAsia="Arial" w:hAnsi="Arial"/>
                <w:sz w:val="16"/>
                <w:szCs w:val="16"/>
                <w:color w:val="00162F"/>
              </w:rPr>
              <w:t>Common stock, $0.01 par value; 1,750,000,000 shares authorized, 660,301,080 shares issued and</w:t>
            </w:r>
          </w:p>
        </w:tc>
        <w:tc>
          <w:tcPr>
            <w:tcW w:w="340" w:type="dxa"/>
            <w:vAlign w:val="bottom"/>
            <w:shd w:val="clear" w:color="auto" w:fill="EDEDED"/>
          </w:tcPr>
          <w:p>
            <w:pPr>
              <w:spacing w:after="0"/>
              <w:rPr>
                <w:sz w:val="15"/>
                <w:szCs w:val="15"/>
                <w:color w:val="auto"/>
              </w:rPr>
            </w:pPr>
          </w:p>
        </w:tc>
        <w:tc>
          <w:tcPr>
            <w:tcW w:w="112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00162F"/>
              </w:rPr>
              <w:t>7</w:t>
            </w:r>
          </w:p>
        </w:tc>
        <w:tc>
          <w:tcPr>
            <w:tcW w:w="80" w:type="dxa"/>
            <w:vAlign w:val="bottom"/>
            <w:shd w:val="clear" w:color="auto" w:fill="EDEDED"/>
          </w:tcPr>
          <w:p>
            <w:pPr>
              <w:spacing w:after="0"/>
              <w:rPr>
                <w:sz w:val="15"/>
                <w:szCs w:val="15"/>
                <w:color w:val="auto"/>
              </w:rPr>
            </w:pPr>
          </w:p>
        </w:tc>
        <w:tc>
          <w:tcPr>
            <w:tcW w:w="520" w:type="dxa"/>
            <w:vAlign w:val="bottom"/>
            <w:shd w:val="clear" w:color="auto" w:fill="EDEDED"/>
          </w:tcPr>
          <w:p>
            <w:pPr>
              <w:spacing w:after="0"/>
              <w:rPr>
                <w:sz w:val="15"/>
                <w:szCs w:val="15"/>
                <w:color w:val="auto"/>
              </w:rPr>
            </w:pPr>
          </w:p>
        </w:tc>
        <w:tc>
          <w:tcPr>
            <w:tcW w:w="94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00162F"/>
              </w:rPr>
              <w:t>7</w:t>
            </w:r>
          </w:p>
        </w:tc>
        <w:tc>
          <w:tcPr>
            <w:tcW w:w="0" w:type="dxa"/>
            <w:vAlign w:val="bottom"/>
          </w:tcPr>
          <w:p>
            <w:pPr>
              <w:spacing w:after="0"/>
              <w:rPr>
                <w:sz w:val="1"/>
                <w:szCs w:val="1"/>
                <w:color w:val="auto"/>
              </w:rPr>
            </w:pPr>
          </w:p>
        </w:tc>
      </w:tr>
      <w:tr>
        <w:trPr>
          <w:trHeight w:val="221"/>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outstanding at December 31, 2025; 657,566,166 shares issued and outstanding at December 31, 2024</w:t>
            </w:r>
          </w:p>
        </w:tc>
        <w:tc>
          <w:tcPr>
            <w:tcW w:w="340" w:type="dxa"/>
            <w:vAlign w:val="bottom"/>
            <w:shd w:val="clear" w:color="auto" w:fill="EDEDED"/>
          </w:tcPr>
          <w:p>
            <w:pPr>
              <w:spacing w:after="0"/>
              <w:rPr>
                <w:sz w:val="19"/>
                <w:szCs w:val="19"/>
                <w:color w:val="auto"/>
              </w:rPr>
            </w:pPr>
          </w:p>
        </w:tc>
        <w:tc>
          <w:tcPr>
            <w:tcW w:w="1120" w:type="dxa"/>
            <w:vAlign w:val="bottom"/>
            <w:vMerge w:val="continue"/>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520" w:type="dxa"/>
            <w:vAlign w:val="bottom"/>
            <w:shd w:val="clear" w:color="auto" w:fill="EDEDED"/>
          </w:tcPr>
          <w:p>
            <w:pPr>
              <w:spacing w:after="0"/>
              <w:rPr>
                <w:sz w:val="19"/>
                <w:szCs w:val="19"/>
                <w:color w:val="auto"/>
              </w:rPr>
            </w:pPr>
          </w:p>
        </w:tc>
        <w:tc>
          <w:tcPr>
            <w:tcW w:w="940" w:type="dxa"/>
            <w:vAlign w:val="bottom"/>
            <w:vMerge w:val="continue"/>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680" w:type="dxa"/>
            <w:vAlign w:val="bottom"/>
          </w:tcPr>
          <w:p>
            <w:pPr>
              <w:ind w:left="260"/>
              <w:spacing w:after="0"/>
              <w:rPr>
                <w:sz w:val="20"/>
                <w:szCs w:val="20"/>
                <w:color w:val="auto"/>
              </w:rPr>
            </w:pPr>
            <w:r>
              <w:rPr>
                <w:rFonts w:ascii="Arial" w:cs="Arial" w:eastAsia="Arial" w:hAnsi="Arial"/>
                <w:sz w:val="16"/>
                <w:szCs w:val="16"/>
                <w:color w:val="00162F"/>
              </w:rPr>
              <w:t>Additional paid-in capital</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00162F"/>
              </w:rPr>
              <w:t>7,387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162F"/>
              </w:rPr>
              <w:t>7,424</w:t>
            </w:r>
          </w:p>
        </w:tc>
        <w:tc>
          <w:tcPr>
            <w:tcW w:w="0" w:type="dxa"/>
            <w:vAlign w:val="bottom"/>
          </w:tcPr>
          <w:p>
            <w:pPr>
              <w:spacing w:after="0"/>
              <w:rPr>
                <w:sz w:val="1"/>
                <w:szCs w:val="1"/>
                <w:color w:val="auto"/>
              </w:rPr>
            </w:pPr>
          </w:p>
        </w:tc>
      </w:tr>
      <w:tr>
        <w:trPr>
          <w:trHeight w:val="244"/>
        </w:trPr>
        <w:tc>
          <w:tcPr>
            <w:tcW w:w="7680" w:type="dxa"/>
            <w:vAlign w:val="bottom"/>
            <w:shd w:val="clear" w:color="auto" w:fill="EDEDED"/>
          </w:tcPr>
          <w:p>
            <w:pPr>
              <w:ind w:left="260"/>
              <w:spacing w:after="0"/>
              <w:rPr>
                <w:sz w:val="20"/>
                <w:szCs w:val="20"/>
                <w:color w:val="auto"/>
              </w:rPr>
            </w:pPr>
            <w:r>
              <w:rPr>
                <w:rFonts w:ascii="Arial" w:cs="Arial" w:eastAsia="Arial" w:hAnsi="Arial"/>
                <w:sz w:val="16"/>
                <w:szCs w:val="16"/>
                <w:color w:val="00162F"/>
              </w:rPr>
              <w:t>Accumulated other comprehensive loss</w:t>
            </w:r>
          </w:p>
        </w:tc>
        <w:tc>
          <w:tcPr>
            <w:tcW w:w="340" w:type="dxa"/>
            <w:vAlign w:val="bottom"/>
            <w:shd w:val="clear" w:color="auto" w:fill="EDEDED"/>
          </w:tcPr>
          <w:p>
            <w:pPr>
              <w:spacing w:after="0"/>
              <w:rPr>
                <w:sz w:val="21"/>
                <w:szCs w:val="21"/>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(4,389)</w:t>
            </w:r>
          </w:p>
        </w:tc>
        <w:tc>
          <w:tcPr>
            <w:tcW w:w="80" w:type="dxa"/>
            <w:vAlign w:val="bottom"/>
            <w:shd w:val="clear" w:color="auto" w:fill="EDEDED"/>
          </w:tcPr>
          <w:p>
            <w:pPr>
              <w:spacing w:after="0"/>
              <w:rPr>
                <w:sz w:val="21"/>
                <w:szCs w:val="21"/>
                <w:color w:val="auto"/>
              </w:rPr>
            </w:pPr>
          </w:p>
        </w:tc>
        <w:tc>
          <w:tcPr>
            <w:tcW w:w="5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(4,565)</w:t>
            </w:r>
          </w:p>
        </w:tc>
        <w:tc>
          <w:tcPr>
            <w:tcW w:w="0" w:type="dxa"/>
            <w:vAlign w:val="bottom"/>
          </w:tcPr>
          <w:p>
            <w:pPr>
              <w:spacing w:after="0"/>
              <w:rPr>
                <w:sz w:val="1"/>
                <w:szCs w:val="1"/>
                <w:color w:val="auto"/>
              </w:rPr>
            </w:pPr>
          </w:p>
        </w:tc>
      </w:tr>
      <w:tr>
        <w:trPr>
          <w:trHeight w:val="228"/>
        </w:trPr>
        <w:tc>
          <w:tcPr>
            <w:tcW w:w="7680" w:type="dxa"/>
            <w:vAlign w:val="bottom"/>
            <w:tcBorders>
              <w:bottom w:val="single" w:sz="8" w:color="EDEDED"/>
            </w:tcBorders>
          </w:tcPr>
          <w:p>
            <w:pPr>
              <w:ind w:left="260"/>
              <w:spacing w:after="0"/>
              <w:rPr>
                <w:sz w:val="20"/>
                <w:szCs w:val="20"/>
                <w:color w:val="auto"/>
              </w:rPr>
            </w:pPr>
            <w:r>
              <w:rPr>
                <w:rFonts w:ascii="Arial" w:cs="Arial" w:eastAsia="Arial" w:hAnsi="Arial"/>
                <w:sz w:val="16"/>
                <w:szCs w:val="16"/>
                <w:color w:val="00162F"/>
              </w:rPr>
              <w:t>Retained deficit</w:t>
            </w:r>
          </w:p>
        </w:tc>
        <w:tc>
          <w:tcPr>
            <w:tcW w:w="340" w:type="dxa"/>
            <w:vAlign w:val="bottom"/>
            <w:tcBorders>
              <w:bottom w:val="single" w:sz="8" w:color="00162F"/>
            </w:tcBorders>
          </w:tcPr>
          <w:p>
            <w:pPr>
              <w:spacing w:after="0"/>
              <w:rPr>
                <w:sz w:val="19"/>
                <w:szCs w:val="19"/>
                <w:color w:val="auto"/>
              </w:rPr>
            </w:pPr>
          </w:p>
        </w:tc>
        <w:tc>
          <w:tcPr>
            <w:tcW w:w="112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(6,732)</w:t>
            </w:r>
          </w:p>
        </w:tc>
        <w:tc>
          <w:tcPr>
            <w:tcW w:w="80" w:type="dxa"/>
            <w:vAlign w:val="bottom"/>
            <w:tcBorders>
              <w:bottom w:val="single" w:sz="8" w:color="EDEDED"/>
            </w:tcBorders>
          </w:tcPr>
          <w:p>
            <w:pPr>
              <w:spacing w:after="0"/>
              <w:rPr>
                <w:sz w:val="19"/>
                <w:szCs w:val="19"/>
                <w:color w:val="auto"/>
              </w:rPr>
            </w:pPr>
          </w:p>
        </w:tc>
        <w:tc>
          <w:tcPr>
            <w:tcW w:w="520" w:type="dxa"/>
            <w:vAlign w:val="bottom"/>
            <w:tcBorders>
              <w:bottom w:val="single" w:sz="8" w:color="00162F"/>
            </w:tcBorders>
          </w:tcPr>
          <w:p>
            <w:pPr>
              <w:spacing w:after="0"/>
              <w:rPr>
                <w:sz w:val="19"/>
                <w:szCs w:val="19"/>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(6,843)</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16"/>
                <w:szCs w:val="16"/>
                <w:color w:val="00162F"/>
              </w:rPr>
              <w:t>Total stockholders’ deficit</w:t>
            </w:r>
          </w:p>
        </w:tc>
        <w:tc>
          <w:tcPr>
            <w:tcW w:w="340" w:type="dxa"/>
            <w:vAlign w:val="bottom"/>
            <w:tcBorders>
              <w:bottom w:val="single" w:sz="8" w:color="00162F"/>
            </w:tcBorders>
            <w:shd w:val="clear" w:color="auto" w:fill="EDEDED"/>
          </w:tcPr>
          <w:p>
            <w:pPr>
              <w:spacing w:after="0"/>
              <w:rPr>
                <w:sz w:val="20"/>
                <w:szCs w:val="20"/>
                <w:color w:val="auto"/>
              </w:rPr>
            </w:pP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(3,727)</w:t>
            </w:r>
          </w:p>
        </w:tc>
        <w:tc>
          <w:tcPr>
            <w:tcW w:w="80" w:type="dxa"/>
            <w:vAlign w:val="bottom"/>
            <w:tcBorders>
              <w:bottom w:val="single" w:sz="8" w:color="EDEDED"/>
            </w:tcBorders>
            <w:shd w:val="clear" w:color="auto" w:fill="EDEDED"/>
          </w:tcPr>
          <w:p>
            <w:pPr>
              <w:spacing w:after="0"/>
              <w:rPr>
                <w:sz w:val="20"/>
                <w:szCs w:val="20"/>
                <w:color w:val="auto"/>
              </w:rPr>
            </w:pPr>
          </w:p>
        </w:tc>
        <w:tc>
          <w:tcPr>
            <w:tcW w:w="520" w:type="dxa"/>
            <w:vAlign w:val="bottom"/>
            <w:tcBorders>
              <w:bottom w:val="single" w:sz="8" w:color="00162F"/>
            </w:tcBorders>
            <w:shd w:val="clear" w:color="auto" w:fill="EDEDED"/>
          </w:tcPr>
          <w:p>
            <w:pPr>
              <w:spacing w:after="0"/>
              <w:rPr>
                <w:sz w:val="20"/>
                <w:szCs w:val="20"/>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(3,977)</w:t>
            </w:r>
          </w:p>
        </w:tc>
        <w:tc>
          <w:tcPr>
            <w:tcW w:w="0" w:type="dxa"/>
            <w:vAlign w:val="bottom"/>
          </w:tcPr>
          <w:p>
            <w:pPr>
              <w:spacing w:after="0"/>
              <w:rPr>
                <w:sz w:val="1"/>
                <w:szCs w:val="1"/>
                <w:color w:val="auto"/>
              </w:rPr>
            </w:pPr>
          </w:p>
        </w:tc>
      </w:tr>
      <w:tr>
        <w:trPr>
          <w:trHeight w:val="179"/>
        </w:trPr>
        <w:tc>
          <w:tcPr>
            <w:tcW w:w="7680" w:type="dxa"/>
            <w:vAlign w:val="bottom"/>
          </w:tcPr>
          <w:p>
            <w:pPr>
              <w:ind w:left="760"/>
              <w:spacing w:after="0" w:line="179" w:lineRule="exact"/>
              <w:rPr>
                <w:sz w:val="20"/>
                <w:szCs w:val="20"/>
                <w:color w:val="auto"/>
              </w:rPr>
            </w:pPr>
            <w:r>
              <w:rPr>
                <w:rFonts w:ascii="Arial" w:cs="Arial" w:eastAsia="Arial" w:hAnsi="Arial"/>
                <w:sz w:val="16"/>
                <w:szCs w:val="16"/>
                <w:b w:val="1"/>
                <w:bCs w:val="1"/>
                <w:color w:val="00162F"/>
              </w:rPr>
              <w:t>Total liabilities and stockholders’ equity (deficit)</w:t>
            </w:r>
          </w:p>
        </w:tc>
        <w:tc>
          <w:tcPr>
            <w:tcW w:w="340" w:type="dxa"/>
            <w:vAlign w:val="bottom"/>
            <w:tcBorders>
              <w:bottom w:val="single" w:sz="8" w:color="00162F"/>
            </w:tcBorders>
          </w:tcPr>
          <w:p>
            <w:pPr>
              <w:jc w:val="right"/>
              <w:ind w:right="121"/>
              <w:spacing w:after="0" w:line="179" w:lineRule="exact"/>
              <w:rPr>
                <w:sz w:val="20"/>
                <w:szCs w:val="20"/>
                <w:color w:val="auto"/>
              </w:rPr>
            </w:pPr>
            <w:r>
              <w:rPr>
                <w:rFonts w:ascii="Arial" w:cs="Arial" w:eastAsia="Arial" w:hAnsi="Arial"/>
                <w:sz w:val="16"/>
                <w:szCs w:val="16"/>
                <w:color w:val="00162F"/>
              </w:rPr>
              <w:t>$</w:t>
            </w:r>
          </w:p>
        </w:tc>
        <w:tc>
          <w:tcPr>
            <w:tcW w:w="1120" w:type="dxa"/>
            <w:vAlign w:val="bottom"/>
            <w:tcBorders>
              <w:bottom w:val="single" w:sz="8" w:color="00162F"/>
            </w:tcBorders>
          </w:tcPr>
          <w:p>
            <w:pPr>
              <w:jc w:val="right"/>
              <w:spacing w:after="0" w:line="179" w:lineRule="exact"/>
              <w:rPr>
                <w:sz w:val="20"/>
                <w:szCs w:val="20"/>
                <w:color w:val="auto"/>
              </w:rPr>
            </w:pPr>
            <w:r>
              <w:rPr>
                <w:rFonts w:ascii="Arial" w:cs="Arial" w:eastAsia="Arial" w:hAnsi="Arial"/>
                <w:sz w:val="16"/>
                <w:szCs w:val="16"/>
                <w:color w:val="00162F"/>
              </w:rPr>
              <w:t>61,774</w:t>
            </w:r>
          </w:p>
        </w:tc>
        <w:tc>
          <w:tcPr>
            <w:tcW w:w="80" w:type="dxa"/>
            <w:vAlign w:val="bottom"/>
          </w:tcPr>
          <w:p>
            <w:pPr>
              <w:spacing w:after="0"/>
              <w:rPr>
                <w:sz w:val="15"/>
                <w:szCs w:val="15"/>
                <w:color w:val="auto"/>
              </w:rPr>
            </w:pPr>
          </w:p>
        </w:tc>
        <w:tc>
          <w:tcPr>
            <w:tcW w:w="520" w:type="dxa"/>
            <w:vAlign w:val="bottom"/>
            <w:tcBorders>
              <w:bottom w:val="single" w:sz="8" w:color="00162F"/>
            </w:tcBorders>
          </w:tcPr>
          <w:p>
            <w:pPr>
              <w:jc w:val="right"/>
              <w:ind w:right="301"/>
              <w:spacing w:after="0" w:line="179" w:lineRule="exact"/>
              <w:rPr>
                <w:sz w:val="20"/>
                <w:szCs w:val="20"/>
                <w:color w:val="auto"/>
              </w:rPr>
            </w:pPr>
            <w:r>
              <w:rPr>
                <w:rFonts w:ascii="Arial" w:cs="Arial" w:eastAsia="Arial" w:hAnsi="Arial"/>
                <w:sz w:val="16"/>
                <w:szCs w:val="16"/>
                <w:color w:val="00162F"/>
              </w:rPr>
              <w:t>$</w:t>
            </w:r>
          </w:p>
        </w:tc>
        <w:tc>
          <w:tcPr>
            <w:tcW w:w="940" w:type="dxa"/>
            <w:vAlign w:val="bottom"/>
            <w:tcBorders>
              <w:bottom w:val="single" w:sz="8" w:color="00162F"/>
            </w:tcBorders>
          </w:tcPr>
          <w:p>
            <w:pPr>
              <w:jc w:val="right"/>
              <w:spacing w:after="0" w:line="179" w:lineRule="exact"/>
              <w:rPr>
                <w:sz w:val="20"/>
                <w:szCs w:val="20"/>
                <w:color w:val="auto"/>
              </w:rPr>
            </w:pPr>
            <w:r>
              <w:rPr>
                <w:rFonts w:ascii="Arial" w:cs="Arial" w:eastAsia="Arial" w:hAnsi="Arial"/>
                <w:sz w:val="16"/>
                <w:szCs w:val="16"/>
                <w:color w:val="00162F"/>
              </w:rPr>
              <w:t>61,783</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00162F"/>
            </w:tcBorders>
          </w:tcPr>
          <w:p>
            <w:pPr>
              <w:spacing w:after="0" w:line="20" w:lineRule="exact"/>
              <w:rPr>
                <w:sz w:val="1"/>
                <w:szCs w:val="1"/>
                <w:color w:val="auto"/>
              </w:rPr>
            </w:pPr>
          </w:p>
        </w:tc>
        <w:tc>
          <w:tcPr>
            <w:tcW w:w="1120" w:type="dxa"/>
            <w:vAlign w:val="bottom"/>
            <w:tcBorders>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00162F"/>
            </w:tcBorders>
          </w:tcPr>
          <w:p>
            <w:pPr>
              <w:spacing w:after="0" w:line="20" w:lineRule="exact"/>
              <w:rPr>
                <w:sz w:val="1"/>
                <w:szCs w:val="1"/>
                <w:color w:val="auto"/>
              </w:rPr>
            </w:pPr>
          </w:p>
        </w:tc>
        <w:tc>
          <w:tcPr>
            <w:tcW w:w="940" w:type="dxa"/>
            <w:vAlign w:val="bottom"/>
            <w:tcBorders>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-7677150</wp:posOffset>
            </wp:positionV>
            <wp:extent cx="193929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9">
                      <a:extLst>
                        <a:ext uri="{28A0092B-C50C-407E-A947-70E740481C1C}"/>
                      </a:extLst>
                    </a:blip>
                    <a:srcRect/>
                    <a:stretch>
                      <a:fillRect/>
                    </a:stretch>
                  </pic:blipFill>
                  <pic:spPr bwMode="auto">
                    <a:xfrm>
                      <a:off x="0" y="0"/>
                      <a:ext cx="1939290" cy="2540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-6470015</wp:posOffset>
            </wp:positionV>
            <wp:extent cx="99314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0">
                      <a:extLst>
                        <a:ext uri="{28A0092B-C50C-407E-A947-70E740481C1C}"/>
                      </a:extLst>
                    </a:blip>
                    <a:srcRect/>
                    <a:stretch>
                      <a:fillRect/>
                    </a:stretch>
                  </pic:blipFill>
                  <pic:spPr bwMode="auto">
                    <a:xfrm>
                      <a:off x="0" y="0"/>
                      <a:ext cx="993140" cy="2540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-5716270</wp:posOffset>
            </wp:positionV>
            <wp:extent cx="99314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1">
                      <a:extLst>
                        <a:ext uri="{28A0092B-C50C-407E-A947-70E740481C1C}"/>
                      </a:extLst>
                    </a:blip>
                    <a:srcRect/>
                    <a:stretch>
                      <a:fillRect/>
                    </a:stretch>
                  </pic:blipFill>
                  <pic:spPr bwMode="auto">
                    <a:xfrm>
                      <a:off x="0" y="0"/>
                      <a:ext cx="993140" cy="2540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-5414645</wp:posOffset>
            </wp:positionV>
            <wp:extent cx="99314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2">
                      <a:extLst>
                        <a:ext uri="{28A0092B-C50C-407E-A947-70E740481C1C}"/>
                      </a:extLst>
                    </a:blip>
                    <a:srcRect/>
                    <a:stretch>
                      <a:fillRect/>
                    </a:stretch>
                  </pic:blipFill>
                  <pic:spPr bwMode="auto">
                    <a:xfrm>
                      <a:off x="0" y="0"/>
                      <a:ext cx="993140" cy="2540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-4358640</wp:posOffset>
            </wp:positionV>
            <wp:extent cx="99314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3">
                      <a:extLst>
                        <a:ext uri="{28A0092B-C50C-407E-A947-70E740481C1C}"/>
                      </a:extLst>
                    </a:blip>
                    <a:srcRect/>
                    <a:stretch>
                      <a:fillRect/>
                    </a:stretch>
                  </pic:blipFill>
                  <pic:spPr bwMode="auto">
                    <a:xfrm>
                      <a:off x="0" y="0"/>
                      <a:ext cx="993140" cy="2540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-4207510</wp:posOffset>
            </wp:positionV>
            <wp:extent cx="99314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4">
                      <a:extLst>
                        <a:ext uri="{28A0092B-C50C-407E-A947-70E740481C1C}"/>
                      </a:extLst>
                    </a:blip>
                    <a:srcRect/>
                    <a:stretch>
                      <a:fillRect/>
                    </a:stretch>
                  </pic:blipFill>
                  <pic:spPr bwMode="auto">
                    <a:xfrm>
                      <a:off x="0" y="0"/>
                      <a:ext cx="993140" cy="2540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-4069080</wp:posOffset>
            </wp:positionV>
            <wp:extent cx="193929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5">
                      <a:extLst>
                        <a:ext uri="{28A0092B-C50C-407E-A947-70E740481C1C}"/>
                      </a:extLst>
                    </a:blip>
                    <a:srcRect/>
                    <a:stretch>
                      <a:fillRect/>
                    </a:stretch>
                  </pic:blipFill>
                  <pic:spPr bwMode="auto">
                    <a:xfrm>
                      <a:off x="0" y="0"/>
                      <a:ext cx="1939290" cy="5080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-2548255</wp:posOffset>
            </wp:positionV>
            <wp:extent cx="99314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6">
                      <a:extLst>
                        <a:ext uri="{28A0092B-C50C-407E-A947-70E740481C1C}"/>
                      </a:extLst>
                    </a:blip>
                    <a:srcRect/>
                    <a:stretch>
                      <a:fillRect/>
                    </a:stretch>
                  </pic:blipFill>
                  <pic:spPr bwMode="auto">
                    <a:xfrm>
                      <a:off x="0" y="0"/>
                      <a:ext cx="993140" cy="2540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-1492250</wp:posOffset>
            </wp:positionV>
            <wp:extent cx="99314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7">
                      <a:extLst>
                        <a:ext uri="{28A0092B-C50C-407E-A947-70E740481C1C}"/>
                      </a:extLst>
                    </a:blip>
                    <a:srcRect/>
                    <a:stretch>
                      <a:fillRect/>
                    </a:stretch>
                  </pic:blipFill>
                  <pic:spPr bwMode="auto">
                    <a:xfrm>
                      <a:off x="0" y="0"/>
                      <a:ext cx="993140" cy="2540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-332740</wp:posOffset>
            </wp:positionV>
            <wp:extent cx="99314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8">
                      <a:extLst>
                        <a:ext uri="{28A0092B-C50C-407E-A947-70E740481C1C}"/>
                      </a:extLst>
                    </a:blip>
                    <a:srcRect/>
                    <a:stretch>
                      <a:fillRect/>
                    </a:stretch>
                  </pic:blipFill>
                  <pic:spPr bwMode="auto">
                    <a:xfrm>
                      <a:off x="0" y="0"/>
                      <a:ext cx="993140" cy="2540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-181610</wp:posOffset>
            </wp:positionV>
            <wp:extent cx="99314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9">
                      <a:extLst>
                        <a:ext uri="{28A0092B-C50C-407E-A947-70E740481C1C}"/>
                      </a:extLst>
                    </a:blip>
                    <a:srcRect/>
                    <a:stretch>
                      <a:fillRect/>
                    </a:stretch>
                  </pic:blipFill>
                  <pic:spPr bwMode="auto">
                    <a:xfrm>
                      <a:off x="0" y="0"/>
                      <a:ext cx="993140" cy="2540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00162F"/>
        </w:rPr>
        <w:t>See accompanying notes to consolidated financial statements.</w:t>
      </w:r>
    </w:p>
    <w:p>
      <w:pPr>
        <w:sectPr>
          <w:pgSz w:w="11880" w:h="15480" w:orient="portrait"/>
          <w:cols w:equalWidth="0" w:num="1">
            <w:col w:w="10680"/>
          </w:cols>
          <w:pgMar w:left="600" w:top="992" w:right="600" w:bottom="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85</w:t>
      </w:r>
    </w:p>
    <w:p>
      <w:pPr>
        <w:sectPr>
          <w:pgSz w:w="11880" w:h="15480" w:orient="portrait"/>
          <w:cols w:equalWidth="0" w:num="1">
            <w:col w:w="10680"/>
          </w:cols>
          <w:pgMar w:left="600" w:top="992" w:right="600" w:bottom="0" w:gutter="0" w:footer="0" w:header="0"/>
          <w:type w:val="continuous"/>
        </w:sectPr>
      </w:pPr>
    </w:p>
    <w:bookmarkStart w:id="86" w:name="page87"/>
    <w:bookmarkEnd w:id="86"/>
    <w:p>
      <w:pPr>
        <w:jc w:val="center"/>
        <w:ind w:right="-4"/>
        <w:spacing w:after="0"/>
        <w:rPr>
          <w:sz w:val="20"/>
          <w:szCs w:val="20"/>
          <w:color w:val="auto"/>
        </w:rPr>
      </w:pPr>
      <w:r>
        <w:rPr>
          <w:rFonts w:ascii="Arial" w:cs="Arial" w:eastAsia="Arial" w:hAnsi="Arial"/>
          <w:sz w:val="20"/>
          <w:szCs w:val="20"/>
          <w:b w:val="1"/>
          <w:bCs w:val="1"/>
          <w:color w:val="00162F"/>
        </w:rPr>
        <w:t>AMERICAN AIRLINES GROUP INC.</w:t>
      </w:r>
    </w:p>
    <w:p>
      <w:pPr>
        <w:spacing w:after="0" w:line="8"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00162F"/>
        </w:rPr>
        <w:t>CONSOLIDATED STATEMENTS OF CASH FLOWS</w:t>
      </w:r>
    </w:p>
    <w:p>
      <w:pPr>
        <w:spacing w:after="0" w:line="8"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00162F"/>
        </w:rPr>
        <w:t>(In millions)</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Borders>
              <w:bottom w:val="single" w:sz="8" w:color="00162F"/>
            </w:tcBorders>
          </w:tcPr>
          <w:p>
            <w:pPr>
              <w:spacing w:after="0"/>
              <w:rPr>
                <w:sz w:val="18"/>
                <w:szCs w:val="18"/>
                <w:color w:val="auto"/>
              </w:rPr>
            </w:pPr>
          </w:p>
        </w:tc>
        <w:tc>
          <w:tcPr>
            <w:tcW w:w="2900" w:type="dxa"/>
            <w:vAlign w:val="bottom"/>
            <w:tcBorders>
              <w:bottom w:val="single" w:sz="8" w:color="00162F"/>
            </w:tcBorders>
            <w:gridSpan w:val="6"/>
          </w:tcPr>
          <w:p>
            <w:pPr>
              <w:jc w:val="right"/>
              <w:ind w:right="120"/>
              <w:spacing w:after="0"/>
              <w:rPr>
                <w:sz w:val="20"/>
                <w:szCs w:val="20"/>
                <w:color w:val="auto"/>
              </w:rPr>
            </w:pPr>
            <w:r>
              <w:rPr>
                <w:rFonts w:ascii="Arial" w:cs="Arial" w:eastAsia="Arial" w:hAnsi="Arial"/>
                <w:sz w:val="16"/>
                <w:szCs w:val="16"/>
                <w:b w:val="1"/>
                <w:bCs w:val="1"/>
                <w:color w:val="00162F"/>
              </w:rPr>
              <w:t>Year Ended December 31,</w:t>
            </w:r>
          </w:p>
        </w:tc>
        <w:tc>
          <w:tcPr>
            <w:tcW w:w="980" w:type="dxa"/>
            <w:vAlign w:val="bottom"/>
            <w:tcBorders>
              <w:bottom w:val="single" w:sz="8" w:color="00162F"/>
            </w:tcBorders>
          </w:tcPr>
          <w:p>
            <w:pPr>
              <w:spacing w:after="0"/>
              <w:rPr>
                <w:sz w:val="18"/>
                <w:szCs w:val="18"/>
                <w:color w:val="auto"/>
              </w:rPr>
            </w:pPr>
          </w:p>
        </w:tc>
      </w:tr>
      <w:tr>
        <w:trPr>
          <w:trHeight w:val="232"/>
        </w:trPr>
        <w:tc>
          <w:tcPr>
            <w:tcW w:w="1960" w:type="dxa"/>
            <w:vAlign w:val="bottom"/>
            <w:tcBorders>
              <w:bottom w:val="single" w:sz="8" w:color="EDEDED"/>
            </w:tcBorders>
          </w:tcPr>
          <w:p>
            <w:pPr>
              <w:spacing w:after="0"/>
              <w:rPr>
                <w:sz w:val="20"/>
                <w:szCs w:val="20"/>
                <w:color w:val="auto"/>
              </w:rPr>
            </w:pPr>
          </w:p>
        </w:tc>
        <w:tc>
          <w:tcPr>
            <w:tcW w:w="4520" w:type="dxa"/>
            <w:vAlign w:val="bottom"/>
            <w:tcBorders>
              <w:bottom w:val="single" w:sz="8" w:color="EDEDED"/>
            </w:tcBorders>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040" w:type="dxa"/>
            <w:vAlign w:val="bottom"/>
            <w:tcBorders>
              <w:bottom w:val="single" w:sz="8" w:color="00162F"/>
            </w:tcBorders>
          </w:tcPr>
          <w:p>
            <w:pPr>
              <w:jc w:val="right"/>
              <w:ind w:right="421"/>
              <w:spacing w:after="0"/>
              <w:rPr>
                <w:sz w:val="20"/>
                <w:szCs w:val="20"/>
                <w:color w:val="auto"/>
              </w:rPr>
            </w:pPr>
            <w:r>
              <w:rPr>
                <w:rFonts w:ascii="Arial" w:cs="Arial" w:eastAsia="Arial" w:hAnsi="Arial"/>
                <w:sz w:val="16"/>
                <w:szCs w:val="16"/>
                <w:b w:val="1"/>
                <w:bCs w:val="1"/>
                <w:color w:val="00162F"/>
              </w:rPr>
              <w:t>2025</w:t>
            </w:r>
          </w:p>
        </w:tc>
        <w:tc>
          <w:tcPr>
            <w:tcW w:w="60" w:type="dxa"/>
            <w:vAlign w:val="bottom"/>
            <w:tcBorders>
              <w:bottom w:val="single" w:sz="8" w:color="EDEDED"/>
            </w:tcBorders>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040" w:type="dxa"/>
            <w:vAlign w:val="bottom"/>
            <w:tcBorders>
              <w:bottom w:val="single" w:sz="8" w:color="00162F"/>
            </w:tcBorders>
          </w:tcPr>
          <w:p>
            <w:pPr>
              <w:jc w:val="right"/>
              <w:ind w:right="421"/>
              <w:spacing w:after="0"/>
              <w:rPr>
                <w:sz w:val="20"/>
                <w:szCs w:val="20"/>
                <w:color w:val="auto"/>
              </w:rPr>
            </w:pPr>
            <w:r>
              <w:rPr>
                <w:rFonts w:ascii="Arial" w:cs="Arial" w:eastAsia="Arial" w:hAnsi="Arial"/>
                <w:sz w:val="16"/>
                <w:szCs w:val="16"/>
                <w:b w:val="1"/>
                <w:bCs w:val="1"/>
                <w:color w:val="00162F"/>
              </w:rPr>
              <w:t>2024</w:t>
            </w:r>
          </w:p>
        </w:tc>
        <w:tc>
          <w:tcPr>
            <w:tcW w:w="8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980" w:type="dxa"/>
            <w:vAlign w:val="bottom"/>
            <w:tcBorders>
              <w:bottom w:val="single" w:sz="8" w:color="00162F"/>
            </w:tcBorders>
          </w:tcPr>
          <w:p>
            <w:pPr>
              <w:jc w:val="right"/>
              <w:ind w:right="421"/>
              <w:spacing w:after="0"/>
              <w:rPr>
                <w:sz w:val="20"/>
                <w:szCs w:val="20"/>
                <w:color w:val="auto"/>
              </w:rPr>
            </w:pPr>
            <w:r>
              <w:rPr>
                <w:rFonts w:ascii="Arial" w:cs="Arial" w:eastAsia="Arial" w:hAnsi="Arial"/>
                <w:sz w:val="16"/>
                <w:szCs w:val="16"/>
                <w:b w:val="1"/>
                <w:bCs w:val="1"/>
                <w:color w:val="00162F"/>
              </w:rPr>
              <w:t>2023</w:t>
            </w:r>
          </w:p>
        </w:tc>
      </w:tr>
      <w:tr>
        <w:trPr>
          <w:trHeight w:val="228"/>
        </w:trPr>
        <w:tc>
          <w:tcPr>
            <w:tcW w:w="6480" w:type="dxa"/>
            <w:vAlign w:val="bottom"/>
            <w:gridSpan w:val="2"/>
            <w:shd w:val="clear" w:color="auto" w:fill="EDEDED"/>
          </w:tcPr>
          <w:p>
            <w:pPr>
              <w:ind w:left="40"/>
              <w:spacing w:after="0"/>
              <w:rPr>
                <w:sz w:val="20"/>
                <w:szCs w:val="20"/>
                <w:color w:val="auto"/>
              </w:rPr>
            </w:pPr>
            <w:r>
              <w:rPr>
                <w:rFonts w:ascii="Arial" w:cs="Arial" w:eastAsia="Arial" w:hAnsi="Arial"/>
                <w:sz w:val="16"/>
                <w:szCs w:val="16"/>
                <w:b w:val="1"/>
                <w:bCs w:val="1"/>
                <w:color w:val="00162F"/>
              </w:rPr>
              <w:t>Cash flows from operating activities:</w:t>
            </w:r>
          </w:p>
        </w:tc>
        <w:tc>
          <w:tcPr>
            <w:tcW w:w="320" w:type="dxa"/>
            <w:vAlign w:val="bottom"/>
            <w:shd w:val="clear" w:color="auto" w:fill="EDEDED"/>
          </w:tcPr>
          <w:p>
            <w:pPr>
              <w:spacing w:after="0"/>
              <w:rPr>
                <w:sz w:val="19"/>
                <w:szCs w:val="19"/>
                <w:color w:val="auto"/>
              </w:rPr>
            </w:pPr>
          </w:p>
        </w:tc>
        <w:tc>
          <w:tcPr>
            <w:tcW w:w="104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320" w:type="dxa"/>
            <w:vAlign w:val="bottom"/>
            <w:shd w:val="clear" w:color="auto" w:fill="EDEDED"/>
          </w:tcPr>
          <w:p>
            <w:pPr>
              <w:spacing w:after="0"/>
              <w:rPr>
                <w:sz w:val="19"/>
                <w:szCs w:val="19"/>
                <w:color w:val="auto"/>
              </w:rPr>
            </w:pPr>
          </w:p>
        </w:tc>
        <w:tc>
          <w:tcPr>
            <w:tcW w:w="104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360" w:type="dxa"/>
            <w:vAlign w:val="bottom"/>
            <w:shd w:val="clear" w:color="auto" w:fill="EDEDED"/>
          </w:tcPr>
          <w:p>
            <w:pPr>
              <w:spacing w:after="0"/>
              <w:rPr>
                <w:sz w:val="19"/>
                <w:szCs w:val="19"/>
                <w:color w:val="auto"/>
              </w:rPr>
            </w:pPr>
          </w:p>
        </w:tc>
        <w:tc>
          <w:tcPr>
            <w:tcW w:w="980" w:type="dxa"/>
            <w:vAlign w:val="bottom"/>
            <w:shd w:val="clear" w:color="auto" w:fill="EDEDED"/>
          </w:tcPr>
          <w:p>
            <w:pPr>
              <w:spacing w:after="0"/>
              <w:rPr>
                <w:sz w:val="19"/>
                <w:szCs w:val="19"/>
                <w:color w:val="auto"/>
              </w:rPr>
            </w:pPr>
          </w:p>
        </w:tc>
      </w:tr>
      <w:tr>
        <w:trPr>
          <w:trHeight w:val="231"/>
        </w:trPr>
        <w:tc>
          <w:tcPr>
            <w:tcW w:w="6480" w:type="dxa"/>
            <w:vAlign w:val="bottom"/>
            <w:gridSpan w:val="2"/>
          </w:tcPr>
          <w:p>
            <w:pPr>
              <w:ind w:left="40"/>
              <w:spacing w:after="0"/>
              <w:rPr>
                <w:sz w:val="20"/>
                <w:szCs w:val="20"/>
                <w:color w:val="auto"/>
              </w:rPr>
            </w:pPr>
            <w:r>
              <w:rPr>
                <w:rFonts w:ascii="Arial" w:cs="Arial" w:eastAsia="Arial" w:hAnsi="Arial"/>
                <w:sz w:val="16"/>
                <w:szCs w:val="16"/>
                <w:color w:val="00162F"/>
              </w:rPr>
              <w:t>Net income</w:t>
            </w:r>
          </w:p>
        </w:tc>
        <w:tc>
          <w:tcPr>
            <w:tcW w:w="320" w:type="dxa"/>
            <w:vAlign w:val="bottom"/>
          </w:tcPr>
          <w:p>
            <w:pPr>
              <w:jc w:val="right"/>
              <w:ind w:right="101"/>
              <w:spacing w:after="0"/>
              <w:rPr>
                <w:sz w:val="20"/>
                <w:szCs w:val="20"/>
                <w:color w:val="auto"/>
              </w:rPr>
            </w:pPr>
            <w:r>
              <w:rPr>
                <w:rFonts w:ascii="Arial" w:cs="Arial" w:eastAsia="Arial" w:hAnsi="Arial"/>
                <w:sz w:val="16"/>
                <w:szCs w:val="16"/>
                <w:color w:val="00162F"/>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00162F"/>
              </w:rPr>
              <w:t>111</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00162F"/>
              </w:rPr>
              <w:t>$</w:t>
            </w:r>
          </w:p>
        </w:tc>
        <w:tc>
          <w:tcPr>
            <w:tcW w:w="1040" w:type="dxa"/>
            <w:vAlign w:val="bottom"/>
          </w:tcPr>
          <w:p>
            <w:pPr>
              <w:jc w:val="right"/>
              <w:spacing w:after="0"/>
              <w:rPr>
                <w:sz w:val="20"/>
                <w:szCs w:val="20"/>
                <w:color w:val="auto"/>
              </w:rPr>
            </w:pPr>
            <w:r>
              <w:rPr>
                <w:rFonts w:ascii="Arial" w:cs="Arial" w:eastAsia="Arial" w:hAnsi="Arial"/>
                <w:sz w:val="16"/>
                <w:szCs w:val="16"/>
                <w:color w:val="00162F"/>
              </w:rPr>
              <w:t>846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00162F"/>
              </w:rPr>
              <w:t>$</w:t>
            </w:r>
          </w:p>
        </w:tc>
        <w:tc>
          <w:tcPr>
            <w:tcW w:w="980" w:type="dxa"/>
            <w:vAlign w:val="bottom"/>
          </w:tcPr>
          <w:p>
            <w:pPr>
              <w:jc w:val="right"/>
              <w:spacing w:after="0"/>
              <w:rPr>
                <w:sz w:val="20"/>
                <w:szCs w:val="20"/>
                <w:color w:val="auto"/>
              </w:rPr>
            </w:pPr>
            <w:r>
              <w:rPr>
                <w:rFonts w:ascii="Arial" w:cs="Arial" w:eastAsia="Arial" w:hAnsi="Arial"/>
                <w:sz w:val="16"/>
                <w:szCs w:val="16"/>
                <w:color w:val="00162F"/>
              </w:rPr>
              <w:t>822</w:t>
            </w:r>
          </w:p>
        </w:tc>
      </w:tr>
      <w:tr>
        <w:trPr>
          <w:trHeight w:val="244"/>
        </w:trPr>
        <w:tc>
          <w:tcPr>
            <w:tcW w:w="6480" w:type="dxa"/>
            <w:vAlign w:val="bottom"/>
            <w:gridSpan w:val="2"/>
            <w:shd w:val="clear" w:color="auto" w:fill="EDEDED"/>
          </w:tcPr>
          <w:p>
            <w:pPr>
              <w:ind w:left="40"/>
              <w:spacing w:after="0"/>
              <w:rPr>
                <w:sz w:val="20"/>
                <w:szCs w:val="20"/>
                <w:color w:val="auto"/>
              </w:rPr>
            </w:pPr>
            <w:r>
              <w:rPr>
                <w:rFonts w:ascii="Arial" w:cs="Arial" w:eastAsia="Arial" w:hAnsi="Arial"/>
                <w:sz w:val="16"/>
                <w:szCs w:val="16"/>
                <w:color w:val="00162F"/>
              </w:rPr>
              <w:t>Adjustments to reconcile net income to net cash provided by operating activities:</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spacing w:after="0"/>
              <w:rPr>
                <w:sz w:val="21"/>
                <w:szCs w:val="21"/>
                <w:color w:val="auto"/>
              </w:rPr>
            </w:pP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spacing w:after="0"/>
              <w:rPr>
                <w:sz w:val="21"/>
                <w:szCs w:val="21"/>
                <w:color w:val="auto"/>
              </w:rPr>
            </w:pPr>
          </w:p>
        </w:tc>
      </w:tr>
      <w:tr>
        <w:trPr>
          <w:trHeight w:val="246"/>
        </w:trPr>
        <w:tc>
          <w:tcPr>
            <w:tcW w:w="6480" w:type="dxa"/>
            <w:vAlign w:val="bottom"/>
            <w:gridSpan w:val="2"/>
          </w:tcPr>
          <w:p>
            <w:pPr>
              <w:ind w:left="260"/>
              <w:spacing w:after="0"/>
              <w:rPr>
                <w:sz w:val="20"/>
                <w:szCs w:val="20"/>
                <w:color w:val="auto"/>
              </w:rPr>
            </w:pPr>
            <w:r>
              <w:rPr>
                <w:rFonts w:ascii="Arial" w:cs="Arial" w:eastAsia="Arial" w:hAnsi="Arial"/>
                <w:sz w:val="16"/>
                <w:szCs w:val="16"/>
                <w:color w:val="00162F"/>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00162F"/>
              </w:rPr>
              <w:t>2,219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2,245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2,254</w:t>
            </w:r>
          </w:p>
        </w:tc>
      </w:tr>
      <w:tr>
        <w:trPr>
          <w:trHeight w:val="244"/>
        </w:trPr>
        <w:tc>
          <w:tcPr>
            <w:tcW w:w="6480" w:type="dxa"/>
            <w:vAlign w:val="bottom"/>
            <w:gridSpan w:val="2"/>
            <w:shd w:val="clear" w:color="auto" w:fill="EDEDED"/>
          </w:tcPr>
          <w:p>
            <w:pPr>
              <w:ind w:left="260"/>
              <w:spacing w:after="0"/>
              <w:rPr>
                <w:sz w:val="20"/>
                <w:szCs w:val="20"/>
                <w:color w:val="auto"/>
              </w:rPr>
            </w:pPr>
            <w:r>
              <w:rPr>
                <w:rFonts w:ascii="Arial" w:cs="Arial" w:eastAsia="Arial" w:hAnsi="Arial"/>
                <w:sz w:val="16"/>
                <w:szCs w:val="16"/>
                <w:color w:val="00162F"/>
              </w:rPr>
              <w:t>Debt extinguishment costs</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00162F"/>
              </w:rPr>
              <w:t>20</w:t>
            </w: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9</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267</w:t>
            </w:r>
          </w:p>
        </w:tc>
      </w:tr>
      <w:tr>
        <w:trPr>
          <w:trHeight w:val="231"/>
        </w:trPr>
        <w:tc>
          <w:tcPr>
            <w:tcW w:w="6480" w:type="dxa"/>
            <w:vAlign w:val="bottom"/>
            <w:gridSpan w:val="2"/>
          </w:tcPr>
          <w:p>
            <w:pPr>
              <w:ind w:left="260"/>
              <w:spacing w:after="0"/>
              <w:rPr>
                <w:sz w:val="20"/>
                <w:szCs w:val="20"/>
                <w:color w:val="auto"/>
              </w:rPr>
            </w:pPr>
            <w:r>
              <w:rPr>
                <w:rFonts w:ascii="Arial" w:cs="Arial" w:eastAsia="Arial" w:hAnsi="Arial"/>
                <w:sz w:val="16"/>
                <w:szCs w:val="16"/>
                <w:color w:val="00162F"/>
              </w:rPr>
              <w:t>Special items, net non-cash</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(17)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41</w:t>
            </w:r>
          </w:p>
        </w:tc>
      </w:tr>
      <w:tr>
        <w:trPr>
          <w:trHeight w:val="244"/>
        </w:trPr>
        <w:tc>
          <w:tcPr>
            <w:tcW w:w="6480" w:type="dxa"/>
            <w:vAlign w:val="bottom"/>
            <w:gridSpan w:val="2"/>
            <w:shd w:val="clear" w:color="auto" w:fill="EDEDED"/>
          </w:tcPr>
          <w:p>
            <w:pPr>
              <w:ind w:left="260"/>
              <w:spacing w:after="0"/>
              <w:rPr>
                <w:sz w:val="20"/>
                <w:szCs w:val="20"/>
                <w:color w:val="auto"/>
              </w:rPr>
            </w:pPr>
            <w:r>
              <w:rPr>
                <w:rFonts w:ascii="Arial" w:cs="Arial" w:eastAsia="Arial" w:hAnsi="Arial"/>
                <w:sz w:val="16"/>
                <w:szCs w:val="16"/>
                <w:color w:val="00162F"/>
              </w:rPr>
              <w:t>Pension and postretirement</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(31)</w:t>
            </w: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(82)</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(13)</w:t>
            </w:r>
          </w:p>
        </w:tc>
      </w:tr>
      <w:tr>
        <w:trPr>
          <w:trHeight w:val="231"/>
        </w:trPr>
        <w:tc>
          <w:tcPr>
            <w:tcW w:w="6480" w:type="dxa"/>
            <w:vAlign w:val="bottom"/>
            <w:gridSpan w:val="2"/>
          </w:tcPr>
          <w:p>
            <w:pPr>
              <w:ind w:left="260"/>
              <w:spacing w:after="0"/>
              <w:rPr>
                <w:sz w:val="20"/>
                <w:szCs w:val="20"/>
                <w:color w:val="auto"/>
              </w:rPr>
            </w:pPr>
            <w:r>
              <w:rPr>
                <w:rFonts w:ascii="Arial" w:cs="Arial" w:eastAsia="Arial" w:hAnsi="Arial"/>
                <w:sz w:val="16"/>
                <w:szCs w:val="16"/>
                <w:color w:val="00162F"/>
              </w:rPr>
              <w:t>Deferred income tax provision</w:t>
            </w:r>
          </w:p>
        </w:tc>
        <w:tc>
          <w:tcPr>
            <w:tcW w:w="3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00162F"/>
              </w:rPr>
              <w:t>79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308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299</w:t>
            </w:r>
          </w:p>
        </w:tc>
      </w:tr>
      <w:tr>
        <w:trPr>
          <w:trHeight w:val="244"/>
        </w:trPr>
        <w:tc>
          <w:tcPr>
            <w:tcW w:w="6480" w:type="dxa"/>
            <w:vAlign w:val="bottom"/>
            <w:gridSpan w:val="2"/>
            <w:shd w:val="clear" w:color="auto" w:fill="EDEDED"/>
          </w:tcPr>
          <w:p>
            <w:pPr>
              <w:ind w:left="260"/>
              <w:spacing w:after="0"/>
              <w:rPr>
                <w:sz w:val="20"/>
                <w:szCs w:val="20"/>
                <w:color w:val="auto"/>
              </w:rPr>
            </w:pPr>
            <w:r>
              <w:rPr>
                <w:rFonts w:ascii="Arial" w:cs="Arial" w:eastAsia="Arial" w:hAnsi="Arial"/>
                <w:sz w:val="16"/>
                <w:szCs w:val="16"/>
                <w:color w:val="00162F"/>
              </w:rPr>
              <w:t>Share-based compensation, non-cash</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00162F"/>
              </w:rPr>
              <w:t>57</w:t>
            </w: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92</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102</w:t>
            </w:r>
          </w:p>
        </w:tc>
      </w:tr>
      <w:tr>
        <w:trPr>
          <w:trHeight w:val="231"/>
        </w:trPr>
        <w:tc>
          <w:tcPr>
            <w:tcW w:w="6480" w:type="dxa"/>
            <w:vAlign w:val="bottom"/>
            <w:gridSpan w:val="2"/>
          </w:tcPr>
          <w:p>
            <w:pPr>
              <w:ind w:left="260"/>
              <w:spacing w:after="0"/>
              <w:rPr>
                <w:sz w:val="20"/>
                <w:szCs w:val="20"/>
                <w:color w:val="auto"/>
              </w:rPr>
            </w:pPr>
            <w:r>
              <w:rPr>
                <w:rFonts w:ascii="Arial" w:cs="Arial" w:eastAsia="Arial" w:hAnsi="Arial"/>
                <w:sz w:val="16"/>
                <w:szCs w:val="16"/>
                <w:color w:val="00162F"/>
              </w:rPr>
              <w:t>Other,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(85)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(249)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(205)</w:t>
            </w:r>
          </w:p>
        </w:tc>
      </w:tr>
      <w:tr>
        <w:trPr>
          <w:trHeight w:val="244"/>
        </w:trPr>
        <w:tc>
          <w:tcPr>
            <w:tcW w:w="6480" w:type="dxa"/>
            <w:vAlign w:val="bottom"/>
            <w:gridSpan w:val="2"/>
            <w:shd w:val="clear" w:color="auto" w:fill="EDEDED"/>
          </w:tcPr>
          <w:p>
            <w:pPr>
              <w:ind w:left="260"/>
              <w:spacing w:after="0"/>
              <w:rPr>
                <w:sz w:val="20"/>
                <w:szCs w:val="20"/>
                <w:color w:val="auto"/>
              </w:rPr>
            </w:pPr>
            <w:r>
              <w:rPr>
                <w:rFonts w:ascii="Arial" w:cs="Arial" w:eastAsia="Arial" w:hAnsi="Arial"/>
                <w:sz w:val="16"/>
                <w:szCs w:val="16"/>
                <w:b w:val="1"/>
                <w:bCs w:val="1"/>
                <w:color w:val="00162F"/>
              </w:rPr>
              <w:t>Changes in operating assets and liabilities:</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spacing w:after="0"/>
              <w:rPr>
                <w:sz w:val="21"/>
                <w:szCs w:val="21"/>
                <w:color w:val="auto"/>
              </w:rPr>
            </w:pP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spacing w:after="0"/>
              <w:rPr>
                <w:sz w:val="21"/>
                <w:szCs w:val="21"/>
                <w:color w:val="auto"/>
              </w:rPr>
            </w:pPr>
          </w:p>
        </w:tc>
      </w:tr>
      <w:tr>
        <w:trPr>
          <w:trHeight w:val="231"/>
        </w:trPr>
        <w:tc>
          <w:tcPr>
            <w:tcW w:w="6480" w:type="dxa"/>
            <w:vAlign w:val="bottom"/>
            <w:gridSpan w:val="2"/>
          </w:tcPr>
          <w:p>
            <w:pPr>
              <w:ind w:left="400"/>
              <w:spacing w:after="0"/>
              <w:rPr>
                <w:sz w:val="20"/>
                <w:szCs w:val="20"/>
                <w:color w:val="auto"/>
              </w:rPr>
            </w:pPr>
            <w:r>
              <w:rPr>
                <w:rFonts w:ascii="Arial" w:cs="Arial" w:eastAsia="Arial" w:hAnsi="Arial"/>
                <w:sz w:val="16"/>
                <w:szCs w:val="16"/>
                <w:color w:val="00162F"/>
              </w:rPr>
              <w:t>Decrease (increase) in accounts receivable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(74)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95</w:t>
            </w:r>
          </w:p>
        </w:tc>
      </w:tr>
      <w:tr>
        <w:trPr>
          <w:trHeight w:val="244"/>
        </w:trPr>
        <w:tc>
          <w:tcPr>
            <w:tcW w:w="6480" w:type="dxa"/>
            <w:vAlign w:val="bottom"/>
            <w:gridSpan w:val="2"/>
            <w:shd w:val="clear" w:color="auto" w:fill="EDEDED"/>
          </w:tcPr>
          <w:p>
            <w:pPr>
              <w:ind w:left="400"/>
              <w:spacing w:after="0"/>
              <w:rPr>
                <w:sz w:val="20"/>
                <w:szCs w:val="20"/>
                <w:color w:val="auto"/>
              </w:rPr>
            </w:pPr>
            <w:r>
              <w:rPr>
                <w:rFonts w:ascii="Arial" w:cs="Arial" w:eastAsia="Arial" w:hAnsi="Arial"/>
                <w:sz w:val="16"/>
                <w:szCs w:val="16"/>
                <w:color w:val="00162F"/>
              </w:rPr>
              <w:t>Increase in other assets</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(218)</w:t>
            </w: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(314)</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(11)</w:t>
            </w:r>
          </w:p>
        </w:tc>
      </w:tr>
      <w:tr>
        <w:trPr>
          <w:trHeight w:val="231"/>
        </w:trPr>
        <w:tc>
          <w:tcPr>
            <w:tcW w:w="6480" w:type="dxa"/>
            <w:vAlign w:val="bottom"/>
            <w:gridSpan w:val="2"/>
          </w:tcPr>
          <w:p>
            <w:pPr>
              <w:ind w:left="400"/>
              <w:spacing w:after="0"/>
              <w:rPr>
                <w:sz w:val="20"/>
                <w:szCs w:val="20"/>
                <w:color w:val="auto"/>
              </w:rPr>
            </w:pPr>
            <w:r>
              <w:rPr>
                <w:rFonts w:ascii="Arial" w:cs="Arial" w:eastAsia="Arial" w:hAnsi="Arial"/>
                <w:sz w:val="16"/>
                <w:szCs w:val="16"/>
                <w:color w:val="00162F"/>
              </w:rPr>
              <w:t>Increase in accounts payable</w:t>
            </w:r>
          </w:p>
        </w:tc>
        <w:tc>
          <w:tcPr>
            <w:tcW w:w="3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00162F"/>
              </w:rPr>
              <w:t>335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257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209</w:t>
            </w:r>
          </w:p>
        </w:tc>
      </w:tr>
      <w:tr>
        <w:trPr>
          <w:trHeight w:val="244"/>
        </w:trPr>
        <w:tc>
          <w:tcPr>
            <w:tcW w:w="6480" w:type="dxa"/>
            <w:vAlign w:val="bottom"/>
            <w:gridSpan w:val="2"/>
            <w:shd w:val="clear" w:color="auto" w:fill="EDEDED"/>
          </w:tcPr>
          <w:p>
            <w:pPr>
              <w:ind w:left="400"/>
              <w:spacing w:after="0"/>
              <w:rPr>
                <w:sz w:val="20"/>
                <w:szCs w:val="20"/>
                <w:color w:val="auto"/>
              </w:rPr>
            </w:pPr>
            <w:r>
              <w:rPr>
                <w:rFonts w:ascii="Arial" w:cs="Arial" w:eastAsia="Arial" w:hAnsi="Arial"/>
                <w:sz w:val="16"/>
                <w:szCs w:val="16"/>
                <w:color w:val="00162F"/>
              </w:rPr>
              <w:t>Increase (decrease) in air traffic liability</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00162F"/>
              </w:rPr>
              <w:t>399</w:t>
            </w: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559</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(545)</w:t>
            </w:r>
          </w:p>
        </w:tc>
      </w:tr>
      <w:tr>
        <w:trPr>
          <w:trHeight w:val="231"/>
        </w:trPr>
        <w:tc>
          <w:tcPr>
            <w:tcW w:w="6480" w:type="dxa"/>
            <w:vAlign w:val="bottom"/>
            <w:gridSpan w:val="2"/>
          </w:tcPr>
          <w:p>
            <w:pPr>
              <w:ind w:left="400"/>
              <w:spacing w:after="0"/>
              <w:rPr>
                <w:sz w:val="20"/>
                <w:szCs w:val="20"/>
                <w:color w:val="auto"/>
              </w:rPr>
            </w:pPr>
            <w:r>
              <w:rPr>
                <w:rFonts w:ascii="Arial" w:cs="Arial" w:eastAsia="Arial" w:hAnsi="Arial"/>
                <w:sz w:val="16"/>
                <w:szCs w:val="16"/>
                <w:color w:val="00162F"/>
              </w:rPr>
              <w:t>Increase in loyalty program liability</w:t>
            </w:r>
          </w:p>
        </w:tc>
        <w:tc>
          <w:tcPr>
            <w:tcW w:w="3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00162F"/>
              </w:rPr>
              <w:t>510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727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182</w:t>
            </w:r>
          </w:p>
        </w:tc>
      </w:tr>
      <w:tr>
        <w:trPr>
          <w:trHeight w:val="244"/>
        </w:trPr>
        <w:tc>
          <w:tcPr>
            <w:tcW w:w="6480" w:type="dxa"/>
            <w:vAlign w:val="bottom"/>
            <w:gridSpan w:val="2"/>
            <w:shd w:val="clear" w:color="auto" w:fill="EDEDED"/>
          </w:tcPr>
          <w:p>
            <w:pPr>
              <w:ind w:left="400"/>
              <w:spacing w:after="0"/>
              <w:rPr>
                <w:sz w:val="20"/>
                <w:szCs w:val="20"/>
                <w:color w:val="auto"/>
              </w:rPr>
            </w:pPr>
            <w:r>
              <w:rPr>
                <w:rFonts w:ascii="Arial" w:cs="Arial" w:eastAsia="Arial" w:hAnsi="Arial"/>
                <w:sz w:val="16"/>
                <w:szCs w:val="16"/>
                <w:color w:val="00162F"/>
              </w:rPr>
              <w:t>Contributions to pension plans</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(228)</w:t>
            </w: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(300)</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(73)</w:t>
            </w:r>
          </w:p>
        </w:tc>
      </w:tr>
      <w:tr>
        <w:trPr>
          <w:trHeight w:val="228"/>
        </w:trPr>
        <w:tc>
          <w:tcPr>
            <w:tcW w:w="6480" w:type="dxa"/>
            <w:vAlign w:val="bottom"/>
            <w:tcBorders>
              <w:bottom w:val="single" w:sz="8" w:color="EDEDED"/>
            </w:tcBorders>
            <w:gridSpan w:val="2"/>
          </w:tcPr>
          <w:p>
            <w:pPr>
              <w:ind w:left="400"/>
              <w:spacing w:after="0"/>
              <w:rPr>
                <w:sz w:val="20"/>
                <w:szCs w:val="20"/>
                <w:color w:val="auto"/>
              </w:rPr>
            </w:pPr>
            <w:r>
              <w:rPr>
                <w:rFonts w:ascii="Arial" w:cs="Arial" w:eastAsia="Arial" w:hAnsi="Arial"/>
                <w:sz w:val="16"/>
                <w:szCs w:val="16"/>
                <w:color w:val="00162F"/>
              </w:rPr>
              <w:t>Increase (decrease) in other liabilities</w:t>
            </w:r>
          </w:p>
        </w:tc>
        <w:tc>
          <w:tcPr>
            <w:tcW w:w="320" w:type="dxa"/>
            <w:vAlign w:val="bottom"/>
            <w:tcBorders>
              <w:bottom w:val="single" w:sz="8" w:color="00162F"/>
            </w:tcBorders>
          </w:tcPr>
          <w:p>
            <w:pPr>
              <w:spacing w:after="0"/>
              <w:rPr>
                <w:sz w:val="19"/>
                <w:szCs w:val="19"/>
                <w:color w:val="auto"/>
              </w:rPr>
            </w:pPr>
          </w:p>
        </w:tc>
        <w:tc>
          <w:tcPr>
            <w:tcW w:w="1040" w:type="dxa"/>
            <w:vAlign w:val="bottom"/>
            <w:tcBorders>
              <w:bottom w:val="single" w:sz="8" w:color="00162F"/>
            </w:tcBorders>
          </w:tcPr>
          <w:p>
            <w:pPr>
              <w:jc w:val="right"/>
              <w:ind w:right="1"/>
              <w:spacing w:after="0"/>
              <w:rPr>
                <w:sz w:val="20"/>
                <w:szCs w:val="20"/>
                <w:color w:val="auto"/>
              </w:rPr>
            </w:pPr>
            <w:r>
              <w:rPr>
                <w:rFonts w:ascii="Arial" w:cs="Arial" w:eastAsia="Arial" w:hAnsi="Arial"/>
                <w:sz w:val="16"/>
                <w:szCs w:val="16"/>
                <w:color w:val="00162F"/>
              </w:rPr>
              <w:t>22</w:t>
            </w:r>
          </w:p>
        </w:tc>
        <w:tc>
          <w:tcPr>
            <w:tcW w:w="60" w:type="dxa"/>
            <w:vAlign w:val="bottom"/>
            <w:tcBorders>
              <w:bottom w:val="single" w:sz="8" w:color="EDEDED"/>
            </w:tcBorders>
          </w:tcPr>
          <w:p>
            <w:pPr>
              <w:spacing w:after="0"/>
              <w:rPr>
                <w:sz w:val="19"/>
                <w:szCs w:val="19"/>
                <w:color w:val="auto"/>
              </w:rPr>
            </w:pPr>
          </w:p>
        </w:tc>
        <w:tc>
          <w:tcPr>
            <w:tcW w:w="320" w:type="dxa"/>
            <w:vAlign w:val="bottom"/>
            <w:tcBorders>
              <w:bottom w:val="single" w:sz="8" w:color="00162F"/>
            </w:tcBorders>
          </w:tcPr>
          <w:p>
            <w:pPr>
              <w:spacing w:after="0"/>
              <w:rPr>
                <w:sz w:val="19"/>
                <w:szCs w:val="19"/>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(149)</w:t>
            </w:r>
          </w:p>
        </w:tc>
        <w:tc>
          <w:tcPr>
            <w:tcW w:w="80" w:type="dxa"/>
            <w:vAlign w:val="bottom"/>
            <w:tcBorders>
              <w:bottom w:val="single" w:sz="8" w:color="EDEDED"/>
            </w:tcBorders>
          </w:tcPr>
          <w:p>
            <w:pPr>
              <w:spacing w:after="0"/>
              <w:rPr>
                <w:sz w:val="19"/>
                <w:szCs w:val="19"/>
                <w:color w:val="auto"/>
              </w:rPr>
            </w:pPr>
          </w:p>
        </w:tc>
        <w:tc>
          <w:tcPr>
            <w:tcW w:w="360" w:type="dxa"/>
            <w:vAlign w:val="bottom"/>
            <w:tcBorders>
              <w:bottom w:val="single" w:sz="8" w:color="00162F"/>
            </w:tcBorders>
          </w:tcPr>
          <w:p>
            <w:pPr>
              <w:spacing w:after="0"/>
              <w:rPr>
                <w:sz w:val="19"/>
                <w:szCs w:val="19"/>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379</w:t>
            </w:r>
          </w:p>
        </w:tc>
      </w:tr>
      <w:tr>
        <w:trPr>
          <w:trHeight w:val="228"/>
        </w:trPr>
        <w:tc>
          <w:tcPr>
            <w:tcW w:w="6480" w:type="dxa"/>
            <w:vAlign w:val="bottom"/>
            <w:gridSpan w:val="2"/>
            <w:shd w:val="clear" w:color="auto" w:fill="EDEDED"/>
          </w:tcPr>
          <w:p>
            <w:pPr>
              <w:ind w:left="540"/>
              <w:spacing w:after="0"/>
              <w:rPr>
                <w:sz w:val="20"/>
                <w:szCs w:val="20"/>
                <w:color w:val="auto"/>
              </w:rPr>
            </w:pPr>
            <w:r>
              <w:rPr>
                <w:rFonts w:ascii="Arial" w:cs="Arial" w:eastAsia="Arial" w:hAnsi="Arial"/>
                <w:sz w:val="16"/>
                <w:szCs w:val="16"/>
                <w:color w:val="00162F"/>
              </w:rPr>
              <w:t>Net cash provided by operating activities</w:t>
            </w:r>
          </w:p>
        </w:tc>
        <w:tc>
          <w:tcPr>
            <w:tcW w:w="320" w:type="dxa"/>
            <w:vAlign w:val="bottom"/>
            <w:shd w:val="clear" w:color="auto" w:fill="EDEDED"/>
          </w:tcPr>
          <w:p>
            <w:pPr>
              <w:spacing w:after="0"/>
              <w:rPr>
                <w:sz w:val="19"/>
                <w:szCs w:val="19"/>
                <w:color w:val="auto"/>
              </w:rPr>
            </w:pPr>
          </w:p>
        </w:tc>
        <w:tc>
          <w:tcPr>
            <w:tcW w:w="10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00162F"/>
              </w:rPr>
              <w:t>3,099</w:t>
            </w:r>
          </w:p>
        </w:tc>
        <w:tc>
          <w:tcPr>
            <w:tcW w:w="60" w:type="dxa"/>
            <w:vAlign w:val="bottom"/>
            <w:shd w:val="clear" w:color="auto" w:fill="EDEDED"/>
          </w:tcPr>
          <w:p>
            <w:pPr>
              <w:spacing w:after="0"/>
              <w:rPr>
                <w:sz w:val="19"/>
                <w:szCs w:val="19"/>
                <w:color w:val="auto"/>
              </w:rPr>
            </w:pPr>
          </w:p>
        </w:tc>
        <w:tc>
          <w:tcPr>
            <w:tcW w:w="320" w:type="dxa"/>
            <w:vAlign w:val="bottom"/>
            <w:shd w:val="clear" w:color="auto" w:fill="EDEDED"/>
          </w:tcPr>
          <w:p>
            <w:pPr>
              <w:spacing w:after="0"/>
              <w:rPr>
                <w:sz w:val="19"/>
                <w:szCs w:val="19"/>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3,983</w:t>
            </w:r>
          </w:p>
        </w:tc>
        <w:tc>
          <w:tcPr>
            <w:tcW w:w="80" w:type="dxa"/>
            <w:vAlign w:val="bottom"/>
            <w:shd w:val="clear" w:color="auto" w:fill="EDEDED"/>
          </w:tcPr>
          <w:p>
            <w:pPr>
              <w:spacing w:after="0"/>
              <w:rPr>
                <w:sz w:val="19"/>
                <w:szCs w:val="19"/>
                <w:color w:val="auto"/>
              </w:rPr>
            </w:pPr>
          </w:p>
        </w:tc>
        <w:tc>
          <w:tcPr>
            <w:tcW w:w="360" w:type="dxa"/>
            <w:vAlign w:val="bottom"/>
            <w:shd w:val="clear" w:color="auto" w:fill="EDEDED"/>
          </w:tcPr>
          <w:p>
            <w:pPr>
              <w:spacing w:after="0"/>
              <w:rPr>
                <w:sz w:val="19"/>
                <w:szCs w:val="19"/>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3,803</w:t>
            </w:r>
          </w:p>
        </w:tc>
      </w:tr>
      <w:tr>
        <w:trPr>
          <w:trHeight w:val="235"/>
        </w:trPr>
        <w:tc>
          <w:tcPr>
            <w:tcW w:w="6480" w:type="dxa"/>
            <w:vAlign w:val="bottom"/>
            <w:gridSpan w:val="2"/>
          </w:tcPr>
          <w:p>
            <w:pPr>
              <w:ind w:left="40"/>
              <w:spacing w:after="0"/>
              <w:rPr>
                <w:sz w:val="20"/>
                <w:szCs w:val="20"/>
                <w:color w:val="auto"/>
              </w:rPr>
            </w:pPr>
            <w:r>
              <w:rPr>
                <w:rFonts w:ascii="Arial" w:cs="Arial" w:eastAsia="Arial" w:hAnsi="Arial"/>
                <w:sz w:val="16"/>
                <w:szCs w:val="16"/>
                <w:b w:val="1"/>
                <w:bCs w:val="1"/>
                <w:color w:val="00162F"/>
              </w:rPr>
              <w:t>Cash flows from investing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6480" w:type="dxa"/>
            <w:vAlign w:val="bottom"/>
            <w:gridSpan w:val="2"/>
            <w:shd w:val="clear" w:color="auto" w:fill="EDEDED"/>
          </w:tcPr>
          <w:p>
            <w:pPr>
              <w:ind w:left="260"/>
              <w:spacing w:after="0"/>
              <w:rPr>
                <w:sz w:val="20"/>
                <w:szCs w:val="20"/>
                <w:color w:val="auto"/>
              </w:rPr>
            </w:pPr>
            <w:r>
              <w:rPr>
                <w:rFonts w:ascii="Arial" w:cs="Arial" w:eastAsia="Arial" w:hAnsi="Arial"/>
                <w:sz w:val="16"/>
                <w:szCs w:val="16"/>
                <w:color w:val="00162F"/>
              </w:rPr>
              <w:t>Capital expenditures and aircraft purchase deposits</w:t>
            </w:r>
          </w:p>
        </w:tc>
        <w:tc>
          <w:tcPr>
            <w:tcW w:w="32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(3,779)</w:t>
            </w:r>
          </w:p>
        </w:tc>
        <w:tc>
          <w:tcPr>
            <w:tcW w:w="60" w:type="dxa"/>
            <w:vAlign w:val="bottom"/>
            <w:shd w:val="clear" w:color="auto" w:fill="EDEDED"/>
          </w:tcPr>
          <w:p>
            <w:pPr>
              <w:spacing w:after="0"/>
              <w:rPr>
                <w:sz w:val="20"/>
                <w:szCs w:val="20"/>
                <w:color w:val="auto"/>
              </w:rPr>
            </w:pPr>
          </w:p>
        </w:tc>
        <w:tc>
          <w:tcPr>
            <w:tcW w:w="32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(2,683)</w:t>
            </w:r>
          </w:p>
        </w:tc>
        <w:tc>
          <w:tcPr>
            <w:tcW w:w="80" w:type="dxa"/>
            <w:vAlign w:val="bottom"/>
            <w:shd w:val="clear" w:color="auto" w:fill="EDEDED"/>
          </w:tcPr>
          <w:p>
            <w:pPr>
              <w:spacing w:after="0"/>
              <w:rPr>
                <w:sz w:val="20"/>
                <w:szCs w:val="20"/>
                <w:color w:val="auto"/>
              </w:rPr>
            </w:pPr>
          </w:p>
        </w:tc>
        <w:tc>
          <w:tcPr>
            <w:tcW w:w="360" w:type="dxa"/>
            <w:vAlign w:val="bottom"/>
            <w:shd w:val="clear" w:color="auto" w:fill="EDEDED"/>
          </w:tcPr>
          <w:p>
            <w:pPr>
              <w:spacing w:after="0"/>
              <w:rPr>
                <w:sz w:val="20"/>
                <w:szCs w:val="20"/>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(2,596)</w:t>
            </w:r>
          </w:p>
        </w:tc>
      </w:tr>
      <w:tr>
        <w:trPr>
          <w:trHeight w:val="231"/>
        </w:trPr>
        <w:tc>
          <w:tcPr>
            <w:tcW w:w="6480" w:type="dxa"/>
            <w:vAlign w:val="bottom"/>
            <w:gridSpan w:val="2"/>
          </w:tcPr>
          <w:p>
            <w:pPr>
              <w:ind w:left="280"/>
              <w:spacing w:after="0"/>
              <w:rPr>
                <w:sz w:val="20"/>
                <w:szCs w:val="20"/>
                <w:color w:val="auto"/>
              </w:rPr>
            </w:pPr>
            <w:r>
              <w:rPr>
                <w:rFonts w:ascii="Arial" w:cs="Arial" w:eastAsia="Arial" w:hAnsi="Arial"/>
                <w:sz w:val="16"/>
                <w:szCs w:val="16"/>
                <w:color w:val="00162F"/>
              </w:rPr>
              <w:t>Proceeds from sale-leaseback transactions and sale of property and equipment</w:t>
            </w:r>
          </w:p>
        </w:tc>
        <w:tc>
          <w:tcPr>
            <w:tcW w:w="3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00162F"/>
              </w:rPr>
              <w:t>344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654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230</w:t>
            </w:r>
          </w:p>
        </w:tc>
      </w:tr>
      <w:tr>
        <w:trPr>
          <w:trHeight w:val="244"/>
        </w:trPr>
        <w:tc>
          <w:tcPr>
            <w:tcW w:w="6480" w:type="dxa"/>
            <w:vAlign w:val="bottom"/>
            <w:gridSpan w:val="2"/>
            <w:shd w:val="clear" w:color="auto" w:fill="EDEDED"/>
          </w:tcPr>
          <w:p>
            <w:pPr>
              <w:ind w:left="260"/>
              <w:spacing w:after="0"/>
              <w:rPr>
                <w:sz w:val="20"/>
                <w:szCs w:val="20"/>
                <w:color w:val="auto"/>
              </w:rPr>
            </w:pPr>
            <w:r>
              <w:rPr>
                <w:rFonts w:ascii="Arial" w:cs="Arial" w:eastAsia="Arial" w:hAnsi="Arial"/>
                <w:sz w:val="16"/>
                <w:szCs w:val="16"/>
                <w:color w:val="00162F"/>
              </w:rPr>
              <w:t>Sales of short-term investments</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00162F"/>
              </w:rPr>
              <w:t>6,189</w:t>
            </w: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8,013</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8,861</w:t>
            </w:r>
          </w:p>
        </w:tc>
      </w:tr>
      <w:tr>
        <w:trPr>
          <w:trHeight w:val="231"/>
        </w:trPr>
        <w:tc>
          <w:tcPr>
            <w:tcW w:w="6480" w:type="dxa"/>
            <w:vAlign w:val="bottom"/>
            <w:gridSpan w:val="2"/>
          </w:tcPr>
          <w:p>
            <w:pPr>
              <w:ind w:left="260"/>
              <w:spacing w:after="0"/>
              <w:rPr>
                <w:sz w:val="20"/>
                <w:szCs w:val="20"/>
                <w:color w:val="auto"/>
              </w:rPr>
            </w:pPr>
            <w:r>
              <w:rPr>
                <w:rFonts w:ascii="Arial" w:cs="Arial" w:eastAsia="Arial" w:hAnsi="Arial"/>
                <w:sz w:val="16"/>
                <w:szCs w:val="16"/>
                <w:color w:val="00162F"/>
              </w:rPr>
              <w:t>Purchases of short-term investments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(4,905)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(7,194)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(7,323)</w:t>
            </w:r>
          </w:p>
        </w:tc>
      </w:tr>
      <w:tr>
        <w:trPr>
          <w:trHeight w:val="244"/>
        </w:trPr>
        <w:tc>
          <w:tcPr>
            <w:tcW w:w="6480" w:type="dxa"/>
            <w:vAlign w:val="bottom"/>
            <w:gridSpan w:val="2"/>
            <w:shd w:val="clear" w:color="auto" w:fill="EDEDED"/>
          </w:tcPr>
          <w:p>
            <w:pPr>
              <w:ind w:left="260"/>
              <w:spacing w:after="0"/>
              <w:rPr>
                <w:sz w:val="20"/>
                <w:szCs w:val="20"/>
                <w:color w:val="auto"/>
              </w:rPr>
            </w:pPr>
            <w:r>
              <w:rPr>
                <w:rFonts w:ascii="Arial" w:cs="Arial" w:eastAsia="Arial" w:hAnsi="Arial"/>
                <w:sz w:val="16"/>
                <w:szCs w:val="16"/>
                <w:color w:val="00162F"/>
              </w:rPr>
              <w:t>Decrease in restricted short-term investments</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00162F"/>
              </w:rPr>
              <w:t>3</w:t>
            </w: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177</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51</w:t>
            </w:r>
          </w:p>
        </w:tc>
      </w:tr>
      <w:tr>
        <w:trPr>
          <w:trHeight w:val="228"/>
        </w:trPr>
        <w:tc>
          <w:tcPr>
            <w:tcW w:w="6480" w:type="dxa"/>
            <w:vAlign w:val="bottom"/>
            <w:tcBorders>
              <w:bottom w:val="single" w:sz="8" w:color="EDEDED"/>
            </w:tcBorders>
            <w:gridSpan w:val="2"/>
          </w:tcPr>
          <w:p>
            <w:pPr>
              <w:ind w:left="260"/>
              <w:spacing w:after="0"/>
              <w:rPr>
                <w:sz w:val="20"/>
                <w:szCs w:val="20"/>
                <w:color w:val="auto"/>
              </w:rPr>
            </w:pPr>
            <w:r>
              <w:rPr>
                <w:rFonts w:ascii="Arial" w:cs="Arial" w:eastAsia="Arial" w:hAnsi="Arial"/>
                <w:sz w:val="16"/>
                <w:szCs w:val="16"/>
                <w:color w:val="00162F"/>
              </w:rPr>
              <w:t>Other investing activities</w:t>
            </w:r>
          </w:p>
        </w:tc>
        <w:tc>
          <w:tcPr>
            <w:tcW w:w="320" w:type="dxa"/>
            <w:vAlign w:val="bottom"/>
            <w:tcBorders>
              <w:bottom w:val="single" w:sz="8" w:color="00162F"/>
            </w:tcBorders>
          </w:tcPr>
          <w:p>
            <w:pPr>
              <w:spacing w:after="0"/>
              <w:rPr>
                <w:sz w:val="19"/>
                <w:szCs w:val="19"/>
                <w:color w:val="auto"/>
              </w:rPr>
            </w:pPr>
          </w:p>
        </w:tc>
        <w:tc>
          <w:tcPr>
            <w:tcW w:w="1040" w:type="dxa"/>
            <w:vAlign w:val="bottom"/>
            <w:tcBorders>
              <w:bottom w:val="single" w:sz="8" w:color="00162F"/>
            </w:tcBorders>
          </w:tcPr>
          <w:p>
            <w:pPr>
              <w:jc w:val="right"/>
              <w:ind w:right="1"/>
              <w:spacing w:after="0"/>
              <w:rPr>
                <w:sz w:val="20"/>
                <w:szCs w:val="20"/>
                <w:color w:val="auto"/>
              </w:rPr>
            </w:pPr>
            <w:r>
              <w:rPr>
                <w:rFonts w:ascii="Arial" w:cs="Arial" w:eastAsia="Arial" w:hAnsi="Arial"/>
                <w:sz w:val="16"/>
                <w:szCs w:val="16"/>
                <w:color w:val="00162F"/>
              </w:rPr>
              <w:t>254</w:t>
            </w:r>
          </w:p>
        </w:tc>
        <w:tc>
          <w:tcPr>
            <w:tcW w:w="60" w:type="dxa"/>
            <w:vAlign w:val="bottom"/>
            <w:tcBorders>
              <w:bottom w:val="single" w:sz="8" w:color="EDEDED"/>
            </w:tcBorders>
          </w:tcPr>
          <w:p>
            <w:pPr>
              <w:spacing w:after="0"/>
              <w:rPr>
                <w:sz w:val="19"/>
                <w:szCs w:val="19"/>
                <w:color w:val="auto"/>
              </w:rPr>
            </w:pPr>
          </w:p>
        </w:tc>
        <w:tc>
          <w:tcPr>
            <w:tcW w:w="320" w:type="dxa"/>
            <w:vAlign w:val="bottom"/>
            <w:tcBorders>
              <w:bottom w:val="single" w:sz="8" w:color="00162F"/>
            </w:tcBorders>
          </w:tcPr>
          <w:p>
            <w:pPr>
              <w:spacing w:after="0"/>
              <w:rPr>
                <w:sz w:val="19"/>
                <w:szCs w:val="19"/>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65</w:t>
            </w:r>
          </w:p>
        </w:tc>
        <w:tc>
          <w:tcPr>
            <w:tcW w:w="80" w:type="dxa"/>
            <w:vAlign w:val="bottom"/>
            <w:tcBorders>
              <w:bottom w:val="single" w:sz="8" w:color="EDEDED"/>
            </w:tcBorders>
          </w:tcPr>
          <w:p>
            <w:pPr>
              <w:spacing w:after="0"/>
              <w:rPr>
                <w:sz w:val="19"/>
                <w:szCs w:val="19"/>
                <w:color w:val="auto"/>
              </w:rPr>
            </w:pPr>
          </w:p>
        </w:tc>
        <w:tc>
          <w:tcPr>
            <w:tcW w:w="360" w:type="dxa"/>
            <w:vAlign w:val="bottom"/>
            <w:tcBorders>
              <w:bottom w:val="single" w:sz="8" w:color="00162F"/>
            </w:tcBorders>
          </w:tcPr>
          <w:p>
            <w:pPr>
              <w:spacing w:after="0"/>
              <w:rPr>
                <w:sz w:val="19"/>
                <w:szCs w:val="19"/>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275</w:t>
            </w:r>
          </w:p>
        </w:tc>
      </w:tr>
      <w:tr>
        <w:trPr>
          <w:trHeight w:val="228"/>
        </w:trPr>
        <w:tc>
          <w:tcPr>
            <w:tcW w:w="6480" w:type="dxa"/>
            <w:vAlign w:val="bottom"/>
            <w:gridSpan w:val="2"/>
            <w:shd w:val="clear" w:color="auto" w:fill="EDEDED"/>
          </w:tcPr>
          <w:p>
            <w:pPr>
              <w:ind w:left="540"/>
              <w:spacing w:after="0"/>
              <w:rPr>
                <w:sz w:val="20"/>
                <w:szCs w:val="20"/>
                <w:color w:val="auto"/>
              </w:rPr>
            </w:pPr>
            <w:r>
              <w:rPr>
                <w:rFonts w:ascii="Arial" w:cs="Arial" w:eastAsia="Arial" w:hAnsi="Arial"/>
                <w:sz w:val="16"/>
                <w:szCs w:val="16"/>
                <w:color w:val="00162F"/>
              </w:rPr>
              <w:t>Net cash used in investing activities</w:t>
            </w:r>
          </w:p>
        </w:tc>
        <w:tc>
          <w:tcPr>
            <w:tcW w:w="320" w:type="dxa"/>
            <w:vAlign w:val="bottom"/>
            <w:shd w:val="clear" w:color="auto" w:fill="EDEDED"/>
          </w:tcPr>
          <w:p>
            <w:pPr>
              <w:spacing w:after="0"/>
              <w:rPr>
                <w:sz w:val="19"/>
                <w:szCs w:val="19"/>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(1,894)</w:t>
            </w:r>
          </w:p>
        </w:tc>
        <w:tc>
          <w:tcPr>
            <w:tcW w:w="60" w:type="dxa"/>
            <w:vAlign w:val="bottom"/>
            <w:shd w:val="clear" w:color="auto" w:fill="EDEDED"/>
          </w:tcPr>
          <w:p>
            <w:pPr>
              <w:spacing w:after="0"/>
              <w:rPr>
                <w:sz w:val="19"/>
                <w:szCs w:val="19"/>
                <w:color w:val="auto"/>
              </w:rPr>
            </w:pPr>
          </w:p>
        </w:tc>
        <w:tc>
          <w:tcPr>
            <w:tcW w:w="320" w:type="dxa"/>
            <w:vAlign w:val="bottom"/>
            <w:shd w:val="clear" w:color="auto" w:fill="EDEDED"/>
          </w:tcPr>
          <w:p>
            <w:pPr>
              <w:spacing w:after="0"/>
              <w:rPr>
                <w:sz w:val="19"/>
                <w:szCs w:val="19"/>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(968)</w:t>
            </w:r>
          </w:p>
        </w:tc>
        <w:tc>
          <w:tcPr>
            <w:tcW w:w="80" w:type="dxa"/>
            <w:vAlign w:val="bottom"/>
            <w:shd w:val="clear" w:color="auto" w:fill="EDEDED"/>
          </w:tcPr>
          <w:p>
            <w:pPr>
              <w:spacing w:after="0"/>
              <w:rPr>
                <w:sz w:val="19"/>
                <w:szCs w:val="19"/>
                <w:color w:val="auto"/>
              </w:rPr>
            </w:pPr>
          </w:p>
        </w:tc>
        <w:tc>
          <w:tcPr>
            <w:tcW w:w="360" w:type="dxa"/>
            <w:vAlign w:val="bottom"/>
            <w:shd w:val="clear" w:color="auto" w:fill="EDEDED"/>
          </w:tcPr>
          <w:p>
            <w:pPr>
              <w:spacing w:after="0"/>
              <w:rPr>
                <w:sz w:val="19"/>
                <w:szCs w:val="19"/>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(502)</w:t>
            </w:r>
          </w:p>
        </w:tc>
      </w:tr>
      <w:tr>
        <w:trPr>
          <w:trHeight w:val="235"/>
        </w:trPr>
        <w:tc>
          <w:tcPr>
            <w:tcW w:w="6480" w:type="dxa"/>
            <w:vAlign w:val="bottom"/>
            <w:gridSpan w:val="2"/>
          </w:tcPr>
          <w:p>
            <w:pPr>
              <w:ind w:left="40"/>
              <w:spacing w:after="0"/>
              <w:rPr>
                <w:sz w:val="20"/>
                <w:szCs w:val="20"/>
                <w:color w:val="auto"/>
              </w:rPr>
            </w:pPr>
            <w:r>
              <w:rPr>
                <w:rFonts w:ascii="Arial" w:cs="Arial" w:eastAsia="Arial" w:hAnsi="Arial"/>
                <w:sz w:val="16"/>
                <w:szCs w:val="16"/>
                <w:b w:val="1"/>
                <w:bCs w:val="1"/>
                <w:color w:val="00162F"/>
              </w:rPr>
              <w:t>Cash flows from financing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6480" w:type="dxa"/>
            <w:vAlign w:val="bottom"/>
            <w:gridSpan w:val="2"/>
            <w:shd w:val="clear" w:color="auto" w:fill="EDEDED"/>
          </w:tcPr>
          <w:p>
            <w:pPr>
              <w:ind w:left="260"/>
              <w:spacing w:after="0"/>
              <w:rPr>
                <w:sz w:val="20"/>
                <w:szCs w:val="20"/>
                <w:color w:val="auto"/>
              </w:rPr>
            </w:pPr>
            <w:r>
              <w:rPr>
                <w:rFonts w:ascii="Arial" w:cs="Arial" w:eastAsia="Arial" w:hAnsi="Arial"/>
                <w:sz w:val="16"/>
                <w:szCs w:val="16"/>
                <w:color w:val="00162F"/>
              </w:rPr>
              <w:t>Payments on long-term debt and finance leases</w:t>
            </w:r>
          </w:p>
        </w:tc>
        <w:tc>
          <w:tcPr>
            <w:tcW w:w="32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(5,504)</w:t>
            </w:r>
          </w:p>
        </w:tc>
        <w:tc>
          <w:tcPr>
            <w:tcW w:w="60" w:type="dxa"/>
            <w:vAlign w:val="bottom"/>
            <w:shd w:val="clear" w:color="auto" w:fill="EDEDED"/>
          </w:tcPr>
          <w:p>
            <w:pPr>
              <w:spacing w:after="0"/>
              <w:rPr>
                <w:sz w:val="20"/>
                <w:szCs w:val="20"/>
                <w:color w:val="auto"/>
              </w:rPr>
            </w:pPr>
          </w:p>
        </w:tc>
        <w:tc>
          <w:tcPr>
            <w:tcW w:w="32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(4,467)</w:t>
            </w:r>
          </w:p>
        </w:tc>
        <w:tc>
          <w:tcPr>
            <w:tcW w:w="80" w:type="dxa"/>
            <w:vAlign w:val="bottom"/>
            <w:shd w:val="clear" w:color="auto" w:fill="EDEDED"/>
          </w:tcPr>
          <w:p>
            <w:pPr>
              <w:spacing w:after="0"/>
              <w:rPr>
                <w:sz w:val="20"/>
                <w:szCs w:val="20"/>
                <w:color w:val="auto"/>
              </w:rPr>
            </w:pPr>
          </w:p>
        </w:tc>
        <w:tc>
          <w:tcPr>
            <w:tcW w:w="360" w:type="dxa"/>
            <w:vAlign w:val="bottom"/>
            <w:shd w:val="clear" w:color="auto" w:fill="EDEDED"/>
          </w:tcPr>
          <w:p>
            <w:pPr>
              <w:spacing w:after="0"/>
              <w:rPr>
                <w:sz w:val="20"/>
                <w:szCs w:val="20"/>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(7,718)</w:t>
            </w:r>
          </w:p>
        </w:tc>
      </w:tr>
      <w:tr>
        <w:trPr>
          <w:trHeight w:val="231"/>
        </w:trPr>
        <w:tc>
          <w:tcPr>
            <w:tcW w:w="6480" w:type="dxa"/>
            <w:vAlign w:val="bottom"/>
            <w:gridSpan w:val="2"/>
          </w:tcPr>
          <w:p>
            <w:pPr>
              <w:ind w:left="260"/>
              <w:spacing w:after="0"/>
              <w:rPr>
                <w:sz w:val="20"/>
                <w:szCs w:val="20"/>
                <w:color w:val="auto"/>
              </w:rPr>
            </w:pPr>
            <w:r>
              <w:rPr>
                <w:rFonts w:ascii="Arial" w:cs="Arial" w:eastAsia="Arial" w:hAnsi="Arial"/>
                <w:sz w:val="16"/>
                <w:szCs w:val="16"/>
                <w:color w:val="00162F"/>
              </w:rPr>
              <w:t>Proceeds from issuance of long-term debt</w:t>
            </w:r>
          </w:p>
        </w:tc>
        <w:tc>
          <w:tcPr>
            <w:tcW w:w="3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00162F"/>
              </w:rPr>
              <w:t>3,773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1,670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4,822</w:t>
            </w:r>
          </w:p>
        </w:tc>
      </w:tr>
      <w:tr>
        <w:trPr>
          <w:trHeight w:val="244"/>
        </w:trPr>
        <w:tc>
          <w:tcPr>
            <w:tcW w:w="6480" w:type="dxa"/>
            <w:vAlign w:val="bottom"/>
            <w:gridSpan w:val="2"/>
            <w:shd w:val="clear" w:color="auto" w:fill="EDEDED"/>
          </w:tcPr>
          <w:p>
            <w:pPr>
              <w:ind w:left="260"/>
              <w:spacing w:after="0"/>
              <w:rPr>
                <w:sz w:val="20"/>
                <w:szCs w:val="20"/>
                <w:color w:val="auto"/>
              </w:rPr>
            </w:pPr>
            <w:r>
              <w:rPr>
                <w:rFonts w:ascii="Arial" w:cs="Arial" w:eastAsia="Arial" w:hAnsi="Arial"/>
                <w:sz w:val="16"/>
                <w:szCs w:val="16"/>
                <w:color w:val="00162F"/>
              </w:rPr>
              <w:t>Net proceeds from fuel financing</w:t>
            </w: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00162F"/>
              </w:rPr>
              <w:t>840</w:t>
            </w:r>
          </w:p>
        </w:tc>
        <w:tc>
          <w:tcPr>
            <w:tcW w:w="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74</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w:t>
            </w:r>
          </w:p>
        </w:tc>
      </w:tr>
      <w:tr>
        <w:trPr>
          <w:trHeight w:val="228"/>
        </w:trPr>
        <w:tc>
          <w:tcPr>
            <w:tcW w:w="6480" w:type="dxa"/>
            <w:vAlign w:val="bottom"/>
            <w:tcBorders>
              <w:bottom w:val="single" w:sz="8" w:color="EDEDED"/>
            </w:tcBorders>
            <w:gridSpan w:val="2"/>
          </w:tcPr>
          <w:p>
            <w:pPr>
              <w:ind w:left="260"/>
              <w:spacing w:after="0"/>
              <w:rPr>
                <w:sz w:val="20"/>
                <w:szCs w:val="20"/>
                <w:color w:val="auto"/>
              </w:rPr>
            </w:pPr>
            <w:r>
              <w:rPr>
                <w:rFonts w:ascii="Arial" w:cs="Arial" w:eastAsia="Arial" w:hAnsi="Arial"/>
                <w:sz w:val="16"/>
                <w:szCs w:val="16"/>
                <w:color w:val="00162F"/>
              </w:rPr>
              <w:t>Other financing activities</w:t>
            </w:r>
          </w:p>
        </w:tc>
        <w:tc>
          <w:tcPr>
            <w:tcW w:w="320" w:type="dxa"/>
            <w:vAlign w:val="bottom"/>
            <w:tcBorders>
              <w:bottom w:val="single" w:sz="8" w:color="00162F"/>
            </w:tcBorders>
          </w:tcPr>
          <w:p>
            <w:pPr>
              <w:spacing w:after="0"/>
              <w:rPr>
                <w:sz w:val="19"/>
                <w:szCs w:val="19"/>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(160)</w:t>
            </w:r>
          </w:p>
        </w:tc>
        <w:tc>
          <w:tcPr>
            <w:tcW w:w="60" w:type="dxa"/>
            <w:vAlign w:val="bottom"/>
            <w:tcBorders>
              <w:bottom w:val="single" w:sz="8" w:color="EDEDED"/>
            </w:tcBorders>
          </w:tcPr>
          <w:p>
            <w:pPr>
              <w:spacing w:after="0"/>
              <w:rPr>
                <w:sz w:val="19"/>
                <w:szCs w:val="19"/>
                <w:color w:val="auto"/>
              </w:rPr>
            </w:pPr>
          </w:p>
        </w:tc>
        <w:tc>
          <w:tcPr>
            <w:tcW w:w="320" w:type="dxa"/>
            <w:vAlign w:val="bottom"/>
            <w:tcBorders>
              <w:bottom w:val="single" w:sz="8" w:color="00162F"/>
            </w:tcBorders>
          </w:tcPr>
          <w:p>
            <w:pPr>
              <w:spacing w:after="0"/>
              <w:rPr>
                <w:sz w:val="19"/>
                <w:szCs w:val="19"/>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(71)</w:t>
            </w:r>
          </w:p>
        </w:tc>
        <w:tc>
          <w:tcPr>
            <w:tcW w:w="80" w:type="dxa"/>
            <w:vAlign w:val="bottom"/>
            <w:tcBorders>
              <w:bottom w:val="single" w:sz="8" w:color="EDEDED"/>
            </w:tcBorders>
          </w:tcPr>
          <w:p>
            <w:pPr>
              <w:spacing w:after="0"/>
              <w:rPr>
                <w:sz w:val="19"/>
                <w:szCs w:val="19"/>
                <w:color w:val="auto"/>
              </w:rPr>
            </w:pPr>
          </w:p>
        </w:tc>
        <w:tc>
          <w:tcPr>
            <w:tcW w:w="360" w:type="dxa"/>
            <w:vAlign w:val="bottom"/>
            <w:tcBorders>
              <w:bottom w:val="single" w:sz="8" w:color="00162F"/>
            </w:tcBorders>
          </w:tcPr>
          <w:p>
            <w:pPr>
              <w:spacing w:after="0"/>
              <w:rPr>
                <w:sz w:val="19"/>
                <w:szCs w:val="19"/>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(310)</w:t>
            </w:r>
          </w:p>
        </w:tc>
      </w:tr>
      <w:tr>
        <w:trPr>
          <w:trHeight w:val="236"/>
        </w:trPr>
        <w:tc>
          <w:tcPr>
            <w:tcW w:w="6480" w:type="dxa"/>
            <w:vAlign w:val="bottom"/>
            <w:tcBorders>
              <w:bottom w:val="single" w:sz="8" w:color="EDEDED"/>
            </w:tcBorders>
            <w:gridSpan w:val="2"/>
            <w:shd w:val="clear" w:color="auto" w:fill="EDEDED"/>
          </w:tcPr>
          <w:p>
            <w:pPr>
              <w:ind w:left="540"/>
              <w:spacing w:after="0"/>
              <w:rPr>
                <w:sz w:val="20"/>
                <w:szCs w:val="20"/>
                <w:color w:val="auto"/>
              </w:rPr>
            </w:pPr>
            <w:r>
              <w:rPr>
                <w:rFonts w:ascii="Arial" w:cs="Arial" w:eastAsia="Arial" w:hAnsi="Arial"/>
                <w:sz w:val="16"/>
                <w:szCs w:val="16"/>
                <w:color w:val="00162F"/>
              </w:rPr>
              <w:t>Net cash used in financing activities</w:t>
            </w:r>
          </w:p>
        </w:tc>
        <w:tc>
          <w:tcPr>
            <w:tcW w:w="320" w:type="dxa"/>
            <w:vAlign w:val="bottom"/>
            <w:tcBorders>
              <w:bottom w:val="single" w:sz="8" w:color="00162F"/>
            </w:tcBorders>
            <w:shd w:val="clear" w:color="auto" w:fill="EDEDED"/>
          </w:tcPr>
          <w:p>
            <w:pPr>
              <w:spacing w:after="0"/>
              <w:rPr>
                <w:sz w:val="20"/>
                <w:szCs w:val="20"/>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(1,051)</w:t>
            </w:r>
          </w:p>
        </w:tc>
        <w:tc>
          <w:tcPr>
            <w:tcW w:w="60" w:type="dxa"/>
            <w:vAlign w:val="bottom"/>
            <w:tcBorders>
              <w:bottom w:val="single" w:sz="8" w:color="EDEDED"/>
            </w:tcBorders>
            <w:shd w:val="clear" w:color="auto" w:fill="EDEDED"/>
          </w:tcPr>
          <w:p>
            <w:pPr>
              <w:spacing w:after="0"/>
              <w:rPr>
                <w:sz w:val="20"/>
                <w:szCs w:val="20"/>
                <w:color w:val="auto"/>
              </w:rPr>
            </w:pPr>
          </w:p>
        </w:tc>
        <w:tc>
          <w:tcPr>
            <w:tcW w:w="320" w:type="dxa"/>
            <w:vAlign w:val="bottom"/>
            <w:tcBorders>
              <w:bottom w:val="single" w:sz="8" w:color="00162F"/>
            </w:tcBorders>
            <w:shd w:val="clear" w:color="auto" w:fill="EDEDED"/>
          </w:tcPr>
          <w:p>
            <w:pPr>
              <w:spacing w:after="0"/>
              <w:rPr>
                <w:sz w:val="20"/>
                <w:szCs w:val="20"/>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(2,794)</w:t>
            </w:r>
          </w:p>
        </w:tc>
        <w:tc>
          <w:tcPr>
            <w:tcW w:w="80" w:type="dxa"/>
            <w:vAlign w:val="bottom"/>
            <w:tcBorders>
              <w:bottom w:val="single" w:sz="8" w:color="EDEDED"/>
            </w:tcBorders>
            <w:shd w:val="clear" w:color="auto" w:fill="EDEDED"/>
          </w:tcPr>
          <w:p>
            <w:pPr>
              <w:spacing w:after="0"/>
              <w:rPr>
                <w:sz w:val="20"/>
                <w:szCs w:val="20"/>
                <w:color w:val="auto"/>
              </w:rPr>
            </w:pPr>
          </w:p>
        </w:tc>
        <w:tc>
          <w:tcPr>
            <w:tcW w:w="360" w:type="dxa"/>
            <w:vAlign w:val="bottom"/>
            <w:tcBorders>
              <w:bottom w:val="single" w:sz="8" w:color="00162F"/>
            </w:tcBorders>
            <w:shd w:val="clear" w:color="auto" w:fill="EDEDED"/>
          </w:tcPr>
          <w:p>
            <w:pPr>
              <w:spacing w:after="0"/>
              <w:rPr>
                <w:sz w:val="20"/>
                <w:szCs w:val="20"/>
                <w:color w:val="auto"/>
              </w:rPr>
            </w:pPr>
          </w:p>
        </w:tc>
        <w:tc>
          <w:tcPr>
            <w:tcW w:w="9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(3,206)</w:t>
            </w:r>
          </w:p>
        </w:tc>
      </w:tr>
      <w:tr>
        <w:trPr>
          <w:trHeight w:val="203"/>
        </w:trPr>
        <w:tc>
          <w:tcPr>
            <w:tcW w:w="6480" w:type="dxa"/>
            <w:vAlign w:val="bottom"/>
            <w:gridSpan w:val="2"/>
          </w:tcPr>
          <w:p>
            <w:pPr>
              <w:ind w:left="40"/>
              <w:spacing w:after="0"/>
              <w:rPr>
                <w:sz w:val="20"/>
                <w:szCs w:val="20"/>
                <w:color w:val="auto"/>
              </w:rPr>
            </w:pPr>
            <w:r>
              <w:rPr>
                <w:rFonts w:ascii="Arial" w:cs="Arial" w:eastAsia="Arial" w:hAnsi="Arial"/>
                <w:sz w:val="16"/>
                <w:szCs w:val="16"/>
                <w:color w:val="00162F"/>
              </w:rPr>
              <w:t>Net increase in cash and restricted cash</w:t>
            </w:r>
          </w:p>
        </w:tc>
        <w:tc>
          <w:tcPr>
            <w:tcW w:w="3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00162F"/>
              </w:rPr>
              <w:t>154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162F"/>
              </w:rPr>
              <w:t>221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162F"/>
              </w:rPr>
              <w:t>95</w:t>
            </w:r>
          </w:p>
        </w:tc>
      </w:tr>
      <w:tr>
        <w:trPr>
          <w:trHeight w:val="234"/>
        </w:trPr>
        <w:tc>
          <w:tcPr>
            <w:tcW w:w="648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16"/>
                <w:szCs w:val="16"/>
                <w:color w:val="00162F"/>
              </w:rPr>
              <w:t>Cash and restricted cash at beginning of year</w:t>
            </w:r>
          </w:p>
        </w:tc>
        <w:tc>
          <w:tcPr>
            <w:tcW w:w="320" w:type="dxa"/>
            <w:vAlign w:val="bottom"/>
            <w:tcBorders>
              <w:bottom w:val="single" w:sz="8" w:color="00162F"/>
            </w:tcBorders>
            <w:shd w:val="clear" w:color="auto" w:fill="EDEDED"/>
          </w:tcPr>
          <w:p>
            <w:pPr>
              <w:spacing w:after="0"/>
              <w:rPr>
                <w:sz w:val="20"/>
                <w:szCs w:val="20"/>
                <w:color w:val="auto"/>
              </w:rPr>
            </w:pPr>
          </w:p>
        </w:tc>
        <w:tc>
          <w:tcPr>
            <w:tcW w:w="104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16"/>
                <w:szCs w:val="16"/>
                <w:color w:val="00162F"/>
              </w:rPr>
              <w:t>902</w:t>
            </w:r>
          </w:p>
        </w:tc>
        <w:tc>
          <w:tcPr>
            <w:tcW w:w="60" w:type="dxa"/>
            <w:vAlign w:val="bottom"/>
            <w:tcBorders>
              <w:bottom w:val="single" w:sz="8" w:color="EDEDED"/>
            </w:tcBorders>
            <w:shd w:val="clear" w:color="auto" w:fill="EDEDED"/>
          </w:tcPr>
          <w:p>
            <w:pPr>
              <w:spacing w:after="0"/>
              <w:rPr>
                <w:sz w:val="20"/>
                <w:szCs w:val="20"/>
                <w:color w:val="auto"/>
              </w:rPr>
            </w:pPr>
          </w:p>
        </w:tc>
        <w:tc>
          <w:tcPr>
            <w:tcW w:w="320" w:type="dxa"/>
            <w:vAlign w:val="bottom"/>
            <w:tcBorders>
              <w:bottom w:val="single" w:sz="8" w:color="00162F"/>
            </w:tcBorders>
            <w:shd w:val="clear" w:color="auto" w:fill="EDEDED"/>
          </w:tcPr>
          <w:p>
            <w:pPr>
              <w:spacing w:after="0"/>
              <w:rPr>
                <w:sz w:val="20"/>
                <w:szCs w:val="20"/>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681</w:t>
            </w:r>
          </w:p>
        </w:tc>
        <w:tc>
          <w:tcPr>
            <w:tcW w:w="80" w:type="dxa"/>
            <w:vAlign w:val="bottom"/>
            <w:tcBorders>
              <w:bottom w:val="single" w:sz="8" w:color="EDEDED"/>
            </w:tcBorders>
            <w:shd w:val="clear" w:color="auto" w:fill="EDEDED"/>
          </w:tcPr>
          <w:p>
            <w:pPr>
              <w:spacing w:after="0"/>
              <w:rPr>
                <w:sz w:val="20"/>
                <w:szCs w:val="20"/>
                <w:color w:val="auto"/>
              </w:rPr>
            </w:pPr>
          </w:p>
        </w:tc>
        <w:tc>
          <w:tcPr>
            <w:tcW w:w="360" w:type="dxa"/>
            <w:vAlign w:val="bottom"/>
            <w:tcBorders>
              <w:bottom w:val="single" w:sz="8" w:color="00162F"/>
            </w:tcBorders>
            <w:shd w:val="clear" w:color="auto" w:fill="EDEDED"/>
          </w:tcPr>
          <w:p>
            <w:pPr>
              <w:spacing w:after="0"/>
              <w:rPr>
                <w:sz w:val="20"/>
                <w:szCs w:val="20"/>
                <w:color w:val="auto"/>
              </w:rPr>
            </w:pPr>
          </w:p>
        </w:tc>
        <w:tc>
          <w:tcPr>
            <w:tcW w:w="9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586</w:t>
            </w:r>
          </w:p>
        </w:tc>
      </w:tr>
      <w:tr>
        <w:trPr>
          <w:trHeight w:val="213"/>
        </w:trPr>
        <w:tc>
          <w:tcPr>
            <w:tcW w:w="6480" w:type="dxa"/>
            <w:vAlign w:val="bottom"/>
            <w:gridSpan w:val="2"/>
          </w:tcPr>
          <w:p>
            <w:pPr>
              <w:ind w:left="40"/>
              <w:spacing w:after="0"/>
              <w:rPr>
                <w:sz w:val="20"/>
                <w:szCs w:val="20"/>
                <w:color w:val="auto"/>
              </w:rPr>
            </w:pPr>
            <w:r>
              <w:rPr>
                <w:rFonts w:ascii="Arial" w:cs="Arial" w:eastAsia="Arial" w:hAnsi="Arial"/>
                <w:sz w:val="16"/>
                <w:szCs w:val="16"/>
                <w:color w:val="00162F"/>
              </w:rPr>
              <w:t xml:space="preserve">Cash and restricted cash at end of year </w:t>
            </w:r>
            <w:r>
              <w:rPr>
                <w:rFonts w:ascii="Arial" w:cs="Arial" w:eastAsia="Arial" w:hAnsi="Arial"/>
                <w:sz w:val="10"/>
                <w:szCs w:val="10"/>
                <w:color w:val="00162F"/>
              </w:rPr>
              <w:t>(a)</w:t>
            </w:r>
          </w:p>
        </w:tc>
        <w:tc>
          <w:tcPr>
            <w:tcW w:w="320" w:type="dxa"/>
            <w:vAlign w:val="bottom"/>
          </w:tcPr>
          <w:p>
            <w:pPr>
              <w:jc w:val="right"/>
              <w:ind w:right="101"/>
              <w:spacing w:after="0"/>
              <w:rPr>
                <w:sz w:val="20"/>
                <w:szCs w:val="20"/>
                <w:color w:val="auto"/>
              </w:rPr>
            </w:pPr>
            <w:r>
              <w:rPr>
                <w:rFonts w:ascii="Arial" w:cs="Arial" w:eastAsia="Arial" w:hAnsi="Arial"/>
                <w:sz w:val="16"/>
                <w:szCs w:val="16"/>
                <w:color w:val="00162F"/>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00162F"/>
              </w:rPr>
              <w:t>1,056</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00162F"/>
              </w:rPr>
              <w:t>$</w:t>
            </w:r>
          </w:p>
        </w:tc>
        <w:tc>
          <w:tcPr>
            <w:tcW w:w="1040" w:type="dxa"/>
            <w:vAlign w:val="bottom"/>
          </w:tcPr>
          <w:p>
            <w:pPr>
              <w:jc w:val="right"/>
              <w:spacing w:after="0"/>
              <w:rPr>
                <w:sz w:val="20"/>
                <w:szCs w:val="20"/>
                <w:color w:val="auto"/>
              </w:rPr>
            </w:pPr>
            <w:r>
              <w:rPr>
                <w:rFonts w:ascii="Arial" w:cs="Arial" w:eastAsia="Arial" w:hAnsi="Arial"/>
                <w:sz w:val="16"/>
                <w:szCs w:val="16"/>
                <w:color w:val="00162F"/>
              </w:rPr>
              <w:t>902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00162F"/>
              </w:rPr>
              <w:t>$</w:t>
            </w:r>
          </w:p>
        </w:tc>
        <w:tc>
          <w:tcPr>
            <w:tcW w:w="980" w:type="dxa"/>
            <w:vAlign w:val="bottom"/>
          </w:tcPr>
          <w:p>
            <w:pPr>
              <w:jc w:val="right"/>
              <w:spacing w:after="0"/>
              <w:rPr>
                <w:sz w:val="20"/>
                <w:szCs w:val="20"/>
                <w:color w:val="auto"/>
              </w:rPr>
            </w:pPr>
            <w:r>
              <w:rPr>
                <w:rFonts w:ascii="Arial" w:cs="Arial" w:eastAsia="Arial" w:hAnsi="Arial"/>
                <w:sz w:val="16"/>
                <w:szCs w:val="16"/>
                <w:color w:val="00162F"/>
              </w:rPr>
              <w:t>681</w:t>
            </w:r>
          </w:p>
        </w:tc>
      </w:tr>
      <w:tr>
        <w:trPr>
          <w:trHeight w:val="20"/>
        </w:trPr>
        <w:tc>
          <w:tcPr>
            <w:tcW w:w="1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104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10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980" w:type="dxa"/>
            <w:vAlign w:val="bottom"/>
            <w:tcBorders>
              <w:top w:val="single" w:sz="8" w:color="00162F"/>
              <w:bottom w:val="single" w:sz="8" w:color="00162F"/>
            </w:tcBorders>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4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-5577840</wp:posOffset>
            </wp:positionV>
            <wp:extent cx="269367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0">
                      <a:extLst>
                        <a:ext uri="{28A0092B-C50C-407E-A947-70E740481C1C}"/>
                      </a:extLst>
                    </a:blip>
                    <a:srcRect/>
                    <a:stretch>
                      <a:fillRect/>
                    </a:stretch>
                  </pic:blipFill>
                  <pic:spPr bwMode="auto">
                    <a:xfrm>
                      <a:off x="0" y="0"/>
                      <a:ext cx="2693670"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-2853055</wp:posOffset>
            </wp:positionV>
            <wp:extent cx="182308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1">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-1646555</wp:posOffset>
            </wp:positionV>
            <wp:extent cx="182308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2">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-741045</wp:posOffset>
            </wp:positionV>
            <wp:extent cx="182308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3">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-590550</wp:posOffset>
            </wp:positionV>
            <wp:extent cx="182308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4">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-288925</wp:posOffset>
            </wp:positionV>
            <wp:extent cx="182308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5">
                      <a:extLst>
                        <a:ext uri="{28A0092B-C50C-407E-A947-70E740481C1C}"/>
                      </a:extLst>
                    </a:blip>
                    <a:srcRect/>
                    <a:stretch>
                      <a:fillRect/>
                    </a:stretch>
                  </pic:blipFill>
                  <pic:spPr bwMode="auto">
                    <a:xfrm>
                      <a:off x="0" y="0"/>
                      <a:ext cx="1823085" cy="25400"/>
                    </a:xfrm>
                    <a:prstGeom prst="rect">
                      <a:avLst/>
                    </a:prstGeom>
                    <a:noFill/>
                  </pic:spPr>
                </pic:pic>
              </a:graphicData>
            </a:graphic>
          </wp:anchor>
        </w:drawing>
      </w:r>
    </w:p>
    <w:p>
      <w:pPr>
        <w:spacing w:after="0" w:line="25" w:lineRule="exact"/>
        <w:rPr>
          <w:sz w:val="20"/>
          <w:szCs w:val="20"/>
          <w:color w:val="auto"/>
        </w:rPr>
      </w:pPr>
    </w:p>
    <w:p>
      <w:pPr>
        <w:ind w:left="145" w:hanging="145"/>
        <w:spacing w:after="0"/>
        <w:tabs>
          <w:tab w:leader="none" w:pos="145" w:val="left"/>
        </w:tabs>
        <w:numPr>
          <w:ilvl w:val="0"/>
          <w:numId w:val="39"/>
        </w:numPr>
        <w:rPr>
          <w:rFonts w:ascii="Arial" w:cs="Arial" w:eastAsia="Arial" w:hAnsi="Arial"/>
          <w:sz w:val="10"/>
          <w:szCs w:val="10"/>
          <w:color w:val="00162F"/>
        </w:rPr>
      </w:pPr>
      <w:r>
        <w:rPr>
          <w:rFonts w:ascii="Arial" w:cs="Arial" w:eastAsia="Arial" w:hAnsi="Arial"/>
          <w:sz w:val="16"/>
          <w:szCs w:val="16"/>
          <w:color w:val="00162F"/>
        </w:rPr>
        <w:t>The following table provides a reconciliation of cash and restricted cash to amounts reported within the consolidated balance sheets:</w:t>
      </w:r>
    </w:p>
    <w:p>
      <w:pPr>
        <w:spacing w:after="0" w:line="149" w:lineRule="exact"/>
        <w:rPr>
          <w:sz w:val="20"/>
          <w:szCs w:val="20"/>
          <w:color w:val="auto"/>
        </w:rPr>
      </w:pPr>
    </w:p>
    <w:tbl>
      <w:tblPr>
        <w:tblLayout w:type="fixed"/>
        <w:tblInd w:w="5" w:type="dxa"/>
        <w:tblCellMar>
          <w:top w:w="0" w:type="dxa"/>
          <w:left w:w="0" w:type="dxa"/>
          <w:bottom w:w="0" w:type="dxa"/>
          <w:right w:w="0" w:type="dxa"/>
        </w:tblCellMar>
      </w:tblPr>
      <w:tr>
        <w:trPr>
          <w:trHeight w:val="238"/>
        </w:trPr>
        <w:tc>
          <w:tcPr>
            <w:tcW w:w="6480" w:type="dxa"/>
            <w:vAlign w:val="bottom"/>
            <w:shd w:val="clear" w:color="auto" w:fill="EDEDED"/>
          </w:tcPr>
          <w:p>
            <w:pPr>
              <w:ind w:left="40"/>
              <w:spacing w:after="0"/>
              <w:rPr>
                <w:sz w:val="20"/>
                <w:szCs w:val="20"/>
                <w:color w:val="auto"/>
              </w:rPr>
            </w:pPr>
            <w:r>
              <w:rPr>
                <w:rFonts w:ascii="Arial" w:cs="Arial" w:eastAsia="Arial" w:hAnsi="Arial"/>
                <w:sz w:val="16"/>
                <w:szCs w:val="16"/>
                <w:color w:val="00162F"/>
              </w:rPr>
              <w:t>Cash</w:t>
            </w:r>
          </w:p>
        </w:tc>
        <w:tc>
          <w:tcPr>
            <w:tcW w:w="520" w:type="dxa"/>
            <w:vAlign w:val="bottom"/>
            <w:shd w:val="clear" w:color="auto" w:fill="EDEDED"/>
          </w:tcPr>
          <w:p>
            <w:pPr>
              <w:jc w:val="right"/>
              <w:ind w:right="301"/>
              <w:spacing w:after="0"/>
              <w:rPr>
                <w:sz w:val="20"/>
                <w:szCs w:val="20"/>
                <w:color w:val="auto"/>
              </w:rPr>
            </w:pPr>
            <w:r>
              <w:rPr>
                <w:rFonts w:ascii="Arial" w:cs="Arial" w:eastAsia="Arial" w:hAnsi="Arial"/>
                <w:sz w:val="16"/>
                <w:szCs w:val="16"/>
                <w:color w:val="00162F"/>
              </w:rPr>
              <w:t>$</w:t>
            </w:r>
          </w:p>
        </w:tc>
        <w:tc>
          <w:tcPr>
            <w:tcW w:w="8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00162F"/>
              </w:rPr>
              <w:t>954</w:t>
            </w:r>
          </w:p>
        </w:tc>
        <w:tc>
          <w:tcPr>
            <w:tcW w:w="640" w:type="dxa"/>
            <w:vAlign w:val="bottom"/>
            <w:gridSpan w:val="2"/>
            <w:shd w:val="clear" w:color="auto" w:fill="EDEDED"/>
          </w:tcPr>
          <w:p>
            <w:pPr>
              <w:jc w:val="right"/>
              <w:ind w:right="361"/>
              <w:spacing w:after="0"/>
              <w:rPr>
                <w:sz w:val="20"/>
                <w:szCs w:val="20"/>
                <w:color w:val="auto"/>
              </w:rPr>
            </w:pPr>
            <w:r>
              <w:rPr>
                <w:rFonts w:ascii="Arial" w:cs="Arial" w:eastAsia="Arial" w:hAnsi="Arial"/>
                <w:sz w:val="16"/>
                <w:szCs w:val="16"/>
                <w:color w:val="00162F"/>
              </w:rPr>
              <w:t>$</w:t>
            </w:r>
          </w:p>
        </w:tc>
        <w:tc>
          <w:tcPr>
            <w:tcW w:w="78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804</w:t>
            </w:r>
          </w:p>
        </w:tc>
        <w:tc>
          <w:tcPr>
            <w:tcW w:w="660" w:type="dxa"/>
            <w:vAlign w:val="bottom"/>
            <w:gridSpan w:val="2"/>
            <w:shd w:val="clear" w:color="auto" w:fill="EDEDED"/>
          </w:tcPr>
          <w:p>
            <w:pPr>
              <w:jc w:val="right"/>
              <w:ind w:right="361"/>
              <w:spacing w:after="0"/>
              <w:rPr>
                <w:sz w:val="20"/>
                <w:szCs w:val="20"/>
                <w:color w:val="auto"/>
              </w:rPr>
            </w:pPr>
            <w:r>
              <w:rPr>
                <w:rFonts w:ascii="Arial" w:cs="Arial" w:eastAsia="Arial" w:hAnsi="Arial"/>
                <w:sz w:val="16"/>
                <w:szCs w:val="16"/>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16"/>
                <w:szCs w:val="16"/>
                <w:color w:val="00162F"/>
              </w:rPr>
              <w:t>578</w:t>
            </w:r>
          </w:p>
        </w:tc>
      </w:tr>
      <w:tr>
        <w:trPr>
          <w:trHeight w:val="228"/>
        </w:trPr>
        <w:tc>
          <w:tcPr>
            <w:tcW w:w="6480" w:type="dxa"/>
            <w:vAlign w:val="bottom"/>
            <w:tcBorders>
              <w:bottom w:val="single" w:sz="8" w:color="EDEDED"/>
            </w:tcBorders>
          </w:tcPr>
          <w:p>
            <w:pPr>
              <w:ind w:left="40"/>
              <w:spacing w:after="0"/>
              <w:rPr>
                <w:sz w:val="20"/>
                <w:szCs w:val="20"/>
                <w:color w:val="auto"/>
              </w:rPr>
            </w:pPr>
            <w:r>
              <w:rPr>
                <w:rFonts w:ascii="Arial" w:cs="Arial" w:eastAsia="Arial" w:hAnsi="Arial"/>
                <w:sz w:val="16"/>
                <w:szCs w:val="16"/>
                <w:color w:val="00162F"/>
              </w:rPr>
              <w:t>Restricted cash included in restricted cash and short-term investments</w:t>
            </w:r>
          </w:p>
        </w:tc>
        <w:tc>
          <w:tcPr>
            <w:tcW w:w="520" w:type="dxa"/>
            <w:vAlign w:val="bottom"/>
            <w:tcBorders>
              <w:bottom w:val="single" w:sz="8" w:color="00162F"/>
            </w:tcBorders>
          </w:tcPr>
          <w:p>
            <w:pPr>
              <w:spacing w:after="0"/>
              <w:rPr>
                <w:sz w:val="19"/>
                <w:szCs w:val="19"/>
                <w:color w:val="auto"/>
              </w:rPr>
            </w:pPr>
          </w:p>
        </w:tc>
        <w:tc>
          <w:tcPr>
            <w:tcW w:w="840" w:type="dxa"/>
            <w:vAlign w:val="bottom"/>
            <w:tcBorders>
              <w:bottom w:val="single" w:sz="8" w:color="00162F"/>
            </w:tcBorders>
          </w:tcPr>
          <w:p>
            <w:pPr>
              <w:jc w:val="right"/>
              <w:ind w:right="1"/>
              <w:spacing w:after="0"/>
              <w:rPr>
                <w:sz w:val="20"/>
                <w:szCs w:val="20"/>
                <w:color w:val="auto"/>
              </w:rPr>
            </w:pPr>
            <w:r>
              <w:rPr>
                <w:rFonts w:ascii="Arial" w:cs="Arial" w:eastAsia="Arial" w:hAnsi="Arial"/>
                <w:sz w:val="16"/>
                <w:szCs w:val="16"/>
                <w:color w:val="00162F"/>
              </w:rPr>
              <w:t>102</w:t>
            </w:r>
          </w:p>
        </w:tc>
        <w:tc>
          <w:tcPr>
            <w:tcW w:w="60" w:type="dxa"/>
            <w:vAlign w:val="bottom"/>
            <w:tcBorders>
              <w:bottom w:val="single" w:sz="8" w:color="EDEDED"/>
            </w:tcBorders>
          </w:tcPr>
          <w:p>
            <w:pPr>
              <w:spacing w:after="0"/>
              <w:rPr>
                <w:sz w:val="19"/>
                <w:szCs w:val="19"/>
                <w:color w:val="auto"/>
              </w:rPr>
            </w:pPr>
          </w:p>
        </w:tc>
        <w:tc>
          <w:tcPr>
            <w:tcW w:w="580" w:type="dxa"/>
            <w:vAlign w:val="bottom"/>
            <w:tcBorders>
              <w:bottom w:val="single" w:sz="8" w:color="00162F"/>
            </w:tcBorders>
          </w:tcPr>
          <w:p>
            <w:pPr>
              <w:spacing w:after="0"/>
              <w:rPr>
                <w:sz w:val="19"/>
                <w:szCs w:val="19"/>
                <w:color w:val="auto"/>
              </w:rPr>
            </w:pPr>
          </w:p>
        </w:tc>
        <w:tc>
          <w:tcPr>
            <w:tcW w:w="78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98</w:t>
            </w:r>
          </w:p>
        </w:tc>
        <w:tc>
          <w:tcPr>
            <w:tcW w:w="80" w:type="dxa"/>
            <w:vAlign w:val="bottom"/>
            <w:tcBorders>
              <w:bottom w:val="single" w:sz="8" w:color="EDEDED"/>
            </w:tcBorders>
          </w:tcPr>
          <w:p>
            <w:pPr>
              <w:spacing w:after="0"/>
              <w:rPr>
                <w:sz w:val="19"/>
                <w:szCs w:val="19"/>
                <w:color w:val="auto"/>
              </w:rPr>
            </w:pPr>
          </w:p>
        </w:tc>
        <w:tc>
          <w:tcPr>
            <w:tcW w:w="580" w:type="dxa"/>
            <w:vAlign w:val="bottom"/>
            <w:tcBorders>
              <w:bottom w:val="single" w:sz="8" w:color="00162F"/>
            </w:tcBorders>
          </w:tcPr>
          <w:p>
            <w:pPr>
              <w:spacing w:after="0"/>
              <w:rPr>
                <w:sz w:val="19"/>
                <w:szCs w:val="19"/>
                <w:color w:val="auto"/>
              </w:rPr>
            </w:pPr>
          </w:p>
        </w:tc>
        <w:tc>
          <w:tcPr>
            <w:tcW w:w="760" w:type="dxa"/>
            <w:vAlign w:val="bottom"/>
            <w:tcBorders>
              <w:bottom w:val="single" w:sz="8" w:color="00162F"/>
            </w:tcBorders>
          </w:tcPr>
          <w:p>
            <w:pPr>
              <w:jc w:val="right"/>
              <w:spacing w:after="0"/>
              <w:rPr>
                <w:sz w:val="20"/>
                <w:szCs w:val="20"/>
                <w:color w:val="auto"/>
              </w:rPr>
            </w:pPr>
            <w:r>
              <w:rPr>
                <w:rFonts w:ascii="Arial" w:cs="Arial" w:eastAsia="Arial" w:hAnsi="Arial"/>
                <w:sz w:val="16"/>
                <w:szCs w:val="16"/>
                <w:color w:val="00162F"/>
              </w:rPr>
              <w:t>103</w:t>
            </w:r>
          </w:p>
        </w:tc>
      </w:tr>
      <w:tr>
        <w:trPr>
          <w:trHeight w:val="237"/>
        </w:trPr>
        <w:tc>
          <w:tcPr>
            <w:tcW w:w="648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16"/>
                <w:szCs w:val="16"/>
                <w:color w:val="00162F"/>
              </w:rPr>
              <w:t>Total cash and restricted cash</w:t>
            </w:r>
          </w:p>
        </w:tc>
        <w:tc>
          <w:tcPr>
            <w:tcW w:w="520" w:type="dxa"/>
            <w:vAlign w:val="bottom"/>
            <w:tcBorders>
              <w:bottom w:val="single" w:sz="8" w:color="00162F"/>
            </w:tcBorders>
            <w:shd w:val="clear" w:color="auto" w:fill="EDEDED"/>
          </w:tcPr>
          <w:p>
            <w:pPr>
              <w:jc w:val="right"/>
              <w:ind w:right="301"/>
              <w:spacing w:after="0"/>
              <w:rPr>
                <w:sz w:val="20"/>
                <w:szCs w:val="20"/>
                <w:color w:val="auto"/>
              </w:rPr>
            </w:pPr>
            <w:r>
              <w:rPr>
                <w:rFonts w:ascii="Arial" w:cs="Arial" w:eastAsia="Arial" w:hAnsi="Arial"/>
                <w:sz w:val="16"/>
                <w:szCs w:val="16"/>
                <w:color w:val="00162F"/>
              </w:rPr>
              <w:t>$</w:t>
            </w:r>
          </w:p>
        </w:tc>
        <w:tc>
          <w:tcPr>
            <w:tcW w:w="84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16"/>
                <w:szCs w:val="16"/>
                <w:color w:val="00162F"/>
              </w:rPr>
              <w:t>1,056</w:t>
            </w:r>
          </w:p>
        </w:tc>
        <w:tc>
          <w:tcPr>
            <w:tcW w:w="60" w:type="dxa"/>
            <w:vAlign w:val="bottom"/>
            <w:tcBorders>
              <w:bottom w:val="single" w:sz="8" w:color="EDEDED"/>
            </w:tcBorders>
            <w:shd w:val="clear" w:color="auto" w:fill="EDEDED"/>
          </w:tcPr>
          <w:p>
            <w:pPr>
              <w:spacing w:after="0"/>
              <w:rPr>
                <w:sz w:val="20"/>
                <w:szCs w:val="20"/>
                <w:color w:val="auto"/>
              </w:rPr>
            </w:pPr>
          </w:p>
        </w:tc>
        <w:tc>
          <w:tcPr>
            <w:tcW w:w="580" w:type="dxa"/>
            <w:vAlign w:val="bottom"/>
            <w:tcBorders>
              <w:bottom w:val="single" w:sz="8" w:color="00162F"/>
            </w:tcBorders>
            <w:shd w:val="clear" w:color="auto" w:fill="EDEDED"/>
          </w:tcPr>
          <w:p>
            <w:pPr>
              <w:jc w:val="right"/>
              <w:ind w:right="361"/>
              <w:spacing w:after="0"/>
              <w:rPr>
                <w:sz w:val="20"/>
                <w:szCs w:val="20"/>
                <w:color w:val="auto"/>
              </w:rPr>
            </w:pPr>
            <w:r>
              <w:rPr>
                <w:rFonts w:ascii="Arial" w:cs="Arial" w:eastAsia="Arial" w:hAnsi="Arial"/>
                <w:sz w:val="16"/>
                <w:szCs w:val="16"/>
                <w:color w:val="00162F"/>
              </w:rPr>
              <w:t>$</w:t>
            </w:r>
          </w:p>
        </w:tc>
        <w:tc>
          <w:tcPr>
            <w:tcW w:w="7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902</w:t>
            </w:r>
          </w:p>
        </w:tc>
        <w:tc>
          <w:tcPr>
            <w:tcW w:w="80" w:type="dxa"/>
            <w:vAlign w:val="bottom"/>
            <w:tcBorders>
              <w:bottom w:val="single" w:sz="8" w:color="EDEDED"/>
            </w:tcBorders>
            <w:shd w:val="clear" w:color="auto" w:fill="EDEDED"/>
          </w:tcPr>
          <w:p>
            <w:pPr>
              <w:spacing w:after="0"/>
              <w:rPr>
                <w:sz w:val="20"/>
                <w:szCs w:val="20"/>
                <w:color w:val="auto"/>
              </w:rPr>
            </w:pPr>
          </w:p>
        </w:tc>
        <w:tc>
          <w:tcPr>
            <w:tcW w:w="580" w:type="dxa"/>
            <w:vAlign w:val="bottom"/>
            <w:tcBorders>
              <w:bottom w:val="single" w:sz="8" w:color="00162F"/>
            </w:tcBorders>
            <w:shd w:val="clear" w:color="auto" w:fill="EDEDED"/>
          </w:tcPr>
          <w:p>
            <w:pPr>
              <w:jc w:val="right"/>
              <w:ind w:right="361"/>
              <w:spacing w:after="0"/>
              <w:rPr>
                <w:sz w:val="20"/>
                <w:szCs w:val="20"/>
                <w:color w:val="auto"/>
              </w:rPr>
            </w:pPr>
            <w:r>
              <w:rPr>
                <w:rFonts w:ascii="Arial" w:cs="Arial" w:eastAsia="Arial" w:hAnsi="Arial"/>
                <w:sz w:val="16"/>
                <w:szCs w:val="16"/>
                <w:color w:val="00162F"/>
              </w:rPr>
              <w:t>$</w:t>
            </w:r>
          </w:p>
        </w:tc>
        <w:tc>
          <w:tcPr>
            <w:tcW w:w="7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6"/>
                <w:szCs w:val="16"/>
                <w:color w:val="00162F"/>
              </w:rPr>
              <w:t>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-181610</wp:posOffset>
            </wp:positionV>
            <wp:extent cx="182308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6">
                      <a:extLst>
                        <a:ext uri="{28A0092B-C50C-407E-A947-70E740481C1C}"/>
                      </a:extLst>
                    </a:blip>
                    <a:srcRect/>
                    <a:stretch>
                      <a:fillRect/>
                    </a:stretch>
                  </pic:blipFill>
                  <pic:spPr bwMode="auto">
                    <a:xfrm>
                      <a:off x="0" y="0"/>
                      <a:ext cx="1823085"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-43815</wp:posOffset>
            </wp:positionV>
            <wp:extent cx="269367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a:extLst>
                        <a:ext uri="{28A0092B-C50C-407E-A947-70E740481C1C}"/>
                      </a:extLst>
                    </a:blip>
                    <a:srcRect/>
                    <a:stretch>
                      <a:fillRect/>
                    </a:stretch>
                  </pic:blipFill>
                  <pic:spPr bwMode="auto">
                    <a:xfrm>
                      <a:off x="0" y="0"/>
                      <a:ext cx="2693670" cy="50800"/>
                    </a:xfrm>
                    <a:prstGeom prst="rect">
                      <a:avLst/>
                    </a:prstGeom>
                    <a:noFill/>
                  </pic:spPr>
                </pic:pic>
              </a:graphicData>
            </a:graphic>
          </wp:anchor>
        </w:drawing>
      </w:r>
    </w:p>
    <w:p>
      <w:pPr>
        <w:spacing w:after="0" w:line="7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00162F"/>
        </w:rPr>
        <w:t>See accompanying notes to consolidated financial statements.</w:t>
      </w:r>
    </w:p>
    <w:p>
      <w:pPr>
        <w:sectPr>
          <w:pgSz w:w="11880" w:h="15480" w:orient="portrait"/>
          <w:cols w:equalWidth="0" w:num="1">
            <w:col w:w="10685"/>
          </w:cols>
          <w:pgMar w:left="595"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86</w:t>
      </w:r>
    </w:p>
    <w:p>
      <w:pPr>
        <w:sectPr>
          <w:pgSz w:w="11880" w:h="15480" w:orient="portrait"/>
          <w:cols w:equalWidth="0" w:num="1">
            <w:col w:w="10685"/>
          </w:cols>
          <w:pgMar w:left="595" w:top="992" w:right="600" w:bottom="0" w:gutter="0" w:footer="0" w:header="0"/>
          <w:type w:val="continuous"/>
        </w:sectPr>
      </w:pPr>
    </w:p>
    <w:bookmarkStart w:id="87" w:name="page88"/>
    <w:bookmarkEnd w:id="87"/>
    <w:p>
      <w:pPr>
        <w:jc w:val="center"/>
        <w:ind w:left="620" w:right="2380"/>
        <w:spacing w:after="0" w:line="270" w:lineRule="auto"/>
        <w:rPr>
          <w:sz w:val="20"/>
          <w:szCs w:val="20"/>
          <w:color w:val="auto"/>
        </w:rPr>
      </w:pPr>
      <w:r>
        <w:rPr>
          <w:rFonts w:ascii="Arial" w:cs="Arial" w:eastAsia="Arial" w:hAnsi="Arial"/>
          <w:sz w:val="20"/>
          <w:szCs w:val="20"/>
          <w:b w:val="1"/>
          <w:bCs w:val="1"/>
          <w:color w:val="00162F"/>
        </w:rPr>
        <w:t>AMERICAN AIRLINES GROUP INC. CONSOLIDATED STATEMENTS OF STOCKHOLDERS’ DEFICIT (In millions, except share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00162F"/>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2"/>
              <w:spacing w:after="0"/>
              <w:rPr>
                <w:sz w:val="20"/>
                <w:szCs w:val="20"/>
                <w:color w:val="auto"/>
              </w:rPr>
            </w:pPr>
            <w:r>
              <w:rPr>
                <w:rFonts w:ascii="Arial" w:cs="Arial" w:eastAsia="Arial" w:hAnsi="Arial"/>
                <w:sz w:val="16"/>
                <w:szCs w:val="16"/>
                <w:b w:val="1"/>
                <w:bCs w:val="1"/>
                <w:color w:val="00162F"/>
                <w:w w:val="99"/>
              </w:rPr>
              <w:t>Accumulated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66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00162F"/>
              </w:rPr>
              <w:t>Common</w:t>
            </w: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00162F"/>
                <w:w w:val="98"/>
              </w:rPr>
              <w:t>Other</w:t>
            </w:r>
          </w:p>
        </w:tc>
        <w:tc>
          <w:tcPr>
            <w:tcW w:w="80" w:type="dxa"/>
            <w:vAlign w:val="bottom"/>
          </w:tcPr>
          <w:p>
            <w:pPr>
              <w:spacing w:after="0"/>
              <w:rPr>
                <w:sz w:val="13"/>
                <w:szCs w:val="13"/>
                <w:color w:val="auto"/>
              </w:rPr>
            </w:pPr>
          </w:p>
        </w:tc>
        <w:tc>
          <w:tcPr>
            <w:tcW w:w="900" w:type="dxa"/>
            <w:vAlign w:val="bottom"/>
            <w:gridSpan w:val="2"/>
            <w:vMerge w:val="restart"/>
          </w:tcPr>
          <w:p>
            <w:pPr>
              <w:jc w:val="right"/>
              <w:ind w:right="31"/>
              <w:spacing w:after="0"/>
              <w:rPr>
                <w:sz w:val="20"/>
                <w:szCs w:val="20"/>
                <w:color w:val="auto"/>
              </w:rPr>
            </w:pPr>
            <w:r>
              <w:rPr>
                <w:rFonts w:ascii="Arial" w:cs="Arial" w:eastAsia="Arial" w:hAnsi="Arial"/>
                <w:sz w:val="16"/>
                <w:szCs w:val="16"/>
                <w:b w:val="1"/>
                <w:bCs w:val="1"/>
                <w:color w:val="00162F"/>
              </w:rPr>
              <w:t>Retained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92"/>
              <w:spacing w:after="0" w:line="158" w:lineRule="exact"/>
              <w:rPr>
                <w:sz w:val="20"/>
                <w:szCs w:val="20"/>
                <w:color w:val="auto"/>
              </w:rPr>
            </w:pPr>
            <w:r>
              <w:rPr>
                <w:rFonts w:ascii="Arial" w:cs="Arial" w:eastAsia="Arial" w:hAnsi="Arial"/>
                <w:sz w:val="16"/>
                <w:szCs w:val="16"/>
                <w:b w:val="1"/>
                <w:bCs w:val="1"/>
                <w:color w:val="00162F"/>
                <w:w w:val="97"/>
              </w:rPr>
              <w:t>Paid-in</w:t>
            </w:r>
          </w:p>
        </w:tc>
        <w:tc>
          <w:tcPr>
            <w:tcW w:w="80" w:type="dxa"/>
            <w:vAlign w:val="bottom"/>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00162F"/>
                <w:w w:val="98"/>
              </w:rPr>
              <w:t>Comprehensive</w:t>
            </w: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00162F"/>
                <w:w w:val="99"/>
              </w:rPr>
              <w:t>Total</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EDEDED"/>
            </w:tcBorders>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640" w:type="dxa"/>
            <w:vAlign w:val="bottom"/>
            <w:tcBorders>
              <w:bottom w:val="single" w:sz="8" w:color="00162F"/>
            </w:tcBorders>
          </w:tcPr>
          <w:p>
            <w:pPr>
              <w:jc w:val="right"/>
              <w:ind w:right="91"/>
              <w:spacing w:after="0"/>
              <w:rPr>
                <w:sz w:val="20"/>
                <w:szCs w:val="20"/>
                <w:color w:val="auto"/>
              </w:rPr>
            </w:pPr>
            <w:r>
              <w:rPr>
                <w:rFonts w:ascii="Arial" w:cs="Arial" w:eastAsia="Arial" w:hAnsi="Arial"/>
                <w:sz w:val="16"/>
                <w:szCs w:val="16"/>
                <w:b w:val="1"/>
                <w:bCs w:val="1"/>
                <w:color w:val="00162F"/>
              </w:rPr>
              <w:t>Stock</w:t>
            </w:r>
          </w:p>
        </w:tc>
        <w:tc>
          <w:tcPr>
            <w:tcW w:w="80" w:type="dxa"/>
            <w:vAlign w:val="bottom"/>
            <w:tcBorders>
              <w:bottom w:val="single" w:sz="8" w:color="EDEDED"/>
            </w:tcBorders>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720" w:type="dxa"/>
            <w:vAlign w:val="bottom"/>
            <w:tcBorders>
              <w:bottom w:val="single" w:sz="8" w:color="00162F"/>
            </w:tcBorders>
          </w:tcPr>
          <w:p>
            <w:pPr>
              <w:jc w:val="right"/>
              <w:ind w:right="92"/>
              <w:spacing w:after="0"/>
              <w:rPr>
                <w:sz w:val="20"/>
                <w:szCs w:val="20"/>
                <w:color w:val="auto"/>
              </w:rPr>
            </w:pPr>
            <w:r>
              <w:rPr>
                <w:rFonts w:ascii="Arial" w:cs="Arial" w:eastAsia="Arial" w:hAnsi="Arial"/>
                <w:sz w:val="16"/>
                <w:szCs w:val="16"/>
                <w:b w:val="1"/>
                <w:bCs w:val="1"/>
                <w:color w:val="00162F"/>
                <w:w w:val="97"/>
              </w:rPr>
              <w:t>Capital</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160" w:type="dxa"/>
            <w:vAlign w:val="bottom"/>
            <w:tcBorders>
              <w:bottom w:val="single" w:sz="8" w:color="00162F"/>
            </w:tcBorders>
          </w:tcPr>
          <w:p>
            <w:pPr>
              <w:jc w:val="center"/>
              <w:ind w:right="72"/>
              <w:spacing w:after="0"/>
              <w:rPr>
                <w:sz w:val="20"/>
                <w:szCs w:val="20"/>
                <w:color w:val="auto"/>
              </w:rPr>
            </w:pPr>
            <w:r>
              <w:rPr>
                <w:rFonts w:ascii="Arial" w:cs="Arial" w:eastAsia="Arial" w:hAnsi="Arial"/>
                <w:sz w:val="16"/>
                <w:szCs w:val="16"/>
                <w:b w:val="1"/>
                <w:bCs w:val="1"/>
                <w:color w:val="00162F"/>
                <w:w w:val="96"/>
              </w:rPr>
              <w:t>Loss</w:t>
            </w:r>
          </w:p>
        </w:tc>
        <w:tc>
          <w:tcPr>
            <w:tcW w:w="80" w:type="dxa"/>
            <w:vAlign w:val="bottom"/>
            <w:tcBorders>
              <w:bottom w:val="single" w:sz="8" w:color="EDEDED"/>
            </w:tcBorders>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720" w:type="dxa"/>
            <w:vAlign w:val="bottom"/>
            <w:tcBorders>
              <w:bottom w:val="single" w:sz="8" w:color="00162F"/>
            </w:tcBorders>
          </w:tcPr>
          <w:p>
            <w:pPr>
              <w:jc w:val="right"/>
              <w:ind w:right="111"/>
              <w:spacing w:after="0"/>
              <w:rPr>
                <w:sz w:val="20"/>
                <w:szCs w:val="20"/>
                <w:color w:val="auto"/>
              </w:rPr>
            </w:pPr>
            <w:r>
              <w:rPr>
                <w:rFonts w:ascii="Arial" w:cs="Arial" w:eastAsia="Arial" w:hAnsi="Arial"/>
                <w:sz w:val="16"/>
                <w:szCs w:val="16"/>
                <w:b w:val="1"/>
                <w:bCs w:val="1"/>
                <w:color w:val="00162F"/>
              </w:rPr>
              <w:t>Deficit</w:t>
            </w:r>
          </w:p>
        </w:tc>
        <w:tc>
          <w:tcPr>
            <w:tcW w:w="80" w:type="dxa"/>
            <w:vAlign w:val="bottom"/>
            <w:tcBorders>
              <w:bottom w:val="single" w:sz="8" w:color="EDEDED"/>
            </w:tcBorders>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600" w:type="dxa"/>
            <w:vAlign w:val="bottom"/>
            <w:tcBorders>
              <w:bottom w:val="single" w:sz="8" w:color="00162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566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00162F"/>
              </w:rPr>
              <w:t>Balance at December 31, 2022</w:t>
            </w:r>
          </w:p>
        </w:tc>
        <w:tc>
          <w:tcPr>
            <w:tcW w:w="160" w:type="dxa"/>
            <w:vAlign w:val="bottom"/>
            <w:shd w:val="clear" w:color="auto" w:fill="EDEDED"/>
          </w:tcPr>
          <w:p>
            <w:pPr>
              <w:ind w:left="40"/>
              <w:spacing w:after="0"/>
              <w:rPr>
                <w:sz w:val="20"/>
                <w:szCs w:val="20"/>
                <w:color w:val="auto"/>
              </w:rPr>
            </w:pPr>
            <w:r>
              <w:rPr>
                <w:rFonts w:ascii="Arial" w:cs="Arial" w:eastAsia="Arial" w:hAnsi="Arial"/>
                <w:sz w:val="18"/>
                <w:szCs w:val="18"/>
                <w:color w:val="00162F"/>
                <w:w w:val="99"/>
              </w:rPr>
              <w:t>$</w:t>
            </w: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6</w:t>
            </w:r>
          </w:p>
        </w:tc>
        <w:tc>
          <w:tcPr>
            <w:tcW w:w="260" w:type="dxa"/>
            <w:vAlign w:val="bottom"/>
            <w:gridSpan w:val="2"/>
            <w:shd w:val="clear" w:color="auto" w:fill="EDEDED"/>
          </w:tcPr>
          <w:p>
            <w:pPr>
              <w:ind w:left="140"/>
              <w:spacing w:after="0"/>
              <w:rPr>
                <w:sz w:val="20"/>
                <w:szCs w:val="20"/>
                <w:color w:val="auto"/>
              </w:rPr>
            </w:pPr>
            <w:r>
              <w:rPr>
                <w:rFonts w:ascii="Arial" w:cs="Arial" w:eastAsia="Arial" w:hAnsi="Arial"/>
                <w:sz w:val="18"/>
                <w:szCs w:val="18"/>
                <w:color w:val="00162F"/>
                <w:w w:val="99"/>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7,291</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(4,585)</w:t>
            </w:r>
          </w:p>
        </w:tc>
        <w:tc>
          <w:tcPr>
            <w:tcW w:w="26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(8,511)</w:t>
            </w:r>
          </w:p>
        </w:tc>
        <w:tc>
          <w:tcPr>
            <w:tcW w:w="26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00162F"/>
                <w:w w:val="98"/>
              </w:rPr>
              <w:t>(5,799)</w:t>
            </w:r>
          </w:p>
        </w:tc>
        <w:tc>
          <w:tcPr>
            <w:tcW w:w="0" w:type="dxa"/>
            <w:vAlign w:val="bottom"/>
          </w:tcPr>
          <w:p>
            <w:pPr>
              <w:spacing w:after="0"/>
              <w:rPr>
                <w:sz w:val="1"/>
                <w:szCs w:val="1"/>
                <w:color w:val="auto"/>
              </w:rPr>
            </w:pPr>
          </w:p>
        </w:tc>
      </w:tr>
      <w:tr>
        <w:trPr>
          <w:trHeight w:val="277"/>
        </w:trPr>
        <w:tc>
          <w:tcPr>
            <w:tcW w:w="5660" w:type="dxa"/>
            <w:vAlign w:val="bottom"/>
          </w:tcPr>
          <w:p>
            <w:pPr>
              <w:ind w:left="60"/>
              <w:spacing w:after="0"/>
              <w:rPr>
                <w:sz w:val="20"/>
                <w:szCs w:val="20"/>
                <w:color w:val="auto"/>
              </w:rPr>
            </w:pPr>
            <w:r>
              <w:rPr>
                <w:rFonts w:ascii="Arial" w:cs="Arial" w:eastAsia="Arial" w:hAnsi="Arial"/>
                <w:sz w:val="18"/>
                <w:szCs w:val="18"/>
                <w:color w:val="00162F"/>
              </w:rPr>
              <w:t>Net income</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0162F"/>
              </w:rPr>
              <w:t>822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0162F"/>
              </w:rPr>
              <w:t>822</w:t>
            </w:r>
          </w:p>
        </w:tc>
        <w:tc>
          <w:tcPr>
            <w:tcW w:w="0" w:type="dxa"/>
            <w:vAlign w:val="bottom"/>
          </w:tcPr>
          <w:p>
            <w:pPr>
              <w:spacing w:after="0"/>
              <w:rPr>
                <w:sz w:val="1"/>
                <w:szCs w:val="1"/>
                <w:color w:val="auto"/>
              </w:rPr>
            </w:pPr>
          </w:p>
        </w:tc>
      </w:tr>
      <w:tr>
        <w:trPr>
          <w:trHeight w:val="288"/>
        </w:trPr>
        <w:tc>
          <w:tcPr>
            <w:tcW w:w="5660" w:type="dxa"/>
            <w:vAlign w:val="bottom"/>
            <w:shd w:val="clear" w:color="auto" w:fill="EDEDED"/>
          </w:tcPr>
          <w:p>
            <w:pPr>
              <w:ind w:left="60"/>
              <w:spacing w:after="0"/>
              <w:rPr>
                <w:sz w:val="20"/>
                <w:szCs w:val="20"/>
                <w:color w:val="auto"/>
              </w:rPr>
            </w:pPr>
            <w:r>
              <w:rPr>
                <w:rFonts w:ascii="Arial" w:cs="Arial" w:eastAsia="Arial" w:hAnsi="Arial"/>
                <w:sz w:val="18"/>
                <w:szCs w:val="18"/>
                <w:color w:val="00162F"/>
              </w:rPr>
              <w:t>Other comprehensive loss, net</w:t>
            </w:r>
          </w:p>
        </w:tc>
        <w:tc>
          <w:tcPr>
            <w:tcW w:w="16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(309)</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(309)</w:t>
            </w:r>
          </w:p>
        </w:tc>
        <w:tc>
          <w:tcPr>
            <w:tcW w:w="0" w:type="dxa"/>
            <w:vAlign w:val="bottom"/>
          </w:tcPr>
          <w:p>
            <w:pPr>
              <w:spacing w:after="0"/>
              <w:rPr>
                <w:sz w:val="1"/>
                <w:szCs w:val="1"/>
                <w:color w:val="auto"/>
              </w:rPr>
            </w:pPr>
          </w:p>
        </w:tc>
      </w:tr>
      <w:tr>
        <w:trPr>
          <w:trHeight w:val="185"/>
        </w:trPr>
        <w:tc>
          <w:tcPr>
            <w:tcW w:w="5660" w:type="dxa"/>
            <w:vAlign w:val="bottom"/>
          </w:tcPr>
          <w:p>
            <w:pPr>
              <w:ind w:left="60"/>
              <w:spacing w:after="0" w:line="185" w:lineRule="exact"/>
              <w:rPr>
                <w:sz w:val="20"/>
                <w:szCs w:val="20"/>
                <w:color w:val="auto"/>
              </w:rPr>
            </w:pPr>
            <w:r>
              <w:rPr>
                <w:rFonts w:ascii="Arial" w:cs="Arial" w:eastAsia="Arial" w:hAnsi="Arial"/>
                <w:sz w:val="18"/>
                <w:szCs w:val="18"/>
                <w:color w:val="00162F"/>
              </w:rPr>
              <w:t>Issuance of 3,630,731 shares of AAG common stock pursuant to</w:t>
            </w: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00162F"/>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00162F"/>
              </w:rPr>
              <w:t>(23)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00162F"/>
              </w:rPr>
              <w:t>(22)</w:t>
            </w:r>
          </w:p>
        </w:tc>
        <w:tc>
          <w:tcPr>
            <w:tcW w:w="0" w:type="dxa"/>
            <w:vAlign w:val="bottom"/>
          </w:tcPr>
          <w:p>
            <w:pPr>
              <w:spacing w:after="0"/>
              <w:rPr>
                <w:sz w:val="1"/>
                <w:szCs w:val="1"/>
                <w:color w:val="auto"/>
              </w:rPr>
            </w:pPr>
          </w:p>
        </w:tc>
      </w:tr>
      <w:tr>
        <w:trPr>
          <w:trHeight w:val="240"/>
        </w:trPr>
        <w:tc>
          <w:tcPr>
            <w:tcW w:w="5660" w:type="dxa"/>
            <w:vAlign w:val="bottom"/>
          </w:tcPr>
          <w:p>
            <w:pPr>
              <w:ind w:left="240"/>
              <w:spacing w:after="0"/>
              <w:rPr>
                <w:sz w:val="20"/>
                <w:szCs w:val="20"/>
                <w:color w:val="auto"/>
              </w:rPr>
            </w:pPr>
            <w:r>
              <w:rPr>
                <w:rFonts w:ascii="Arial" w:cs="Arial" w:eastAsia="Arial" w:hAnsi="Arial"/>
                <w:sz w:val="18"/>
                <w:szCs w:val="18"/>
                <w:color w:val="00162F"/>
              </w:rPr>
              <w:t>employee stock plans net of shares withheld for cash taxes</w:t>
            </w: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660" w:type="dxa"/>
            <w:vAlign w:val="bottom"/>
            <w:shd w:val="clear" w:color="auto" w:fill="EDEDED"/>
          </w:tcPr>
          <w:p>
            <w:pPr>
              <w:ind w:left="60"/>
              <w:spacing w:after="0"/>
              <w:rPr>
                <w:sz w:val="20"/>
                <w:szCs w:val="20"/>
                <w:color w:val="auto"/>
              </w:rPr>
            </w:pPr>
            <w:r>
              <w:rPr>
                <w:rFonts w:ascii="Arial" w:cs="Arial" w:eastAsia="Arial" w:hAnsi="Arial"/>
                <w:sz w:val="18"/>
                <w:szCs w:val="18"/>
                <w:color w:val="00162F"/>
              </w:rPr>
              <w:t>Share-based compensation expense</w:t>
            </w:r>
          </w:p>
        </w:tc>
        <w:tc>
          <w:tcPr>
            <w:tcW w:w="16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102</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102</w:t>
            </w:r>
          </w:p>
        </w:tc>
        <w:tc>
          <w:tcPr>
            <w:tcW w:w="0" w:type="dxa"/>
            <w:vAlign w:val="bottom"/>
          </w:tcPr>
          <w:p>
            <w:pPr>
              <w:spacing w:after="0"/>
              <w:rPr>
                <w:sz w:val="1"/>
                <w:szCs w:val="1"/>
                <w:color w:val="auto"/>
              </w:rPr>
            </w:pPr>
          </w:p>
        </w:tc>
      </w:tr>
      <w:tr>
        <w:trPr>
          <w:trHeight w:val="185"/>
        </w:trPr>
        <w:tc>
          <w:tcPr>
            <w:tcW w:w="5660" w:type="dxa"/>
            <w:vAlign w:val="bottom"/>
          </w:tcPr>
          <w:p>
            <w:pPr>
              <w:ind w:left="60"/>
              <w:spacing w:after="0" w:line="185" w:lineRule="exact"/>
              <w:rPr>
                <w:sz w:val="20"/>
                <w:szCs w:val="20"/>
                <w:color w:val="auto"/>
              </w:rPr>
            </w:pPr>
            <w:r>
              <w:rPr>
                <w:rFonts w:ascii="Arial" w:cs="Arial" w:eastAsia="Arial" w:hAnsi="Arial"/>
                <w:sz w:val="18"/>
                <w:szCs w:val="18"/>
                <w:color w:val="00162F"/>
              </w:rPr>
              <w:t>Settlement of single-dip unsecured claims held in Disputed Claims</w:t>
            </w: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00162F"/>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00162F"/>
              </w:rPr>
              <w:t>4</w:t>
            </w:r>
          </w:p>
        </w:tc>
        <w:tc>
          <w:tcPr>
            <w:tcW w:w="0" w:type="dxa"/>
            <w:vAlign w:val="bottom"/>
          </w:tcPr>
          <w:p>
            <w:pPr>
              <w:spacing w:after="0"/>
              <w:rPr>
                <w:sz w:val="1"/>
                <w:szCs w:val="1"/>
                <w:color w:val="auto"/>
              </w:rPr>
            </w:pPr>
          </w:p>
        </w:tc>
      </w:tr>
      <w:tr>
        <w:trPr>
          <w:trHeight w:val="235"/>
        </w:trPr>
        <w:tc>
          <w:tcPr>
            <w:tcW w:w="5660" w:type="dxa"/>
            <w:vAlign w:val="bottom"/>
            <w:tcBorders>
              <w:bottom w:val="single" w:sz="8" w:color="EDEDED"/>
            </w:tcBorders>
          </w:tcPr>
          <w:p>
            <w:pPr>
              <w:ind w:left="240"/>
              <w:spacing w:after="0"/>
              <w:rPr>
                <w:sz w:val="20"/>
                <w:szCs w:val="20"/>
                <w:color w:val="auto"/>
              </w:rPr>
            </w:pPr>
            <w:r>
              <w:rPr>
                <w:rFonts w:ascii="Arial" w:cs="Arial" w:eastAsia="Arial" w:hAnsi="Arial"/>
                <w:sz w:val="18"/>
                <w:szCs w:val="18"/>
                <w:color w:val="00162F"/>
              </w:rPr>
              <w:t>Reserve</w:t>
            </w:r>
          </w:p>
        </w:tc>
        <w:tc>
          <w:tcPr>
            <w:tcW w:w="160" w:type="dxa"/>
            <w:vAlign w:val="bottom"/>
            <w:tcBorders>
              <w:bottom w:val="single" w:sz="8" w:color="00162F"/>
            </w:tcBorders>
          </w:tcPr>
          <w:p>
            <w:pPr>
              <w:spacing w:after="0"/>
              <w:rPr>
                <w:sz w:val="20"/>
                <w:szCs w:val="20"/>
                <w:color w:val="auto"/>
              </w:rPr>
            </w:pPr>
          </w:p>
        </w:tc>
        <w:tc>
          <w:tcPr>
            <w:tcW w:w="640" w:type="dxa"/>
            <w:vAlign w:val="bottom"/>
            <w:tcBorders>
              <w:bottom w:val="single" w:sz="8" w:color="00162F"/>
            </w:tcBorders>
            <w:vMerge w:val="continue"/>
          </w:tcPr>
          <w:p>
            <w:pPr>
              <w:spacing w:after="0"/>
              <w:rPr>
                <w:sz w:val="20"/>
                <w:szCs w:val="20"/>
                <w:color w:val="auto"/>
              </w:rPr>
            </w:pPr>
          </w:p>
        </w:tc>
        <w:tc>
          <w:tcPr>
            <w:tcW w:w="8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20" w:type="dxa"/>
            <w:vAlign w:val="bottom"/>
            <w:tcBorders>
              <w:bottom w:val="single" w:sz="8" w:color="00162F"/>
            </w:tcBorders>
            <w:vMerge w:val="continue"/>
          </w:tcPr>
          <w:p>
            <w:pPr>
              <w:spacing w:after="0"/>
              <w:rPr>
                <w:sz w:val="20"/>
                <w:szCs w:val="20"/>
                <w:color w:val="auto"/>
              </w:rPr>
            </w:pPr>
          </w:p>
        </w:tc>
        <w:tc>
          <w:tcPr>
            <w:tcW w:w="80" w:type="dxa"/>
            <w:vAlign w:val="bottom"/>
            <w:tcBorders>
              <w:bottom w:val="single" w:sz="8" w:color="EDEDED"/>
            </w:tcBorders>
          </w:tcPr>
          <w:p>
            <w:pPr>
              <w:spacing w:after="0"/>
              <w:rPr>
                <w:sz w:val="20"/>
                <w:szCs w:val="20"/>
                <w:color w:val="auto"/>
              </w:rPr>
            </w:pPr>
          </w:p>
        </w:tc>
        <w:tc>
          <w:tcPr>
            <w:tcW w:w="160" w:type="dxa"/>
            <w:vAlign w:val="bottom"/>
            <w:tcBorders>
              <w:bottom w:val="single" w:sz="8" w:color="00162F"/>
            </w:tcBorders>
          </w:tcPr>
          <w:p>
            <w:pPr>
              <w:spacing w:after="0"/>
              <w:rPr>
                <w:sz w:val="20"/>
                <w:szCs w:val="20"/>
                <w:color w:val="auto"/>
              </w:rPr>
            </w:pPr>
          </w:p>
        </w:tc>
        <w:tc>
          <w:tcPr>
            <w:tcW w:w="1160" w:type="dxa"/>
            <w:vAlign w:val="bottom"/>
            <w:tcBorders>
              <w:bottom w:val="single" w:sz="8" w:color="00162F"/>
            </w:tcBorders>
            <w:vMerge w:val="continue"/>
          </w:tcPr>
          <w:p>
            <w:pPr>
              <w:spacing w:after="0"/>
              <w:rPr>
                <w:sz w:val="20"/>
                <w:szCs w:val="20"/>
                <w:color w:val="auto"/>
              </w:rPr>
            </w:pPr>
          </w:p>
        </w:tc>
        <w:tc>
          <w:tcPr>
            <w:tcW w:w="8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20" w:type="dxa"/>
            <w:vAlign w:val="bottom"/>
            <w:tcBorders>
              <w:bottom w:val="single" w:sz="8" w:color="00162F"/>
            </w:tcBorders>
            <w:vMerge w:val="continue"/>
          </w:tcPr>
          <w:p>
            <w:pPr>
              <w:spacing w:after="0"/>
              <w:rPr>
                <w:sz w:val="20"/>
                <w:szCs w:val="20"/>
                <w:color w:val="auto"/>
              </w:rPr>
            </w:pPr>
          </w:p>
        </w:tc>
        <w:tc>
          <w:tcPr>
            <w:tcW w:w="8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600" w:type="dxa"/>
            <w:vAlign w:val="bottom"/>
            <w:tcBorders>
              <w:bottom w:val="single" w:sz="8" w:color="00162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66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00162F"/>
              </w:rPr>
              <w:t>Balance at December 31, 2023</w:t>
            </w:r>
          </w:p>
        </w:tc>
        <w:tc>
          <w:tcPr>
            <w:tcW w:w="160" w:type="dxa"/>
            <w:vAlign w:val="bottom"/>
            <w:shd w:val="clear" w:color="auto" w:fill="EDEDED"/>
          </w:tcPr>
          <w:p>
            <w:pPr>
              <w:spacing w:after="0"/>
              <w:rPr>
                <w:sz w:val="23"/>
                <w:szCs w:val="23"/>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7</w:t>
            </w:r>
          </w:p>
        </w:tc>
        <w:tc>
          <w:tcPr>
            <w:tcW w:w="80" w:type="dxa"/>
            <w:vAlign w:val="bottom"/>
            <w:shd w:val="clear" w:color="auto" w:fill="EDEDED"/>
          </w:tcPr>
          <w:p>
            <w:pPr>
              <w:spacing w:after="0"/>
              <w:rPr>
                <w:sz w:val="23"/>
                <w:szCs w:val="23"/>
                <w:color w:val="auto"/>
              </w:rPr>
            </w:pPr>
          </w:p>
        </w:tc>
        <w:tc>
          <w:tcPr>
            <w:tcW w:w="180" w:type="dxa"/>
            <w:vAlign w:val="bottom"/>
            <w:shd w:val="clear" w:color="auto" w:fill="EDEDED"/>
          </w:tcPr>
          <w:p>
            <w:pPr>
              <w:spacing w:after="0"/>
              <w:rPr>
                <w:sz w:val="23"/>
                <w:szCs w:val="23"/>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7,374</w:t>
            </w:r>
          </w:p>
        </w:tc>
        <w:tc>
          <w:tcPr>
            <w:tcW w:w="80" w:type="dxa"/>
            <w:vAlign w:val="bottom"/>
            <w:shd w:val="clear" w:color="auto" w:fill="EDEDED"/>
          </w:tcPr>
          <w:p>
            <w:pPr>
              <w:spacing w:after="0"/>
              <w:rPr>
                <w:sz w:val="23"/>
                <w:szCs w:val="23"/>
                <w:color w:val="auto"/>
              </w:rPr>
            </w:pPr>
          </w:p>
        </w:tc>
        <w:tc>
          <w:tcPr>
            <w:tcW w:w="160" w:type="dxa"/>
            <w:vAlign w:val="bottom"/>
            <w:shd w:val="clear" w:color="auto" w:fill="EDEDED"/>
          </w:tcPr>
          <w:p>
            <w:pPr>
              <w:spacing w:after="0"/>
              <w:rPr>
                <w:sz w:val="23"/>
                <w:szCs w:val="23"/>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(4,894)</w:t>
            </w:r>
          </w:p>
        </w:tc>
        <w:tc>
          <w:tcPr>
            <w:tcW w:w="80" w:type="dxa"/>
            <w:vAlign w:val="bottom"/>
            <w:shd w:val="clear" w:color="auto" w:fill="EDEDED"/>
          </w:tcPr>
          <w:p>
            <w:pPr>
              <w:spacing w:after="0"/>
              <w:rPr>
                <w:sz w:val="23"/>
                <w:szCs w:val="23"/>
                <w:color w:val="auto"/>
              </w:rPr>
            </w:pPr>
          </w:p>
        </w:tc>
        <w:tc>
          <w:tcPr>
            <w:tcW w:w="180" w:type="dxa"/>
            <w:vAlign w:val="bottom"/>
            <w:shd w:val="clear" w:color="auto" w:fill="EDEDED"/>
          </w:tcPr>
          <w:p>
            <w:pPr>
              <w:spacing w:after="0"/>
              <w:rPr>
                <w:sz w:val="23"/>
                <w:szCs w:val="23"/>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(7,689)</w:t>
            </w:r>
          </w:p>
        </w:tc>
        <w:tc>
          <w:tcPr>
            <w:tcW w:w="80" w:type="dxa"/>
            <w:vAlign w:val="bottom"/>
            <w:shd w:val="clear" w:color="auto" w:fill="EDEDED"/>
          </w:tcPr>
          <w:p>
            <w:pPr>
              <w:spacing w:after="0"/>
              <w:rPr>
                <w:sz w:val="23"/>
                <w:szCs w:val="23"/>
                <w:color w:val="auto"/>
              </w:rPr>
            </w:pPr>
          </w:p>
        </w:tc>
        <w:tc>
          <w:tcPr>
            <w:tcW w:w="180" w:type="dxa"/>
            <w:vAlign w:val="bottom"/>
            <w:shd w:val="clear" w:color="auto" w:fill="EDEDED"/>
          </w:tcPr>
          <w:p>
            <w:pPr>
              <w:spacing w:after="0"/>
              <w:rPr>
                <w:sz w:val="23"/>
                <w:szCs w:val="23"/>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00162F"/>
                <w:w w:val="98"/>
              </w:rPr>
              <w:t>(5,202)</w:t>
            </w:r>
          </w:p>
        </w:tc>
        <w:tc>
          <w:tcPr>
            <w:tcW w:w="0" w:type="dxa"/>
            <w:vAlign w:val="bottom"/>
          </w:tcPr>
          <w:p>
            <w:pPr>
              <w:spacing w:after="0"/>
              <w:rPr>
                <w:sz w:val="1"/>
                <w:szCs w:val="1"/>
                <w:color w:val="auto"/>
              </w:rPr>
            </w:pPr>
          </w:p>
        </w:tc>
      </w:tr>
      <w:tr>
        <w:trPr>
          <w:trHeight w:val="277"/>
        </w:trPr>
        <w:tc>
          <w:tcPr>
            <w:tcW w:w="5660" w:type="dxa"/>
            <w:vAlign w:val="bottom"/>
          </w:tcPr>
          <w:p>
            <w:pPr>
              <w:ind w:left="60"/>
              <w:spacing w:after="0"/>
              <w:rPr>
                <w:sz w:val="20"/>
                <w:szCs w:val="20"/>
                <w:color w:val="auto"/>
              </w:rPr>
            </w:pPr>
            <w:r>
              <w:rPr>
                <w:rFonts w:ascii="Arial" w:cs="Arial" w:eastAsia="Arial" w:hAnsi="Arial"/>
                <w:sz w:val="18"/>
                <w:szCs w:val="18"/>
                <w:color w:val="00162F"/>
              </w:rPr>
              <w:t>Net income</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0162F"/>
              </w:rPr>
              <w:t>846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0162F"/>
              </w:rPr>
              <w:t>846</w:t>
            </w:r>
          </w:p>
        </w:tc>
        <w:tc>
          <w:tcPr>
            <w:tcW w:w="0" w:type="dxa"/>
            <w:vAlign w:val="bottom"/>
          </w:tcPr>
          <w:p>
            <w:pPr>
              <w:spacing w:after="0"/>
              <w:rPr>
                <w:sz w:val="1"/>
                <w:szCs w:val="1"/>
                <w:color w:val="auto"/>
              </w:rPr>
            </w:pPr>
          </w:p>
        </w:tc>
      </w:tr>
      <w:tr>
        <w:trPr>
          <w:trHeight w:val="288"/>
        </w:trPr>
        <w:tc>
          <w:tcPr>
            <w:tcW w:w="5660" w:type="dxa"/>
            <w:vAlign w:val="bottom"/>
            <w:shd w:val="clear" w:color="auto" w:fill="EDEDED"/>
          </w:tcPr>
          <w:p>
            <w:pPr>
              <w:ind w:left="60"/>
              <w:spacing w:after="0"/>
              <w:rPr>
                <w:sz w:val="20"/>
                <w:szCs w:val="20"/>
                <w:color w:val="auto"/>
              </w:rPr>
            </w:pPr>
            <w:r>
              <w:rPr>
                <w:rFonts w:ascii="Arial" w:cs="Arial" w:eastAsia="Arial" w:hAnsi="Arial"/>
                <w:sz w:val="18"/>
                <w:szCs w:val="18"/>
                <w:color w:val="00162F"/>
              </w:rPr>
              <w:t>Other comprehensive income, net</w:t>
            </w:r>
          </w:p>
        </w:tc>
        <w:tc>
          <w:tcPr>
            <w:tcW w:w="16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329</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329</w:t>
            </w:r>
          </w:p>
        </w:tc>
        <w:tc>
          <w:tcPr>
            <w:tcW w:w="0" w:type="dxa"/>
            <w:vAlign w:val="bottom"/>
          </w:tcPr>
          <w:p>
            <w:pPr>
              <w:spacing w:after="0"/>
              <w:rPr>
                <w:sz w:val="1"/>
                <w:szCs w:val="1"/>
                <w:color w:val="auto"/>
              </w:rPr>
            </w:pPr>
          </w:p>
        </w:tc>
      </w:tr>
      <w:tr>
        <w:trPr>
          <w:trHeight w:val="185"/>
        </w:trPr>
        <w:tc>
          <w:tcPr>
            <w:tcW w:w="5660" w:type="dxa"/>
            <w:vAlign w:val="bottom"/>
          </w:tcPr>
          <w:p>
            <w:pPr>
              <w:ind w:left="60"/>
              <w:spacing w:after="0" w:line="185" w:lineRule="exact"/>
              <w:rPr>
                <w:sz w:val="20"/>
                <w:szCs w:val="20"/>
                <w:color w:val="auto"/>
              </w:rPr>
            </w:pPr>
            <w:r>
              <w:rPr>
                <w:rFonts w:ascii="Arial" w:cs="Arial" w:eastAsia="Arial" w:hAnsi="Arial"/>
                <w:sz w:val="18"/>
                <w:szCs w:val="18"/>
                <w:color w:val="00162F"/>
              </w:rPr>
              <w:t>Issuance of 3,292,974 shares of AAG common stock pursuant to</w:t>
            </w: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00162F"/>
              </w:rPr>
              <w:t>(22)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00162F"/>
              </w:rPr>
              <w:t>(22)</w:t>
            </w:r>
          </w:p>
        </w:tc>
        <w:tc>
          <w:tcPr>
            <w:tcW w:w="0" w:type="dxa"/>
            <w:vAlign w:val="bottom"/>
          </w:tcPr>
          <w:p>
            <w:pPr>
              <w:spacing w:after="0"/>
              <w:rPr>
                <w:sz w:val="1"/>
                <w:szCs w:val="1"/>
                <w:color w:val="auto"/>
              </w:rPr>
            </w:pPr>
          </w:p>
        </w:tc>
      </w:tr>
      <w:tr>
        <w:trPr>
          <w:trHeight w:val="240"/>
        </w:trPr>
        <w:tc>
          <w:tcPr>
            <w:tcW w:w="5660" w:type="dxa"/>
            <w:vAlign w:val="bottom"/>
          </w:tcPr>
          <w:p>
            <w:pPr>
              <w:ind w:left="240"/>
              <w:spacing w:after="0"/>
              <w:rPr>
                <w:sz w:val="20"/>
                <w:szCs w:val="20"/>
                <w:color w:val="auto"/>
              </w:rPr>
            </w:pPr>
            <w:r>
              <w:rPr>
                <w:rFonts w:ascii="Arial" w:cs="Arial" w:eastAsia="Arial" w:hAnsi="Arial"/>
                <w:sz w:val="18"/>
                <w:szCs w:val="18"/>
                <w:color w:val="00162F"/>
              </w:rPr>
              <w:t>employee stock plans net of shares withheld for cash taxes</w:t>
            </w: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660" w:type="dxa"/>
            <w:vAlign w:val="bottom"/>
            <w:shd w:val="clear" w:color="auto" w:fill="EDEDED"/>
          </w:tcPr>
          <w:p>
            <w:pPr>
              <w:ind w:left="60"/>
              <w:spacing w:after="0"/>
              <w:rPr>
                <w:sz w:val="20"/>
                <w:szCs w:val="20"/>
                <w:color w:val="auto"/>
              </w:rPr>
            </w:pPr>
            <w:r>
              <w:rPr>
                <w:rFonts w:ascii="Arial" w:cs="Arial" w:eastAsia="Arial" w:hAnsi="Arial"/>
                <w:sz w:val="18"/>
                <w:szCs w:val="18"/>
                <w:color w:val="00162F"/>
              </w:rPr>
              <w:t>Share-based compensation expense</w:t>
            </w:r>
          </w:p>
        </w:tc>
        <w:tc>
          <w:tcPr>
            <w:tcW w:w="16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92</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92</w:t>
            </w:r>
          </w:p>
        </w:tc>
        <w:tc>
          <w:tcPr>
            <w:tcW w:w="0" w:type="dxa"/>
            <w:vAlign w:val="bottom"/>
          </w:tcPr>
          <w:p>
            <w:pPr>
              <w:spacing w:after="0"/>
              <w:rPr>
                <w:sz w:val="1"/>
                <w:szCs w:val="1"/>
                <w:color w:val="auto"/>
              </w:rPr>
            </w:pPr>
          </w:p>
        </w:tc>
      </w:tr>
      <w:tr>
        <w:trPr>
          <w:trHeight w:val="272"/>
        </w:trPr>
        <w:tc>
          <w:tcPr>
            <w:tcW w:w="5660" w:type="dxa"/>
            <w:vAlign w:val="bottom"/>
            <w:tcBorders>
              <w:bottom w:val="single" w:sz="8" w:color="EDEDED"/>
            </w:tcBorders>
          </w:tcPr>
          <w:p>
            <w:pPr>
              <w:ind w:left="60"/>
              <w:spacing w:after="0"/>
              <w:rPr>
                <w:sz w:val="20"/>
                <w:szCs w:val="20"/>
                <w:color w:val="auto"/>
              </w:rPr>
            </w:pPr>
            <w:r>
              <w:rPr>
                <w:rFonts w:ascii="Arial" w:cs="Arial" w:eastAsia="Arial" w:hAnsi="Arial"/>
                <w:sz w:val="18"/>
                <w:szCs w:val="18"/>
                <w:color w:val="00162F"/>
              </w:rPr>
              <w:t>Modification of share-based awards</w:t>
            </w:r>
          </w:p>
        </w:tc>
        <w:tc>
          <w:tcPr>
            <w:tcW w:w="160" w:type="dxa"/>
            <w:vAlign w:val="bottom"/>
            <w:tcBorders>
              <w:bottom w:val="single" w:sz="8" w:color="00162F"/>
            </w:tcBorders>
          </w:tcPr>
          <w:p>
            <w:pPr>
              <w:spacing w:after="0"/>
              <w:rPr>
                <w:sz w:val="23"/>
                <w:szCs w:val="23"/>
                <w:color w:val="auto"/>
              </w:rPr>
            </w:pPr>
          </w:p>
        </w:tc>
        <w:tc>
          <w:tcPr>
            <w:tcW w:w="64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w:t>
            </w:r>
          </w:p>
        </w:tc>
        <w:tc>
          <w:tcPr>
            <w:tcW w:w="80" w:type="dxa"/>
            <w:vAlign w:val="bottom"/>
            <w:tcBorders>
              <w:bottom w:val="single" w:sz="8" w:color="EDEDED"/>
            </w:tcBorders>
          </w:tcPr>
          <w:p>
            <w:pPr>
              <w:spacing w:after="0"/>
              <w:rPr>
                <w:sz w:val="23"/>
                <w:szCs w:val="23"/>
                <w:color w:val="auto"/>
              </w:rPr>
            </w:pPr>
          </w:p>
        </w:tc>
        <w:tc>
          <w:tcPr>
            <w:tcW w:w="180" w:type="dxa"/>
            <w:vAlign w:val="bottom"/>
            <w:tcBorders>
              <w:bottom w:val="single" w:sz="8" w:color="00162F"/>
            </w:tcBorders>
          </w:tcPr>
          <w:p>
            <w:pPr>
              <w:spacing w:after="0"/>
              <w:rPr>
                <w:sz w:val="23"/>
                <w:szCs w:val="23"/>
                <w:color w:val="auto"/>
              </w:rPr>
            </w:pPr>
          </w:p>
        </w:tc>
        <w:tc>
          <w:tcPr>
            <w:tcW w:w="72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(20)</w:t>
            </w:r>
          </w:p>
        </w:tc>
        <w:tc>
          <w:tcPr>
            <w:tcW w:w="80" w:type="dxa"/>
            <w:vAlign w:val="bottom"/>
            <w:tcBorders>
              <w:bottom w:val="single" w:sz="8" w:color="EDEDED"/>
            </w:tcBorders>
          </w:tcPr>
          <w:p>
            <w:pPr>
              <w:spacing w:after="0"/>
              <w:rPr>
                <w:sz w:val="23"/>
                <w:szCs w:val="23"/>
                <w:color w:val="auto"/>
              </w:rPr>
            </w:pPr>
          </w:p>
        </w:tc>
        <w:tc>
          <w:tcPr>
            <w:tcW w:w="160" w:type="dxa"/>
            <w:vAlign w:val="bottom"/>
            <w:tcBorders>
              <w:bottom w:val="single" w:sz="8" w:color="00162F"/>
            </w:tcBorders>
          </w:tcPr>
          <w:p>
            <w:pPr>
              <w:spacing w:after="0"/>
              <w:rPr>
                <w:sz w:val="23"/>
                <w:szCs w:val="23"/>
                <w:color w:val="auto"/>
              </w:rPr>
            </w:pPr>
          </w:p>
        </w:tc>
        <w:tc>
          <w:tcPr>
            <w:tcW w:w="116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w:t>
            </w:r>
          </w:p>
        </w:tc>
        <w:tc>
          <w:tcPr>
            <w:tcW w:w="80" w:type="dxa"/>
            <w:vAlign w:val="bottom"/>
            <w:tcBorders>
              <w:bottom w:val="single" w:sz="8" w:color="EDEDED"/>
            </w:tcBorders>
          </w:tcPr>
          <w:p>
            <w:pPr>
              <w:spacing w:after="0"/>
              <w:rPr>
                <w:sz w:val="23"/>
                <w:szCs w:val="23"/>
                <w:color w:val="auto"/>
              </w:rPr>
            </w:pPr>
          </w:p>
        </w:tc>
        <w:tc>
          <w:tcPr>
            <w:tcW w:w="180" w:type="dxa"/>
            <w:vAlign w:val="bottom"/>
            <w:tcBorders>
              <w:bottom w:val="single" w:sz="8" w:color="00162F"/>
            </w:tcBorders>
          </w:tcPr>
          <w:p>
            <w:pPr>
              <w:spacing w:after="0"/>
              <w:rPr>
                <w:sz w:val="23"/>
                <w:szCs w:val="23"/>
                <w:color w:val="auto"/>
              </w:rPr>
            </w:pPr>
          </w:p>
        </w:tc>
        <w:tc>
          <w:tcPr>
            <w:tcW w:w="72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w:t>
            </w:r>
          </w:p>
        </w:tc>
        <w:tc>
          <w:tcPr>
            <w:tcW w:w="80" w:type="dxa"/>
            <w:vAlign w:val="bottom"/>
            <w:tcBorders>
              <w:bottom w:val="single" w:sz="8" w:color="EDEDED"/>
            </w:tcBorders>
          </w:tcPr>
          <w:p>
            <w:pPr>
              <w:spacing w:after="0"/>
              <w:rPr>
                <w:sz w:val="23"/>
                <w:szCs w:val="23"/>
                <w:color w:val="auto"/>
              </w:rPr>
            </w:pPr>
          </w:p>
        </w:tc>
        <w:tc>
          <w:tcPr>
            <w:tcW w:w="180" w:type="dxa"/>
            <w:vAlign w:val="bottom"/>
            <w:tcBorders>
              <w:bottom w:val="single" w:sz="8" w:color="00162F"/>
            </w:tcBorders>
          </w:tcPr>
          <w:p>
            <w:pPr>
              <w:spacing w:after="0"/>
              <w:rPr>
                <w:sz w:val="23"/>
                <w:szCs w:val="23"/>
                <w:color w:val="auto"/>
              </w:rPr>
            </w:pPr>
          </w:p>
        </w:tc>
        <w:tc>
          <w:tcPr>
            <w:tcW w:w="60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(20)</w:t>
            </w:r>
          </w:p>
        </w:tc>
        <w:tc>
          <w:tcPr>
            <w:tcW w:w="0" w:type="dxa"/>
            <w:vAlign w:val="bottom"/>
          </w:tcPr>
          <w:p>
            <w:pPr>
              <w:spacing w:after="0"/>
              <w:rPr>
                <w:sz w:val="1"/>
                <w:szCs w:val="1"/>
                <w:color w:val="auto"/>
              </w:rPr>
            </w:pPr>
          </w:p>
        </w:tc>
      </w:tr>
      <w:tr>
        <w:trPr>
          <w:trHeight w:val="272"/>
        </w:trPr>
        <w:tc>
          <w:tcPr>
            <w:tcW w:w="566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00162F"/>
              </w:rPr>
              <w:t>Balance at December 31, 2024</w:t>
            </w:r>
          </w:p>
        </w:tc>
        <w:tc>
          <w:tcPr>
            <w:tcW w:w="160" w:type="dxa"/>
            <w:vAlign w:val="bottom"/>
            <w:shd w:val="clear" w:color="auto" w:fill="EDEDED"/>
          </w:tcPr>
          <w:p>
            <w:pPr>
              <w:spacing w:after="0"/>
              <w:rPr>
                <w:sz w:val="23"/>
                <w:szCs w:val="23"/>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7</w:t>
            </w:r>
          </w:p>
        </w:tc>
        <w:tc>
          <w:tcPr>
            <w:tcW w:w="80" w:type="dxa"/>
            <w:vAlign w:val="bottom"/>
            <w:shd w:val="clear" w:color="auto" w:fill="EDEDED"/>
          </w:tcPr>
          <w:p>
            <w:pPr>
              <w:spacing w:after="0"/>
              <w:rPr>
                <w:sz w:val="23"/>
                <w:szCs w:val="23"/>
                <w:color w:val="auto"/>
              </w:rPr>
            </w:pPr>
          </w:p>
        </w:tc>
        <w:tc>
          <w:tcPr>
            <w:tcW w:w="180" w:type="dxa"/>
            <w:vAlign w:val="bottom"/>
            <w:shd w:val="clear" w:color="auto" w:fill="EDEDED"/>
          </w:tcPr>
          <w:p>
            <w:pPr>
              <w:spacing w:after="0"/>
              <w:rPr>
                <w:sz w:val="23"/>
                <w:szCs w:val="23"/>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7,424</w:t>
            </w:r>
          </w:p>
        </w:tc>
        <w:tc>
          <w:tcPr>
            <w:tcW w:w="80" w:type="dxa"/>
            <w:vAlign w:val="bottom"/>
            <w:shd w:val="clear" w:color="auto" w:fill="EDEDED"/>
          </w:tcPr>
          <w:p>
            <w:pPr>
              <w:spacing w:after="0"/>
              <w:rPr>
                <w:sz w:val="23"/>
                <w:szCs w:val="23"/>
                <w:color w:val="auto"/>
              </w:rPr>
            </w:pPr>
          </w:p>
        </w:tc>
        <w:tc>
          <w:tcPr>
            <w:tcW w:w="160" w:type="dxa"/>
            <w:vAlign w:val="bottom"/>
            <w:shd w:val="clear" w:color="auto" w:fill="EDEDED"/>
          </w:tcPr>
          <w:p>
            <w:pPr>
              <w:spacing w:after="0"/>
              <w:rPr>
                <w:sz w:val="23"/>
                <w:szCs w:val="23"/>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(4,565)</w:t>
            </w:r>
          </w:p>
        </w:tc>
        <w:tc>
          <w:tcPr>
            <w:tcW w:w="80" w:type="dxa"/>
            <w:vAlign w:val="bottom"/>
            <w:shd w:val="clear" w:color="auto" w:fill="EDEDED"/>
          </w:tcPr>
          <w:p>
            <w:pPr>
              <w:spacing w:after="0"/>
              <w:rPr>
                <w:sz w:val="23"/>
                <w:szCs w:val="23"/>
                <w:color w:val="auto"/>
              </w:rPr>
            </w:pPr>
          </w:p>
        </w:tc>
        <w:tc>
          <w:tcPr>
            <w:tcW w:w="180" w:type="dxa"/>
            <w:vAlign w:val="bottom"/>
            <w:shd w:val="clear" w:color="auto" w:fill="EDEDED"/>
          </w:tcPr>
          <w:p>
            <w:pPr>
              <w:spacing w:after="0"/>
              <w:rPr>
                <w:sz w:val="23"/>
                <w:szCs w:val="23"/>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(6,843)</w:t>
            </w:r>
          </w:p>
        </w:tc>
        <w:tc>
          <w:tcPr>
            <w:tcW w:w="80" w:type="dxa"/>
            <w:vAlign w:val="bottom"/>
            <w:shd w:val="clear" w:color="auto" w:fill="EDEDED"/>
          </w:tcPr>
          <w:p>
            <w:pPr>
              <w:spacing w:after="0"/>
              <w:rPr>
                <w:sz w:val="23"/>
                <w:szCs w:val="23"/>
                <w:color w:val="auto"/>
              </w:rPr>
            </w:pPr>
          </w:p>
        </w:tc>
        <w:tc>
          <w:tcPr>
            <w:tcW w:w="180" w:type="dxa"/>
            <w:vAlign w:val="bottom"/>
            <w:shd w:val="clear" w:color="auto" w:fill="EDEDED"/>
          </w:tcPr>
          <w:p>
            <w:pPr>
              <w:spacing w:after="0"/>
              <w:rPr>
                <w:sz w:val="23"/>
                <w:szCs w:val="23"/>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00162F"/>
                <w:w w:val="98"/>
              </w:rPr>
              <w:t>(3,977)</w:t>
            </w:r>
          </w:p>
        </w:tc>
        <w:tc>
          <w:tcPr>
            <w:tcW w:w="0" w:type="dxa"/>
            <w:vAlign w:val="bottom"/>
          </w:tcPr>
          <w:p>
            <w:pPr>
              <w:spacing w:after="0"/>
              <w:rPr>
                <w:sz w:val="1"/>
                <w:szCs w:val="1"/>
                <w:color w:val="auto"/>
              </w:rPr>
            </w:pPr>
          </w:p>
        </w:tc>
      </w:tr>
      <w:tr>
        <w:trPr>
          <w:trHeight w:val="277"/>
        </w:trPr>
        <w:tc>
          <w:tcPr>
            <w:tcW w:w="5660" w:type="dxa"/>
            <w:vAlign w:val="bottom"/>
          </w:tcPr>
          <w:p>
            <w:pPr>
              <w:ind w:left="60"/>
              <w:spacing w:after="0"/>
              <w:rPr>
                <w:sz w:val="20"/>
                <w:szCs w:val="20"/>
                <w:color w:val="auto"/>
              </w:rPr>
            </w:pPr>
            <w:r>
              <w:rPr>
                <w:rFonts w:ascii="Arial" w:cs="Arial" w:eastAsia="Arial" w:hAnsi="Arial"/>
                <w:sz w:val="18"/>
                <w:szCs w:val="18"/>
                <w:color w:val="00162F"/>
              </w:rPr>
              <w:t>Net income</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0162F"/>
              </w:rPr>
              <w:t>111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0162F"/>
              </w:rPr>
              <w:t>111</w:t>
            </w:r>
          </w:p>
        </w:tc>
        <w:tc>
          <w:tcPr>
            <w:tcW w:w="0" w:type="dxa"/>
            <w:vAlign w:val="bottom"/>
          </w:tcPr>
          <w:p>
            <w:pPr>
              <w:spacing w:after="0"/>
              <w:rPr>
                <w:sz w:val="1"/>
                <w:szCs w:val="1"/>
                <w:color w:val="auto"/>
              </w:rPr>
            </w:pPr>
          </w:p>
        </w:tc>
      </w:tr>
      <w:tr>
        <w:trPr>
          <w:trHeight w:val="288"/>
        </w:trPr>
        <w:tc>
          <w:tcPr>
            <w:tcW w:w="5660" w:type="dxa"/>
            <w:vAlign w:val="bottom"/>
            <w:shd w:val="clear" w:color="auto" w:fill="EDEDED"/>
          </w:tcPr>
          <w:p>
            <w:pPr>
              <w:ind w:left="60"/>
              <w:spacing w:after="0"/>
              <w:rPr>
                <w:sz w:val="20"/>
                <w:szCs w:val="20"/>
                <w:color w:val="auto"/>
              </w:rPr>
            </w:pPr>
            <w:r>
              <w:rPr>
                <w:rFonts w:ascii="Arial" w:cs="Arial" w:eastAsia="Arial" w:hAnsi="Arial"/>
                <w:sz w:val="18"/>
                <w:szCs w:val="18"/>
                <w:color w:val="00162F"/>
              </w:rPr>
              <w:t>Other comprehensive income, net</w:t>
            </w:r>
          </w:p>
        </w:tc>
        <w:tc>
          <w:tcPr>
            <w:tcW w:w="16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176</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176</w:t>
            </w:r>
          </w:p>
        </w:tc>
        <w:tc>
          <w:tcPr>
            <w:tcW w:w="0" w:type="dxa"/>
            <w:vAlign w:val="bottom"/>
          </w:tcPr>
          <w:p>
            <w:pPr>
              <w:spacing w:after="0"/>
              <w:rPr>
                <w:sz w:val="1"/>
                <w:szCs w:val="1"/>
                <w:color w:val="auto"/>
              </w:rPr>
            </w:pPr>
          </w:p>
        </w:tc>
      </w:tr>
      <w:tr>
        <w:trPr>
          <w:trHeight w:val="277"/>
        </w:trPr>
        <w:tc>
          <w:tcPr>
            <w:tcW w:w="5660" w:type="dxa"/>
            <w:vAlign w:val="bottom"/>
          </w:tcPr>
          <w:p>
            <w:pPr>
              <w:ind w:left="60"/>
              <w:spacing w:after="0"/>
              <w:rPr>
                <w:sz w:val="20"/>
                <w:szCs w:val="20"/>
                <w:color w:val="auto"/>
              </w:rPr>
            </w:pPr>
            <w:r>
              <w:rPr>
                <w:rFonts w:ascii="Arial" w:cs="Arial" w:eastAsia="Arial" w:hAnsi="Arial"/>
                <w:sz w:val="18"/>
                <w:szCs w:val="18"/>
                <w:color w:val="00162F"/>
              </w:rPr>
              <w:t>Settlement of PSP1 and Treasury Loan Warrants (see Note 3)</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0162F"/>
              </w:rPr>
              <w:t>(79)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0162F"/>
              </w:rPr>
              <w:t>(79)</w:t>
            </w:r>
          </w:p>
        </w:tc>
        <w:tc>
          <w:tcPr>
            <w:tcW w:w="0" w:type="dxa"/>
            <w:vAlign w:val="bottom"/>
          </w:tcPr>
          <w:p>
            <w:pPr>
              <w:spacing w:after="0"/>
              <w:rPr>
                <w:sz w:val="1"/>
                <w:szCs w:val="1"/>
                <w:color w:val="auto"/>
              </w:rPr>
            </w:pPr>
          </w:p>
        </w:tc>
      </w:tr>
      <w:tr>
        <w:trPr>
          <w:trHeight w:val="191"/>
        </w:trPr>
        <w:tc>
          <w:tcPr>
            <w:tcW w:w="5660" w:type="dxa"/>
            <w:vAlign w:val="bottom"/>
            <w:shd w:val="clear" w:color="auto" w:fill="EDEDED"/>
          </w:tcPr>
          <w:p>
            <w:pPr>
              <w:ind w:left="60"/>
              <w:spacing w:after="0" w:line="191" w:lineRule="exact"/>
              <w:rPr>
                <w:sz w:val="20"/>
                <w:szCs w:val="20"/>
                <w:color w:val="auto"/>
              </w:rPr>
            </w:pPr>
            <w:r>
              <w:rPr>
                <w:rFonts w:ascii="Arial" w:cs="Arial" w:eastAsia="Arial" w:hAnsi="Arial"/>
                <w:sz w:val="18"/>
                <w:szCs w:val="18"/>
                <w:color w:val="00162F"/>
              </w:rPr>
              <w:t>Issuance of 2,734,914 shares of AAG common stock pursuant to</w:t>
            </w:r>
          </w:p>
        </w:tc>
        <w:tc>
          <w:tcPr>
            <w:tcW w:w="160" w:type="dxa"/>
            <w:vAlign w:val="bottom"/>
            <w:shd w:val="clear" w:color="auto" w:fill="EDEDED"/>
          </w:tcPr>
          <w:p>
            <w:pPr>
              <w:spacing w:after="0"/>
              <w:rPr>
                <w:sz w:val="16"/>
                <w:szCs w:val="16"/>
                <w:color w:val="auto"/>
              </w:rPr>
            </w:pPr>
          </w:p>
        </w:tc>
        <w:tc>
          <w:tcPr>
            <w:tcW w:w="64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16"/>
                <w:szCs w:val="16"/>
                <w:color w:val="auto"/>
              </w:rPr>
            </w:pPr>
          </w:p>
        </w:tc>
        <w:tc>
          <w:tcPr>
            <w:tcW w:w="180" w:type="dxa"/>
            <w:vAlign w:val="bottom"/>
            <w:shd w:val="clear" w:color="auto" w:fill="EDEDED"/>
          </w:tcPr>
          <w:p>
            <w:pPr>
              <w:spacing w:after="0"/>
              <w:rPr>
                <w:sz w:val="16"/>
                <w:szCs w:val="16"/>
                <w:color w:val="auto"/>
              </w:rPr>
            </w:pPr>
          </w:p>
        </w:tc>
        <w:tc>
          <w:tcPr>
            <w:tcW w:w="72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00162F"/>
              </w:rPr>
              <w:t>(18)</w:t>
            </w:r>
          </w:p>
        </w:tc>
        <w:tc>
          <w:tcPr>
            <w:tcW w:w="80" w:type="dxa"/>
            <w:vAlign w:val="bottom"/>
            <w:shd w:val="clear" w:color="auto" w:fill="EDEDED"/>
          </w:tcPr>
          <w:p>
            <w:pPr>
              <w:spacing w:after="0"/>
              <w:rPr>
                <w:sz w:val="16"/>
                <w:szCs w:val="16"/>
                <w:color w:val="auto"/>
              </w:rPr>
            </w:pPr>
          </w:p>
        </w:tc>
        <w:tc>
          <w:tcPr>
            <w:tcW w:w="160" w:type="dxa"/>
            <w:vAlign w:val="bottom"/>
            <w:shd w:val="clear" w:color="auto" w:fill="EDEDED"/>
          </w:tcPr>
          <w:p>
            <w:pPr>
              <w:spacing w:after="0"/>
              <w:rPr>
                <w:sz w:val="16"/>
                <w:szCs w:val="16"/>
                <w:color w:val="auto"/>
              </w:rPr>
            </w:pPr>
          </w:p>
        </w:tc>
        <w:tc>
          <w:tcPr>
            <w:tcW w:w="116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16"/>
                <w:szCs w:val="16"/>
                <w:color w:val="auto"/>
              </w:rPr>
            </w:pPr>
          </w:p>
        </w:tc>
        <w:tc>
          <w:tcPr>
            <w:tcW w:w="180" w:type="dxa"/>
            <w:vAlign w:val="bottom"/>
            <w:shd w:val="clear" w:color="auto" w:fill="EDEDED"/>
          </w:tcPr>
          <w:p>
            <w:pPr>
              <w:spacing w:after="0"/>
              <w:rPr>
                <w:sz w:val="16"/>
                <w:szCs w:val="16"/>
                <w:color w:val="auto"/>
              </w:rPr>
            </w:pPr>
          </w:p>
        </w:tc>
        <w:tc>
          <w:tcPr>
            <w:tcW w:w="72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80" w:type="dxa"/>
            <w:vAlign w:val="bottom"/>
            <w:shd w:val="clear" w:color="auto" w:fill="EDEDED"/>
          </w:tcPr>
          <w:p>
            <w:pPr>
              <w:spacing w:after="0"/>
              <w:rPr>
                <w:sz w:val="16"/>
                <w:szCs w:val="16"/>
                <w:color w:val="auto"/>
              </w:rPr>
            </w:pPr>
          </w:p>
        </w:tc>
        <w:tc>
          <w:tcPr>
            <w:tcW w:w="180" w:type="dxa"/>
            <w:vAlign w:val="bottom"/>
            <w:shd w:val="clear" w:color="auto" w:fill="EDEDED"/>
          </w:tcPr>
          <w:p>
            <w:pPr>
              <w:spacing w:after="0"/>
              <w:rPr>
                <w:sz w:val="16"/>
                <w:szCs w:val="16"/>
                <w:color w:val="auto"/>
              </w:rPr>
            </w:pPr>
          </w:p>
        </w:tc>
        <w:tc>
          <w:tcPr>
            <w:tcW w:w="60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00162F"/>
              </w:rPr>
              <w:t>(18)</w:t>
            </w:r>
          </w:p>
        </w:tc>
        <w:tc>
          <w:tcPr>
            <w:tcW w:w="0" w:type="dxa"/>
            <w:vAlign w:val="bottom"/>
          </w:tcPr>
          <w:p>
            <w:pPr>
              <w:spacing w:after="0"/>
              <w:rPr>
                <w:sz w:val="1"/>
                <w:szCs w:val="1"/>
                <w:color w:val="auto"/>
              </w:rPr>
            </w:pPr>
          </w:p>
        </w:tc>
      </w:tr>
      <w:tr>
        <w:trPr>
          <w:trHeight w:val="245"/>
        </w:trPr>
        <w:tc>
          <w:tcPr>
            <w:tcW w:w="5660" w:type="dxa"/>
            <w:vAlign w:val="bottom"/>
            <w:shd w:val="clear" w:color="auto" w:fill="EDEDED"/>
          </w:tcPr>
          <w:p>
            <w:pPr>
              <w:ind w:left="240"/>
              <w:spacing w:after="0"/>
              <w:rPr>
                <w:sz w:val="20"/>
                <w:szCs w:val="20"/>
                <w:color w:val="auto"/>
              </w:rPr>
            </w:pPr>
            <w:r>
              <w:rPr>
                <w:rFonts w:ascii="Arial" w:cs="Arial" w:eastAsia="Arial" w:hAnsi="Arial"/>
                <w:sz w:val="18"/>
                <w:szCs w:val="18"/>
                <w:color w:val="00162F"/>
              </w:rPr>
              <w:t>employee stock plans net of shares withheld for cash taxes</w:t>
            </w:r>
          </w:p>
        </w:tc>
        <w:tc>
          <w:tcPr>
            <w:tcW w:w="160" w:type="dxa"/>
            <w:vAlign w:val="bottom"/>
            <w:shd w:val="clear" w:color="auto" w:fill="EDEDED"/>
          </w:tcPr>
          <w:p>
            <w:pPr>
              <w:spacing w:after="0"/>
              <w:rPr>
                <w:sz w:val="21"/>
                <w:szCs w:val="21"/>
                <w:color w:val="auto"/>
              </w:rPr>
            </w:pPr>
          </w:p>
        </w:tc>
        <w:tc>
          <w:tcPr>
            <w:tcW w:w="640" w:type="dxa"/>
            <w:vAlign w:val="bottom"/>
            <w:vMerge w:val="continue"/>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180" w:type="dxa"/>
            <w:vAlign w:val="bottom"/>
            <w:shd w:val="clear" w:color="auto" w:fill="EDEDED"/>
          </w:tcPr>
          <w:p>
            <w:pPr>
              <w:spacing w:after="0"/>
              <w:rPr>
                <w:sz w:val="21"/>
                <w:szCs w:val="21"/>
                <w:color w:val="auto"/>
              </w:rPr>
            </w:pPr>
          </w:p>
        </w:tc>
        <w:tc>
          <w:tcPr>
            <w:tcW w:w="720" w:type="dxa"/>
            <w:vAlign w:val="bottom"/>
            <w:vMerge w:val="continue"/>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160" w:type="dxa"/>
            <w:vAlign w:val="bottom"/>
            <w:shd w:val="clear" w:color="auto" w:fill="EDEDED"/>
          </w:tcPr>
          <w:p>
            <w:pPr>
              <w:spacing w:after="0"/>
              <w:rPr>
                <w:sz w:val="21"/>
                <w:szCs w:val="21"/>
                <w:color w:val="auto"/>
              </w:rPr>
            </w:pPr>
          </w:p>
        </w:tc>
        <w:tc>
          <w:tcPr>
            <w:tcW w:w="1160" w:type="dxa"/>
            <w:vAlign w:val="bottom"/>
            <w:vMerge w:val="continue"/>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180" w:type="dxa"/>
            <w:vAlign w:val="bottom"/>
            <w:shd w:val="clear" w:color="auto" w:fill="EDEDED"/>
          </w:tcPr>
          <w:p>
            <w:pPr>
              <w:spacing w:after="0"/>
              <w:rPr>
                <w:sz w:val="21"/>
                <w:szCs w:val="21"/>
                <w:color w:val="auto"/>
              </w:rPr>
            </w:pPr>
          </w:p>
        </w:tc>
        <w:tc>
          <w:tcPr>
            <w:tcW w:w="720" w:type="dxa"/>
            <w:vAlign w:val="bottom"/>
            <w:vMerge w:val="continue"/>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180" w:type="dxa"/>
            <w:vAlign w:val="bottom"/>
            <w:shd w:val="clear" w:color="auto" w:fill="EDEDED"/>
          </w:tcPr>
          <w:p>
            <w:pPr>
              <w:spacing w:after="0"/>
              <w:rPr>
                <w:sz w:val="21"/>
                <w:szCs w:val="21"/>
                <w:color w:val="auto"/>
              </w:rPr>
            </w:pPr>
          </w:p>
        </w:tc>
        <w:tc>
          <w:tcPr>
            <w:tcW w:w="600" w:type="dxa"/>
            <w:vAlign w:val="bottom"/>
            <w:vMerge w:val="continue"/>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660" w:type="dxa"/>
            <w:vAlign w:val="bottom"/>
            <w:tcBorders>
              <w:bottom w:val="single" w:sz="8" w:color="EDEDED"/>
            </w:tcBorders>
          </w:tcPr>
          <w:p>
            <w:pPr>
              <w:ind w:left="60"/>
              <w:spacing w:after="0"/>
              <w:rPr>
                <w:sz w:val="20"/>
                <w:szCs w:val="20"/>
                <w:color w:val="auto"/>
              </w:rPr>
            </w:pPr>
            <w:r>
              <w:rPr>
                <w:rFonts w:ascii="Arial" w:cs="Arial" w:eastAsia="Arial" w:hAnsi="Arial"/>
                <w:sz w:val="18"/>
                <w:szCs w:val="18"/>
                <w:color w:val="00162F"/>
              </w:rPr>
              <w:t>Share-based compensation expense</w:t>
            </w:r>
          </w:p>
        </w:tc>
        <w:tc>
          <w:tcPr>
            <w:tcW w:w="160" w:type="dxa"/>
            <w:vAlign w:val="bottom"/>
            <w:tcBorders>
              <w:bottom w:val="single" w:sz="8" w:color="00162F"/>
            </w:tcBorders>
          </w:tcPr>
          <w:p>
            <w:pPr>
              <w:spacing w:after="0"/>
              <w:rPr>
                <w:sz w:val="23"/>
                <w:szCs w:val="23"/>
                <w:color w:val="auto"/>
              </w:rPr>
            </w:pPr>
          </w:p>
        </w:tc>
        <w:tc>
          <w:tcPr>
            <w:tcW w:w="64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w:t>
            </w:r>
          </w:p>
        </w:tc>
        <w:tc>
          <w:tcPr>
            <w:tcW w:w="80" w:type="dxa"/>
            <w:vAlign w:val="bottom"/>
            <w:tcBorders>
              <w:bottom w:val="single" w:sz="8" w:color="EDEDED"/>
            </w:tcBorders>
          </w:tcPr>
          <w:p>
            <w:pPr>
              <w:spacing w:after="0"/>
              <w:rPr>
                <w:sz w:val="23"/>
                <w:szCs w:val="23"/>
                <w:color w:val="auto"/>
              </w:rPr>
            </w:pPr>
          </w:p>
        </w:tc>
        <w:tc>
          <w:tcPr>
            <w:tcW w:w="180" w:type="dxa"/>
            <w:vAlign w:val="bottom"/>
            <w:tcBorders>
              <w:bottom w:val="single" w:sz="8" w:color="00162F"/>
            </w:tcBorders>
          </w:tcPr>
          <w:p>
            <w:pPr>
              <w:spacing w:after="0"/>
              <w:rPr>
                <w:sz w:val="23"/>
                <w:szCs w:val="23"/>
                <w:color w:val="auto"/>
              </w:rPr>
            </w:pPr>
          </w:p>
        </w:tc>
        <w:tc>
          <w:tcPr>
            <w:tcW w:w="72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60</w:t>
            </w:r>
          </w:p>
        </w:tc>
        <w:tc>
          <w:tcPr>
            <w:tcW w:w="80" w:type="dxa"/>
            <w:vAlign w:val="bottom"/>
            <w:tcBorders>
              <w:bottom w:val="single" w:sz="8" w:color="EDEDED"/>
            </w:tcBorders>
          </w:tcPr>
          <w:p>
            <w:pPr>
              <w:spacing w:after="0"/>
              <w:rPr>
                <w:sz w:val="23"/>
                <w:szCs w:val="23"/>
                <w:color w:val="auto"/>
              </w:rPr>
            </w:pPr>
          </w:p>
        </w:tc>
        <w:tc>
          <w:tcPr>
            <w:tcW w:w="160" w:type="dxa"/>
            <w:vAlign w:val="bottom"/>
            <w:tcBorders>
              <w:bottom w:val="single" w:sz="8" w:color="00162F"/>
            </w:tcBorders>
          </w:tcPr>
          <w:p>
            <w:pPr>
              <w:spacing w:after="0"/>
              <w:rPr>
                <w:sz w:val="23"/>
                <w:szCs w:val="23"/>
                <w:color w:val="auto"/>
              </w:rPr>
            </w:pPr>
          </w:p>
        </w:tc>
        <w:tc>
          <w:tcPr>
            <w:tcW w:w="116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w:t>
            </w:r>
          </w:p>
        </w:tc>
        <w:tc>
          <w:tcPr>
            <w:tcW w:w="80" w:type="dxa"/>
            <w:vAlign w:val="bottom"/>
            <w:tcBorders>
              <w:bottom w:val="single" w:sz="8" w:color="EDEDED"/>
            </w:tcBorders>
          </w:tcPr>
          <w:p>
            <w:pPr>
              <w:spacing w:after="0"/>
              <w:rPr>
                <w:sz w:val="23"/>
                <w:szCs w:val="23"/>
                <w:color w:val="auto"/>
              </w:rPr>
            </w:pPr>
          </w:p>
        </w:tc>
        <w:tc>
          <w:tcPr>
            <w:tcW w:w="180" w:type="dxa"/>
            <w:vAlign w:val="bottom"/>
            <w:tcBorders>
              <w:bottom w:val="single" w:sz="8" w:color="00162F"/>
            </w:tcBorders>
          </w:tcPr>
          <w:p>
            <w:pPr>
              <w:spacing w:after="0"/>
              <w:rPr>
                <w:sz w:val="23"/>
                <w:szCs w:val="23"/>
                <w:color w:val="auto"/>
              </w:rPr>
            </w:pPr>
          </w:p>
        </w:tc>
        <w:tc>
          <w:tcPr>
            <w:tcW w:w="72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w:t>
            </w:r>
          </w:p>
        </w:tc>
        <w:tc>
          <w:tcPr>
            <w:tcW w:w="80" w:type="dxa"/>
            <w:vAlign w:val="bottom"/>
            <w:tcBorders>
              <w:bottom w:val="single" w:sz="8" w:color="EDEDED"/>
            </w:tcBorders>
          </w:tcPr>
          <w:p>
            <w:pPr>
              <w:spacing w:after="0"/>
              <w:rPr>
                <w:sz w:val="23"/>
                <w:szCs w:val="23"/>
                <w:color w:val="auto"/>
              </w:rPr>
            </w:pPr>
          </w:p>
        </w:tc>
        <w:tc>
          <w:tcPr>
            <w:tcW w:w="180" w:type="dxa"/>
            <w:vAlign w:val="bottom"/>
            <w:tcBorders>
              <w:bottom w:val="single" w:sz="8" w:color="00162F"/>
            </w:tcBorders>
          </w:tcPr>
          <w:p>
            <w:pPr>
              <w:spacing w:after="0"/>
              <w:rPr>
                <w:sz w:val="23"/>
                <w:szCs w:val="23"/>
                <w:color w:val="auto"/>
              </w:rPr>
            </w:pPr>
          </w:p>
        </w:tc>
        <w:tc>
          <w:tcPr>
            <w:tcW w:w="60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60</w:t>
            </w:r>
          </w:p>
        </w:tc>
        <w:tc>
          <w:tcPr>
            <w:tcW w:w="0" w:type="dxa"/>
            <w:vAlign w:val="bottom"/>
          </w:tcPr>
          <w:p>
            <w:pPr>
              <w:spacing w:after="0"/>
              <w:rPr>
                <w:sz w:val="1"/>
                <w:szCs w:val="1"/>
                <w:color w:val="auto"/>
              </w:rPr>
            </w:pPr>
          </w:p>
        </w:tc>
      </w:tr>
      <w:tr>
        <w:trPr>
          <w:trHeight w:val="282"/>
        </w:trPr>
        <w:tc>
          <w:tcPr>
            <w:tcW w:w="56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b w:val="1"/>
                <w:bCs w:val="1"/>
                <w:color w:val="00162F"/>
              </w:rPr>
              <w:t>Balance at December 31, 2025</w:t>
            </w:r>
          </w:p>
        </w:tc>
        <w:tc>
          <w:tcPr>
            <w:tcW w:w="160" w:type="dxa"/>
            <w:vAlign w:val="bottom"/>
            <w:tcBorders>
              <w:bottom w:val="single" w:sz="8" w:color="00162F"/>
            </w:tcBorders>
            <w:shd w:val="clear" w:color="auto" w:fill="EDEDED"/>
          </w:tcPr>
          <w:p>
            <w:pPr>
              <w:ind w:left="40"/>
              <w:spacing w:after="0"/>
              <w:rPr>
                <w:sz w:val="20"/>
                <w:szCs w:val="20"/>
                <w:color w:val="auto"/>
              </w:rPr>
            </w:pPr>
            <w:r>
              <w:rPr>
                <w:rFonts w:ascii="Arial" w:cs="Arial" w:eastAsia="Arial" w:hAnsi="Arial"/>
                <w:sz w:val="18"/>
                <w:szCs w:val="18"/>
                <w:color w:val="00162F"/>
                <w:w w:val="99"/>
              </w:rPr>
              <w:t>$</w:t>
            </w:r>
          </w:p>
        </w:tc>
        <w:tc>
          <w:tcPr>
            <w:tcW w:w="6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7</w:t>
            </w:r>
          </w:p>
        </w:tc>
        <w:tc>
          <w:tcPr>
            <w:tcW w:w="8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00162F"/>
            </w:tcBorders>
            <w:shd w:val="clear" w:color="auto" w:fill="EDEDED"/>
          </w:tcPr>
          <w:p>
            <w:pPr>
              <w:ind w:left="60"/>
              <w:spacing w:after="0"/>
              <w:rPr>
                <w:sz w:val="20"/>
                <w:szCs w:val="20"/>
                <w:color w:val="auto"/>
              </w:rPr>
            </w:pPr>
            <w:r>
              <w:rPr>
                <w:rFonts w:ascii="Arial" w:cs="Arial" w:eastAsia="Arial" w:hAnsi="Arial"/>
                <w:sz w:val="18"/>
                <w:szCs w:val="18"/>
                <w:color w:val="00162F"/>
                <w:w w:val="99"/>
              </w:rPr>
              <w:t>$</w:t>
            </w:r>
          </w:p>
        </w:tc>
        <w:tc>
          <w:tcPr>
            <w:tcW w:w="7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7,387</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1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4,389)</w:t>
            </w:r>
          </w:p>
        </w:tc>
        <w:tc>
          <w:tcPr>
            <w:tcW w:w="8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7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6,732)</w:t>
            </w:r>
          </w:p>
        </w:tc>
        <w:tc>
          <w:tcPr>
            <w:tcW w:w="8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w:t>
            </w:r>
          </w:p>
        </w:tc>
        <w:tc>
          <w:tcPr>
            <w:tcW w:w="6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3,727)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-3811905</wp:posOffset>
            </wp:positionV>
            <wp:extent cx="321183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8">
                      <a:extLst>
                        <a:ext uri="{28A0092B-C50C-407E-A947-70E740481C1C}"/>
                      </a:extLst>
                    </a:blip>
                    <a:srcRect/>
                    <a:stretch>
                      <a:fillRect/>
                    </a:stretch>
                  </pic:blipFill>
                  <pic:spPr bwMode="auto">
                    <a:xfrm>
                      <a:off x="0" y="0"/>
                      <a:ext cx="3211830" cy="25400"/>
                    </a:xfrm>
                    <a:prstGeom prst="rect">
                      <a:avLst/>
                    </a:prstGeom>
                    <a:noFill/>
                  </pic:spPr>
                </pic:pic>
              </a:graphicData>
            </a:graphic>
          </wp:anchor>
        </w:drawing>
        <w:drawing>
          <wp:anchor simplePos="0" relativeHeight="251657728" behindDoc="1" locked="0" layoutInCell="0" allowOverlap="1">
            <wp:simplePos x="0" y="0"/>
            <wp:positionH relativeFrom="column">
              <wp:posOffset>3576320</wp:posOffset>
            </wp:positionH>
            <wp:positionV relativeFrom="paragraph">
              <wp:posOffset>-2548255</wp:posOffset>
            </wp:positionV>
            <wp:extent cx="27089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9">
                      <a:extLst>
                        <a:ext uri="{28A0092B-C50C-407E-A947-70E740481C1C}"/>
                      </a:extLst>
                    </a:blip>
                    <a:srcRect/>
                    <a:stretch>
                      <a:fillRect/>
                    </a:stretch>
                  </pic:blipFill>
                  <pic:spPr bwMode="auto">
                    <a:xfrm>
                      <a:off x="0" y="0"/>
                      <a:ext cx="2708910" cy="25400"/>
                    </a:xfrm>
                    <a:prstGeom prst="rect">
                      <a:avLst/>
                    </a:prstGeom>
                    <a:noFill/>
                  </pic:spPr>
                </pic:pic>
              </a:graphicData>
            </a:graphic>
          </wp:anchor>
        </w:drawing>
        <w:drawing>
          <wp:anchor simplePos="0" relativeHeight="251657728" behindDoc="1" locked="0" layoutInCell="0" allowOverlap="1">
            <wp:simplePos x="0" y="0"/>
            <wp:positionH relativeFrom="column">
              <wp:posOffset>3576320</wp:posOffset>
            </wp:positionH>
            <wp:positionV relativeFrom="paragraph">
              <wp:posOffset>-1379220</wp:posOffset>
            </wp:positionV>
            <wp:extent cx="27089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0">
                      <a:extLst>
                        <a:ext uri="{28A0092B-C50C-407E-A947-70E740481C1C}"/>
                      </a:extLst>
                    </a:blip>
                    <a:srcRect/>
                    <a:stretch>
                      <a:fillRect/>
                    </a:stretch>
                  </pic:blipFill>
                  <pic:spPr bwMode="auto">
                    <a:xfrm>
                      <a:off x="0" y="0"/>
                      <a:ext cx="2708910" cy="25400"/>
                    </a:xfrm>
                    <a:prstGeom prst="rect">
                      <a:avLst/>
                    </a:prstGeom>
                    <a:noFill/>
                  </pic:spPr>
                </pic:pic>
              </a:graphicData>
            </a:graphic>
          </wp:anchor>
        </w:drawing>
        <w:drawing>
          <wp:anchor simplePos="0" relativeHeight="251657728" behindDoc="1" locked="0" layoutInCell="0" allowOverlap="1">
            <wp:simplePos x="0" y="0"/>
            <wp:positionH relativeFrom="column">
              <wp:posOffset>3576320</wp:posOffset>
            </wp:positionH>
            <wp:positionV relativeFrom="paragraph">
              <wp:posOffset>-210185</wp:posOffset>
            </wp:positionV>
            <wp:extent cx="27089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1">
                      <a:extLst>
                        <a:ext uri="{28A0092B-C50C-407E-A947-70E740481C1C}"/>
                      </a:extLst>
                    </a:blip>
                    <a:srcRect/>
                    <a:stretch>
                      <a:fillRect/>
                    </a:stretch>
                  </pic:blipFill>
                  <pic:spPr bwMode="auto">
                    <a:xfrm>
                      <a:off x="0" y="0"/>
                      <a:ext cx="2708910" cy="25400"/>
                    </a:xfrm>
                    <a:prstGeom prst="rect">
                      <a:avLst/>
                    </a:prstGeom>
                    <a:noFill/>
                  </pic:spPr>
                </pic:pic>
              </a:graphicData>
            </a:graphic>
          </wp:anchor>
        </w:drawing>
        <w:drawing>
          <wp:anchor simplePos="0" relativeHeight="251657728" behindDoc="1" locked="0" layoutInCell="0" allowOverlap="1">
            <wp:simplePos x="0" y="0"/>
            <wp:positionH relativeFrom="column">
              <wp:posOffset>3576320</wp:posOffset>
            </wp:positionH>
            <wp:positionV relativeFrom="paragraph">
              <wp:posOffset>-43815</wp:posOffset>
            </wp:positionV>
            <wp:extent cx="321183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2">
                      <a:extLst>
                        <a:ext uri="{28A0092B-C50C-407E-A947-70E740481C1C}"/>
                      </a:extLst>
                    </a:blip>
                    <a:srcRect/>
                    <a:stretch>
                      <a:fillRect/>
                    </a:stretch>
                  </pic:blipFill>
                  <pic:spPr bwMode="auto">
                    <a:xfrm>
                      <a:off x="0" y="0"/>
                      <a:ext cx="3211830" cy="5080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00162F"/>
        </w:rPr>
        <w:t>See accompanying notes to consolidated financial statements.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87</w:t>
      </w:r>
    </w:p>
    <w:p>
      <w:pPr>
        <w:sectPr>
          <w:pgSz w:w="11880" w:h="15480" w:orient="portrait"/>
          <w:cols w:equalWidth="0" w:num="1">
            <w:col w:w="10680"/>
          </w:cols>
          <w:pgMar w:left="600" w:top="992" w:right="600" w:bottom="0" w:gutter="0" w:footer="0" w:header="0"/>
          <w:type w:val="continuous"/>
        </w:sectPr>
      </w:pPr>
    </w:p>
    <w:bookmarkStart w:id="88" w:name="page89"/>
    <w:bookmarkEnd w:id="88"/>
    <w:p>
      <w:pPr>
        <w:jc w:val="center"/>
        <w:ind w:right="15"/>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p>
    <w:p>
      <w:pPr>
        <w:spacing w:after="0" w:line="275" w:lineRule="exact"/>
        <w:rPr>
          <w:sz w:val="20"/>
          <w:szCs w:val="20"/>
          <w:color w:val="auto"/>
        </w:rPr>
      </w:pPr>
    </w:p>
    <w:p>
      <w:pPr>
        <w:ind w:left="225" w:hanging="225"/>
        <w:spacing w:after="0"/>
        <w:tabs>
          <w:tab w:leader="none" w:pos="225" w:val="left"/>
        </w:tabs>
        <w:numPr>
          <w:ilvl w:val="0"/>
          <w:numId w:val="40"/>
        </w:numPr>
        <w:rPr>
          <w:rFonts w:ascii="Arial" w:cs="Arial" w:eastAsia="Arial" w:hAnsi="Arial"/>
          <w:sz w:val="20"/>
          <w:szCs w:val="20"/>
          <w:b w:val="1"/>
          <w:bCs w:val="1"/>
          <w:color w:val="00162F"/>
        </w:rPr>
      </w:pPr>
      <w:r>
        <w:rPr>
          <w:rFonts w:ascii="Arial" w:cs="Arial" w:eastAsia="Arial" w:hAnsi="Arial"/>
          <w:sz w:val="20"/>
          <w:szCs w:val="20"/>
          <w:b w:val="1"/>
          <w:bCs w:val="1"/>
          <w:color w:val="00162F"/>
        </w:rPr>
        <w:t>Basis of Presentation and Summary of Significant Accounting Policies</w:t>
      </w:r>
    </w:p>
    <w:p>
      <w:pPr>
        <w:spacing w:after="0" w:line="98" w:lineRule="exact"/>
        <w:rPr>
          <w:rFonts w:ascii="Arial" w:cs="Arial" w:eastAsia="Arial" w:hAnsi="Arial"/>
          <w:sz w:val="20"/>
          <w:szCs w:val="20"/>
          <w:b w:val="1"/>
          <w:bCs w:val="1"/>
          <w:color w:val="00162F"/>
        </w:rPr>
      </w:pPr>
    </w:p>
    <w:p>
      <w:pPr>
        <w:ind w:left="565" w:hanging="298"/>
        <w:spacing w:after="0"/>
        <w:tabs>
          <w:tab w:leader="none" w:pos="565" w:val="left"/>
        </w:tabs>
        <w:numPr>
          <w:ilvl w:val="1"/>
          <w:numId w:val="40"/>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Basis of Presentation</w:t>
      </w:r>
    </w:p>
    <w:p>
      <w:pPr>
        <w:spacing w:after="0" w:line="95" w:lineRule="exact"/>
        <w:rPr>
          <w:sz w:val="20"/>
          <w:szCs w:val="20"/>
          <w:color w:val="auto"/>
        </w:rPr>
      </w:pPr>
    </w:p>
    <w:p>
      <w:pPr>
        <w:jc w:val="both"/>
        <w:ind w:left="5" w:right="20" w:firstLine="267"/>
        <w:spacing w:after="0" w:line="256" w:lineRule="auto"/>
        <w:rPr>
          <w:sz w:val="20"/>
          <w:szCs w:val="20"/>
          <w:color w:val="auto"/>
        </w:rPr>
      </w:pPr>
      <w:r>
        <w:rPr>
          <w:rFonts w:ascii="Arial" w:cs="Arial" w:eastAsia="Arial" w:hAnsi="Arial"/>
          <w:sz w:val="20"/>
          <w:szCs w:val="20"/>
          <w:color w:val="00162F"/>
        </w:rPr>
        <w:t>American Airlines Group Inc. (we, us, our and similar terms, or AAG), a Delaware corporation, is a holding company whose primary business activity is the operation of a major network air carrier, providing scheduled air transportation for passengers and cargo through its mainline operating subsidiary, American Airlines, Inc. (American) and its wholly-owned regional airline subsidiaries, Envoy Aviation Group Inc., PSA Airlines, Inc. (PSA) and Piedmont Airlines, Inc. (Piedmont), that operate under the brand American Eagle. All significant intercompany transactions have been eliminated.</w:t>
      </w:r>
    </w:p>
    <w:p>
      <w:pPr>
        <w:spacing w:after="0" w:line="139" w:lineRule="exact"/>
        <w:rPr>
          <w:sz w:val="20"/>
          <w:szCs w:val="20"/>
          <w:color w:val="auto"/>
        </w:rPr>
      </w:pPr>
    </w:p>
    <w:p>
      <w:pPr>
        <w:jc w:val="both"/>
        <w:ind w:left="5" w:right="20" w:firstLine="267"/>
        <w:spacing w:after="0" w:line="254" w:lineRule="auto"/>
        <w:rPr>
          <w:sz w:val="20"/>
          <w:szCs w:val="20"/>
          <w:color w:val="auto"/>
        </w:rPr>
      </w:pPr>
      <w:r>
        <w:rPr>
          <w:rFonts w:ascii="Arial" w:cs="Arial" w:eastAsia="Arial" w:hAnsi="Arial"/>
          <w:sz w:val="20"/>
          <w:szCs w:val="20"/>
          <w:color w:val="00162F"/>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33"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(b) Recent Accounting Pronouncements</w:t>
      </w:r>
    </w:p>
    <w:p>
      <w:pPr>
        <w:spacing w:after="0" w:line="97" w:lineRule="exact"/>
        <w:rPr>
          <w:sz w:val="20"/>
          <w:szCs w:val="20"/>
          <w:color w:val="auto"/>
        </w:rPr>
      </w:pPr>
    </w:p>
    <w:p>
      <w:pPr>
        <w:jc w:val="both"/>
        <w:ind w:left="5" w:right="20" w:firstLine="267"/>
        <w:spacing w:after="0" w:line="280" w:lineRule="auto"/>
        <w:rPr>
          <w:sz w:val="20"/>
          <w:szCs w:val="20"/>
          <w:color w:val="auto"/>
        </w:rPr>
      </w:pPr>
      <w:r>
        <w:rPr>
          <w:rFonts w:ascii="Arial" w:cs="Arial" w:eastAsia="Arial" w:hAnsi="Arial"/>
          <w:sz w:val="20"/>
          <w:szCs w:val="20"/>
          <w:i w:val="1"/>
          <w:iCs w:val="1"/>
          <w:color w:val="00162F"/>
        </w:rPr>
        <w:t>Accounting Standards Update (ASU) 2024-03: Income Statement - Reporting Comprehensive Income - Expense Disaggregation Disclosures (Subtopic 220-04) Disaggregation of Income Statement Expenses</w:t>
      </w:r>
    </w:p>
    <w:p>
      <w:pPr>
        <w:spacing w:after="0" w:line="26" w:lineRule="exact"/>
        <w:rPr>
          <w:sz w:val="20"/>
          <w:szCs w:val="20"/>
          <w:color w:val="auto"/>
        </w:rPr>
      </w:pPr>
    </w:p>
    <w:p>
      <w:pPr>
        <w:jc w:val="both"/>
        <w:ind w:left="5" w:right="20" w:firstLine="267"/>
        <w:spacing w:after="0" w:line="259" w:lineRule="auto"/>
        <w:rPr>
          <w:sz w:val="20"/>
          <w:szCs w:val="20"/>
          <w:color w:val="auto"/>
        </w:rPr>
      </w:pPr>
      <w:r>
        <w:rPr>
          <w:rFonts w:ascii="Arial" w:cs="Arial" w:eastAsia="Arial" w:hAnsi="Arial"/>
          <w:sz w:val="20"/>
          <w:szCs w:val="20"/>
          <w:color w:val="00162F"/>
        </w:rPr>
        <w:t>This standard enhances transparency in reporting by requiring disaggregation of certain costs and expenses in the notes to financial statements. This update is effective for annual periods beginning after December 15, 2026 and interim periods within annual periods beginning after December 15, 2027, and early adoption is permitted. We are currently evaluating how the adoption of this standard may impact our disclosures.</w:t>
      </w:r>
    </w:p>
    <w:p>
      <w:pPr>
        <w:spacing w:after="0" w:line="226" w:lineRule="exact"/>
        <w:rPr>
          <w:sz w:val="20"/>
          <w:szCs w:val="20"/>
          <w:color w:val="auto"/>
        </w:rPr>
      </w:pPr>
    </w:p>
    <w:p>
      <w:pPr>
        <w:jc w:val="both"/>
        <w:ind w:left="5" w:right="20" w:firstLine="267"/>
        <w:spacing w:after="0" w:line="280" w:lineRule="auto"/>
        <w:rPr>
          <w:sz w:val="20"/>
          <w:szCs w:val="20"/>
          <w:color w:val="auto"/>
        </w:rPr>
      </w:pPr>
      <w:r>
        <w:rPr>
          <w:rFonts w:ascii="Arial" w:cs="Arial" w:eastAsia="Arial" w:hAnsi="Arial"/>
          <w:sz w:val="20"/>
          <w:szCs w:val="20"/>
          <w:i w:val="1"/>
          <w:iCs w:val="1"/>
          <w:color w:val="00162F"/>
        </w:rPr>
        <w:t>ASU 2025-06: Intangibles - Goodwill and Other - Internal-Use Software (Subtopic 350-40) Targeted Improvements to the Accounting for Internal-Use Software</w:t>
      </w:r>
    </w:p>
    <w:p>
      <w:pPr>
        <w:spacing w:after="0" w:line="26" w:lineRule="exact"/>
        <w:rPr>
          <w:sz w:val="20"/>
          <w:szCs w:val="20"/>
          <w:color w:val="auto"/>
        </w:rPr>
      </w:pPr>
    </w:p>
    <w:p>
      <w:pPr>
        <w:jc w:val="both"/>
        <w:ind w:left="5" w:right="20" w:firstLine="267"/>
        <w:spacing w:after="0" w:line="259" w:lineRule="auto"/>
        <w:rPr>
          <w:sz w:val="20"/>
          <w:szCs w:val="20"/>
          <w:color w:val="auto"/>
        </w:rPr>
      </w:pPr>
      <w:r>
        <w:rPr>
          <w:rFonts w:ascii="Arial" w:cs="Arial" w:eastAsia="Arial" w:hAnsi="Arial"/>
          <w:sz w:val="20"/>
          <w:szCs w:val="20"/>
          <w:color w:val="00162F"/>
        </w:rPr>
        <w:t>This standard modernizes the accounting for costs related to internal-use software by removing references to project stages and by clarifying the thresholds entities apply to begin capitalizing costs. The amendments in this update are effective for interim and annual periods beginning after December 15, 2027, and early adoption is permitted. We are currently evaluating how the adoption of this standard may impact our consolidated financial statements.</w:t>
      </w:r>
    </w:p>
    <w:p>
      <w:pPr>
        <w:spacing w:after="0" w:line="226"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(c) Investments</w:t>
      </w:r>
    </w:p>
    <w:p>
      <w:pPr>
        <w:spacing w:after="0" w:line="95" w:lineRule="exact"/>
        <w:rPr>
          <w:sz w:val="20"/>
          <w:szCs w:val="20"/>
          <w:color w:val="auto"/>
        </w:rPr>
      </w:pPr>
    </w:p>
    <w:p>
      <w:pPr>
        <w:jc w:val="both"/>
        <w:ind w:left="5" w:right="20" w:firstLine="267"/>
        <w:spacing w:after="0" w:line="254" w:lineRule="auto"/>
        <w:rPr>
          <w:sz w:val="20"/>
          <w:szCs w:val="20"/>
          <w:color w:val="auto"/>
        </w:rPr>
      </w:pPr>
      <w:r>
        <w:rPr>
          <w:rFonts w:ascii="Arial" w:cs="Arial" w:eastAsia="Arial" w:hAnsi="Arial"/>
          <w:sz w:val="20"/>
          <w:szCs w:val="20"/>
          <w:color w:val="00162F"/>
        </w:rPr>
        <w:t>Short-term investments primarily include debt securities and are classified as available-for-sale and stated at fair value. Realized gains and losses are recorded as part of interest income within total nonoperating expense, net on our consolidated statements of operations. Unrealized gains and losses are recorded as a component of accumulated other comprehensive loss on our consolidated balance sheets. For investments in an unrealized loss position, we determine whether a credit loss exists by considering information about the collectability of the instrument, current market conditions and reasonable and supportable forecasts of economic conditions. There have been no credit losses.</w:t>
      </w:r>
    </w:p>
    <w:p>
      <w:pPr>
        <w:spacing w:after="0" w:line="143" w:lineRule="exact"/>
        <w:rPr>
          <w:sz w:val="20"/>
          <w:szCs w:val="20"/>
          <w:color w:val="auto"/>
        </w:rPr>
      </w:pPr>
    </w:p>
    <w:p>
      <w:pPr>
        <w:jc w:val="both"/>
        <w:ind w:left="5" w:right="20" w:firstLine="267"/>
        <w:spacing w:after="0" w:line="253" w:lineRule="auto"/>
        <w:rPr>
          <w:sz w:val="20"/>
          <w:szCs w:val="20"/>
          <w:color w:val="auto"/>
        </w:rPr>
      </w:pPr>
      <w:r>
        <w:rPr>
          <w:rFonts w:ascii="Arial" w:cs="Arial" w:eastAsia="Arial" w:hAnsi="Arial"/>
          <w:sz w:val="20"/>
          <w:szCs w:val="20"/>
          <w:color w:val="00162F"/>
        </w:rPr>
        <w:t>Equity investments are accounted for under the equity method if we are able to exercise significant influence over an investee. Equity investments for which we do not have significant influence are recorded at fair value or at cost, if fair value is not readily determinable, with adjustments for observable changes in price or impairments (referred to as the measurement alternative). Our equity investments are reflected in other assets on our consolidated balance sheets. Our share of equity method investees’ financial results and changes in fair value are recorded in nonoperating other income (expense), net on the consolidated statements of operations. See Note 8 for additional information related to our equity investments.</w:t>
      </w:r>
    </w:p>
    <w:p>
      <w:pPr>
        <w:spacing w:after="0" w:line="234"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(d) Restricted Cash and Short-term Investments</w:t>
      </w:r>
    </w:p>
    <w:p>
      <w:pPr>
        <w:spacing w:after="0" w:line="95"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We have restricted cash and short-term investments related primarily to collateral held to support workers’ compensation obligations, collateral associated with the payment of interest for the AAdvantage Financing and money market funds to be used to finance the cost of improvements at the overhaul and maintenance base at Tulsa International Airport (Tulsa Maintenance Base). See Note 4 and Note 11 for further information on the AAdvantage Financing and Tulsa Maintenance Base, respectively.</w:t>
      </w:r>
    </w:p>
    <w:p>
      <w:pPr>
        <w:sectPr>
          <w:pgSz w:w="11880" w:h="15480" w:orient="portrait"/>
          <w:cols w:equalWidth="0" w:num="1">
            <w:col w:w="10705"/>
          </w:cols>
          <w:pgMar w:left="595" w:top="992" w:right="58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88</w:t>
      </w:r>
    </w:p>
    <w:p>
      <w:pPr>
        <w:sectPr>
          <w:pgSz w:w="11880" w:h="15480" w:orient="portrait"/>
          <w:cols w:equalWidth="0" w:num="1">
            <w:col w:w="10705"/>
          </w:cols>
          <w:pgMar w:left="595" w:top="992" w:right="580" w:bottom="0" w:gutter="0" w:footer="0" w:header="0"/>
          <w:type w:val="continuous"/>
        </w:sectPr>
      </w:pPr>
    </w:p>
    <w:bookmarkStart w:id="89" w:name="page90"/>
    <w:bookmarkEnd w:id="89"/>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(e) Accounts Receivable, Net</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Accounts receivable primarily consist of amounts due from credit card processing companies for tickets sold to individual passengers, amounts due from airline and non-airline business partners, including our co-branded credit card partner and cargo customers. Receivables from ticket sales are short-term, mostly settled within seven days after sale. Receivables from our business partners are typically settled within 30 days. All accounts receivable are reported net of an allowance for credit losses, which was not material as of December 31, 2025 and 2024. We consider past and future financial and qualitative factors, including aging, payment history and other credit monitoring indicators, when establishing the allowance for credit losses.</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(f) Aircraft Fuel, Spare Parts and Supplies, Net</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Aircraft fuel is recorded on a first-in, first-out basis. Spare parts and supplies are recorded at average costs less an allowance for obsolescence, which is recognized over the weighted average remaining useful life of the related fleet. We also provide an allowance for spare parts and supplies identified as excess or obsolete to reduce the carrying cost to the lower of cost or net realizable value. Aircraft fuel, spare parts and supplies are expensed when used.</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(g) Operating Property and Equipment</w:t>
      </w:r>
    </w:p>
    <w:p>
      <w:pPr>
        <w:spacing w:after="0" w:line="95"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Operating property and equipment is recorded at cost and depreciated or amortized to residual values over the asset’s estimated useful life or the lease term, whichever is less, using the straight-line method. Costs of major improvements that enhance the usefulness of the asset are capitalized and depreciated or amortized over the estimated useful life of the asset or the lease term, whichever is less. Effective January 1, 2025, we adjusted the estimated useful lives of our mainline and regional aircraft, engines and related rotable parts by three years to align with the extended lives of aircraft included in our long-term fleet plan. In conjunction with this change, we also reduced the salvage values for most of these assets from 10% to 5% of original cost to more closely reflect the estimated value at the end of the useful life. Accordingly, the estimated useful lives for the principal property and equipment classification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320" w:type="dxa"/>
            <w:vAlign w:val="bottom"/>
            <w:gridSpan w:val="2"/>
          </w:tcPr>
          <w:p>
            <w:pPr>
              <w:spacing w:after="0"/>
              <w:rPr>
                <w:sz w:val="20"/>
                <w:szCs w:val="20"/>
                <w:color w:val="auto"/>
              </w:rPr>
            </w:pPr>
            <w:r>
              <w:rPr>
                <w:rFonts w:ascii="Arial" w:cs="Arial" w:eastAsia="Arial" w:hAnsi="Arial"/>
                <w:sz w:val="16"/>
                <w:szCs w:val="16"/>
                <w:b w:val="1"/>
                <w:bCs w:val="1"/>
                <w:color w:val="00162F"/>
              </w:rPr>
              <w:t>Principal Property and Equipment Classification</w:t>
            </w:r>
          </w:p>
        </w:tc>
        <w:tc>
          <w:tcPr>
            <w:tcW w:w="43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0162F"/>
              </w:rPr>
              <w:t>Estimated Useful Life</w:t>
            </w:r>
          </w:p>
        </w:tc>
      </w:tr>
      <w:tr>
        <w:trPr>
          <w:trHeight w:val="30"/>
        </w:trPr>
        <w:tc>
          <w:tcPr>
            <w:tcW w:w="40" w:type="dxa"/>
            <w:vAlign w:val="bottom"/>
          </w:tcPr>
          <w:p>
            <w:pPr>
              <w:spacing w:after="0"/>
              <w:rPr>
                <w:sz w:val="2"/>
                <w:szCs w:val="2"/>
                <w:color w:val="auto"/>
              </w:rPr>
            </w:pPr>
          </w:p>
        </w:tc>
        <w:tc>
          <w:tcPr>
            <w:tcW w:w="3620" w:type="dxa"/>
            <w:vAlign w:val="bottom"/>
            <w:tcBorders>
              <w:top w:val="single" w:sz="8" w:color="00162F"/>
            </w:tcBorders>
          </w:tcPr>
          <w:p>
            <w:pPr>
              <w:spacing w:after="0"/>
              <w:rPr>
                <w:sz w:val="2"/>
                <w:szCs w:val="2"/>
                <w:color w:val="auto"/>
              </w:rPr>
            </w:pPr>
          </w:p>
        </w:tc>
        <w:tc>
          <w:tcPr>
            <w:tcW w:w="2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60" w:type="dxa"/>
            <w:vAlign w:val="bottom"/>
            <w:tcBorders>
              <w:top w:val="single" w:sz="8" w:color="00162F"/>
            </w:tcBorders>
          </w:tcPr>
          <w:p>
            <w:pPr>
              <w:spacing w:after="0"/>
              <w:rPr>
                <w:sz w:val="2"/>
                <w:szCs w:val="2"/>
                <w:color w:val="auto"/>
              </w:rPr>
            </w:pPr>
          </w:p>
        </w:tc>
        <w:tc>
          <w:tcPr>
            <w:tcW w:w="960" w:type="dxa"/>
            <w:vAlign w:val="bottom"/>
            <w:tcBorders>
              <w:top w:val="single" w:sz="8" w:color="00162F"/>
            </w:tcBorders>
          </w:tcPr>
          <w:p>
            <w:pPr>
              <w:spacing w:after="0"/>
              <w:rPr>
                <w:sz w:val="2"/>
                <w:szCs w:val="2"/>
                <w:color w:val="auto"/>
              </w:rPr>
            </w:pPr>
          </w:p>
        </w:tc>
        <w:tc>
          <w:tcPr>
            <w:tcW w:w="40" w:type="dxa"/>
            <w:vAlign w:val="bottom"/>
          </w:tcPr>
          <w:p>
            <w:pPr>
              <w:spacing w:after="0"/>
              <w:rPr>
                <w:sz w:val="2"/>
                <w:szCs w:val="2"/>
                <w:color w:val="auto"/>
              </w:rPr>
            </w:pPr>
          </w:p>
        </w:tc>
      </w:tr>
      <w:tr>
        <w:trPr>
          <w:trHeight w:val="297"/>
        </w:trPr>
        <w:tc>
          <w:tcPr>
            <w:tcW w:w="40" w:type="dxa"/>
            <w:vAlign w:val="bottom"/>
            <w:shd w:val="clear" w:color="auto" w:fill="EDEDED"/>
          </w:tcPr>
          <w:p>
            <w:pPr>
              <w:spacing w:after="0"/>
              <w:rPr>
                <w:sz w:val="24"/>
                <w:szCs w:val="24"/>
                <w:color w:val="auto"/>
              </w:rPr>
            </w:pPr>
          </w:p>
        </w:tc>
        <w:tc>
          <w:tcPr>
            <w:tcW w:w="6320" w:type="dxa"/>
            <w:vAlign w:val="bottom"/>
            <w:gridSpan w:val="2"/>
            <w:shd w:val="clear" w:color="auto" w:fill="EDEDED"/>
          </w:tcPr>
          <w:p>
            <w:pPr>
              <w:spacing w:after="0"/>
              <w:rPr>
                <w:sz w:val="20"/>
                <w:szCs w:val="20"/>
                <w:color w:val="auto"/>
              </w:rPr>
            </w:pPr>
            <w:r>
              <w:rPr>
                <w:rFonts w:ascii="Arial" w:cs="Arial" w:eastAsia="Arial" w:hAnsi="Arial"/>
                <w:sz w:val="20"/>
                <w:szCs w:val="20"/>
                <w:color w:val="00162F"/>
              </w:rPr>
              <w:t>Aircraft, engines and related rotable parts</w:t>
            </w:r>
          </w:p>
        </w:tc>
        <w:tc>
          <w:tcPr>
            <w:tcW w:w="332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20</w:t>
            </w:r>
          </w:p>
        </w:tc>
        <w:tc>
          <w:tcPr>
            <w:tcW w:w="100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 33 years</w:t>
            </w:r>
          </w:p>
        </w:tc>
      </w:tr>
      <w:tr>
        <w:trPr>
          <w:trHeight w:val="293"/>
        </w:trPr>
        <w:tc>
          <w:tcPr>
            <w:tcW w:w="4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00162F"/>
              </w:rPr>
              <w:t>Buildings and improvements</w:t>
            </w:r>
          </w:p>
        </w:tc>
        <w:tc>
          <w:tcPr>
            <w:tcW w:w="3320" w:type="dxa"/>
            <w:vAlign w:val="bottom"/>
            <w:gridSpan w:val="2"/>
          </w:tcPr>
          <w:p>
            <w:pPr>
              <w:jc w:val="right"/>
              <w:ind w:right="20"/>
              <w:spacing w:after="0"/>
              <w:rPr>
                <w:sz w:val="20"/>
                <w:szCs w:val="20"/>
                <w:color w:val="auto"/>
              </w:rPr>
            </w:pPr>
            <w:r>
              <w:rPr>
                <w:rFonts w:ascii="Arial" w:cs="Arial" w:eastAsia="Arial" w:hAnsi="Arial"/>
                <w:sz w:val="20"/>
                <w:szCs w:val="20"/>
                <w:color w:val="00162F"/>
              </w:rPr>
              <w:t>5</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00162F"/>
              </w:rPr>
              <w:t>– 30 years</w:t>
            </w:r>
          </w:p>
        </w:tc>
      </w:tr>
      <w:tr>
        <w:trPr>
          <w:trHeight w:val="301"/>
        </w:trPr>
        <w:tc>
          <w:tcPr>
            <w:tcW w:w="40" w:type="dxa"/>
            <w:vAlign w:val="bottom"/>
            <w:shd w:val="clear" w:color="auto" w:fill="EDEDED"/>
          </w:tcPr>
          <w:p>
            <w:pPr>
              <w:spacing w:after="0"/>
              <w:rPr>
                <w:sz w:val="24"/>
                <w:szCs w:val="24"/>
                <w:color w:val="auto"/>
              </w:rPr>
            </w:pPr>
          </w:p>
        </w:tc>
        <w:tc>
          <w:tcPr>
            <w:tcW w:w="6320" w:type="dxa"/>
            <w:vAlign w:val="bottom"/>
            <w:gridSpan w:val="2"/>
            <w:shd w:val="clear" w:color="auto" w:fill="EDEDED"/>
          </w:tcPr>
          <w:p>
            <w:pPr>
              <w:spacing w:after="0"/>
              <w:rPr>
                <w:sz w:val="20"/>
                <w:szCs w:val="20"/>
                <w:color w:val="auto"/>
              </w:rPr>
            </w:pPr>
            <w:r>
              <w:rPr>
                <w:rFonts w:ascii="Arial" w:cs="Arial" w:eastAsia="Arial" w:hAnsi="Arial"/>
                <w:sz w:val="20"/>
                <w:szCs w:val="20"/>
                <w:color w:val="00162F"/>
              </w:rPr>
              <w:t>Furniture, fixtures and other equipment</w:t>
            </w:r>
          </w:p>
        </w:tc>
        <w:tc>
          <w:tcPr>
            <w:tcW w:w="332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3</w:t>
            </w:r>
          </w:p>
        </w:tc>
        <w:tc>
          <w:tcPr>
            <w:tcW w:w="100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 15 years</w:t>
            </w:r>
          </w:p>
        </w:tc>
      </w:tr>
      <w:tr>
        <w:trPr>
          <w:trHeight w:val="290"/>
        </w:trPr>
        <w:tc>
          <w:tcPr>
            <w:tcW w:w="4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00162F"/>
              </w:rPr>
              <w:t>Capitalized software</w:t>
            </w:r>
          </w:p>
        </w:tc>
        <w:tc>
          <w:tcPr>
            <w:tcW w:w="3320" w:type="dxa"/>
            <w:vAlign w:val="bottom"/>
            <w:gridSpan w:val="2"/>
          </w:tcPr>
          <w:p>
            <w:pPr>
              <w:jc w:val="right"/>
              <w:ind w:right="20"/>
              <w:spacing w:after="0"/>
              <w:rPr>
                <w:sz w:val="20"/>
                <w:szCs w:val="20"/>
                <w:color w:val="auto"/>
              </w:rPr>
            </w:pPr>
            <w:r>
              <w:rPr>
                <w:rFonts w:ascii="Arial" w:cs="Arial" w:eastAsia="Arial" w:hAnsi="Arial"/>
                <w:sz w:val="20"/>
                <w:szCs w:val="20"/>
                <w:color w:val="00162F"/>
              </w:rPr>
              <w:t>5</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00162F"/>
              </w:rPr>
              <w:t>– 10 years</w:t>
            </w:r>
          </w:p>
        </w:tc>
      </w:tr>
    </w:tbl>
    <w:p>
      <w:pPr>
        <w:spacing w:after="0" w:line="22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The effect of these changes did not have a material impact to depreciation and amortization expense in the consolidated statement of operations for the year ended December 31, 2025. Total mainline and regional depreciation and amortization expense was $2.2 billion for each of the years ended December 31, 2025 and 2024 and $2.3 billion for the year ended December 31, 2023.</w:t>
      </w:r>
    </w:p>
    <w:p>
      <w:pPr>
        <w:spacing w:after="0" w:line="13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We assess impairment of operating property and equipment when events and circumstances indicate that the assets may be impaired. An impairment of an asset or group of assets exists only when the sum of the estimated undiscounted cash flows expected to be generated directly by the assets are less than the carrying value of the assets. We group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our current fleet plan. If such assets are impaired, the impairment charge recognized is the amount by which the carrying value of the assets exceed their fair value. Fair value reflects management’s best estimate including inputs from published pricing guides and bids from third parties as well as contracted sales agreements when applicable.</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(h) Leases</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We determine if an arrangement is a lease at inception. Operating leases are included in operating lease right-of-use (ROU) assets, current operating lease liabilities and noncurrent operating lease liabilities on our consolidated balance sheets. Finance leases are included in property and equipment, current maturities of long-term debt and finance leases and long-term debt and finance leases, net of current maturities, on our consolidated balance sheets. See Note 5 for further information on our operating and finance leases.</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89</w:t>
      </w:r>
    </w:p>
    <w:p>
      <w:pPr>
        <w:sectPr>
          <w:pgSz w:w="11880" w:h="15480" w:orient="portrait"/>
          <w:cols w:equalWidth="0" w:num="1">
            <w:col w:w="10680"/>
          </w:cols>
          <w:pgMar w:left="600" w:top="487" w:right="600" w:bottom="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lease payments over the lease term.</w:t>
      </w:r>
    </w:p>
    <w:p>
      <w:pPr>
        <w:spacing w:after="0" w:line="12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We use our estimated incremental borrowing rate, which is derived from information available at the lease commencement date, in determining the present value of lease payments. We give consideration to our recent debt issuances as well as publicly available data for instruments with similar characteristics when calculating our incremental borrowing rates.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Our lease term includes options to extend the lease when it is reasonably certain that we will exercise that option.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0162F"/>
        </w:rPr>
        <w:t>Leases with a term of 12 months or less are not recorded on our consolidated balance sheets.</w:t>
      </w:r>
    </w:p>
    <w:p>
      <w:pPr>
        <w:spacing w:after="0" w:line="186"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Under certain of our capacity purchase agreements with third-party regional carriers, we do not own the underlying aircraft. However, since we control the marketing, scheduling, ticketing, pricing and seat inventories of these aircraft and therefore control the asset, the aircraft is deemed to be leased for accounting purposes. For these capacity purchase agreements, we account for the lease and non-lease components separately. The lease component consists of the aircraft and the non-lease components consist of services, such as the crew and maintenance. Where applicable, we allocate the consideration in the capacity purchase agreements to the lease and non-lease components using their estimated relative standalone prices. See Note 11(b) for additional information on our capacity purchase agreements.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For real estate, we account for the lease and non-lease components as a single lease component.</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(i) Income Taxes</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on our consolidated balance sheets.</w:t>
      </w:r>
    </w:p>
    <w:p>
      <w:pPr>
        <w:spacing w:after="0" w:line="13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We provide a valuation allowance for our deferred tax assets, which include our net operating losses (NOLs) and other carryforwards,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(j) Goodwill</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Goodwill represents the purchase price in excess of the fair value of the net assets acquired and liabilities assumed in connection with the 2013 merger with US Airways Group, Inc. (US Airways Group). We have one reporting unit. We assess goodwill for impairment annually or more frequently if events or circumstances indicate that the fair value of goodwill may be lower than the carrying value. Our annual assessment date is October 1.</w:t>
      </w:r>
    </w:p>
    <w:p>
      <w:pPr>
        <w:spacing w:after="0" w:line="136"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Goodwill is assessed for impairment by initially performing a qualitative assessment. If we determine that it is more likely than not that our goodwill may be impaired, we use a quantitative approach to assess the asset’s fair value and the amount of the impairment, if any. Based upon our annual assessment, there was no goodwill impairment in 2025. The carrying value of our goodwill on our consolidated balance sheets was $4.1 billion as of December 31, 2025 and 2024.</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(k) Other Intangibles, Net</w:t>
      </w:r>
    </w:p>
    <w:p>
      <w:pPr>
        <w:spacing w:after="0" w:line="95"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Intangible assets consist of certain domestic airport slots and gate leasehold rights, international slots and route authorities, commercial agreements, marketing agreements, customer relationships and tradenames.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Definite-Lived Intangible Assets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Definite-lived intangible assets are originally recorded at their acquired fair values, subsequently amortized over their respective estimated useful lives and are assessed for impairment whenever events and circumstances indicate that the assets may be impaired. Certain domestic airport slots and airport gate leasehold rights are amortized on a straight-line</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90</w:t>
      </w:r>
    </w:p>
    <w:p>
      <w:pPr>
        <w:sectPr>
          <w:pgSz w:w="11880" w:h="15480" w:orient="portrait"/>
          <w:cols w:equalWidth="0" w:num="1">
            <w:col w:w="10680"/>
          </w:cols>
          <w:pgMar w:left="600" w:top="487" w:right="600" w:bottom="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00162F"/>
        </w:rPr>
        <w:t>basis over 25 years. Certain marketing agreements were identified as intangible assets subject to amortization and are amortized on a straight-line basis over approximately 30 years.</w:t>
      </w:r>
    </w:p>
    <w:p>
      <w:pPr>
        <w:spacing w:after="0" w:line="113"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We had $124 million and $101 million of definite-lived intangible assets, net of accumulated amortization on our consolidated balance sheets as of December 31, 2025 and 2024, respectively. We expect to record amortization expense related to these assets of approximately $7 million for each of the years in 2026 through 2030, and $88 million of amortization expense in 2031 and thereafter until fully amortized.</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Indefinite-Lived Intangible Assets</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Indefinite-lived intangible assets include certain domestic airport slots, international slots and route authorities and our commercial agreement with GOL Linhas Aéreas Inteligentes S.A. (GOL). We assess indefinite-lived intangible assets for impairment annually or more frequently if events or circumstances indicate that the fair values of indefinite-lived intangible assets may be lower than their carrying values. Our annual assessment date is October 1.</w:t>
      </w:r>
    </w:p>
    <w:p>
      <w:pPr>
        <w:spacing w:after="0" w:line="136"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Indefinite-lived intangible assets are assessed for impairment by initially performing a qualitative assessment. If we determine that it is more likely than not that our indefinite-lived intangible assets may be impaired, we use a quantitative approach to assess the asset’s fair value and the amount of the impairment, if any. Based upon our annual assessment, there were no indefinite-lived intangible asset impairments in 2025. We had $1.9 billion of indefinite-lived intangible assets on our consolidated balance sheets as of December 31, 2025 and 2024.</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(l) Fuel Financing</w:t>
      </w:r>
    </w:p>
    <w:p>
      <w:pPr>
        <w:spacing w:after="0" w:line="95"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In December 2024, we entered into a fuel financing facility with a bank pursuant to which the bank pays certain fuel invoices on our behalf. The agreement contains a maximum allowable outstanding principal balance at any time of $1.0 billion and is required to be repaid at least quarterly. The fuel financing facility bears interest at a base rate equal to one-month Secured Overnight Financing Rate (SOFR), plus a margin of 3.75%. Our obligations to the counterparty are secured on a second-priority basis by certain intellectual property of American, including the “American Airlines” trademark and the “aa.com” domain name in the United States and certain foreign jurisdictions, as provided in, and subject to the covenants and conditions of, the Second Lien Brand Collateral Security Agreement. Either American or the bank may terminate this agreement at any time and with immediate effect upon sixty days’ prior written notice to the other party. As of December 31, 2025 and 2024, we had $914 million and $74 million, respectively, in fuel financing obligations included on our consolidated balance sheets.</w:t>
      </w:r>
    </w:p>
    <w:p>
      <w:pPr>
        <w:spacing w:after="0" w:line="148"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following is a rollforward of our outstanding fuel financing obligation during the years ended December 31, 2025 and 2024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Borders>
              <w:bottom w:val="single" w:sz="8" w:color="EDEDED"/>
            </w:tcBorders>
          </w:tcPr>
          <w:p>
            <w:pPr>
              <w:spacing w:after="0"/>
              <w:rPr>
                <w:sz w:val="18"/>
                <w:szCs w:val="18"/>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2025</w:t>
            </w:r>
          </w:p>
        </w:tc>
        <w:tc>
          <w:tcPr>
            <w:tcW w:w="620" w:type="dxa"/>
            <w:vAlign w:val="bottom"/>
            <w:tcBorders>
              <w:bottom w:val="single" w:sz="8" w:color="00162F"/>
            </w:tcBorders>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420" w:type="dxa"/>
            <w:vAlign w:val="bottom"/>
            <w:tcBorders>
              <w:bottom w:val="single" w:sz="8" w:color="00162F"/>
            </w:tcBorders>
          </w:tcPr>
          <w:p>
            <w:pPr>
              <w:spacing w:after="0"/>
              <w:rPr>
                <w:sz w:val="18"/>
                <w:szCs w:val="18"/>
                <w:color w:val="auto"/>
              </w:rPr>
            </w:pPr>
          </w:p>
        </w:tc>
        <w:tc>
          <w:tcPr>
            <w:tcW w:w="1260" w:type="dxa"/>
            <w:vAlign w:val="bottom"/>
            <w:tcBorders>
              <w:bottom w:val="single" w:sz="8" w:color="00162F"/>
            </w:tcBorders>
          </w:tcPr>
          <w:p>
            <w:pPr>
              <w:jc w:val="right"/>
              <w:ind w:right="565"/>
              <w:spacing w:after="0"/>
              <w:rPr>
                <w:sz w:val="20"/>
                <w:szCs w:val="20"/>
                <w:color w:val="auto"/>
              </w:rPr>
            </w:pPr>
            <w:r>
              <w:rPr>
                <w:rFonts w:ascii="Arial" w:cs="Arial" w:eastAsia="Arial" w:hAnsi="Arial"/>
                <w:sz w:val="16"/>
                <w:szCs w:val="16"/>
                <w:b w:val="1"/>
                <w:bCs w:val="1"/>
                <w:color w:val="00162F"/>
              </w:rPr>
              <w:t>2024</w:t>
            </w:r>
          </w:p>
        </w:tc>
      </w:tr>
      <w:tr>
        <w:trPr>
          <w:trHeight w:val="287"/>
        </w:trPr>
        <w:tc>
          <w:tcPr>
            <w:tcW w:w="72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Balance at beginning of year</w:t>
            </w:r>
          </w:p>
        </w:tc>
        <w:tc>
          <w:tcPr>
            <w:tcW w:w="1060" w:type="dxa"/>
            <w:vAlign w:val="bottom"/>
            <w:shd w:val="clear" w:color="auto" w:fill="EDEDED"/>
          </w:tcPr>
          <w:p>
            <w:pPr>
              <w:jc w:val="right"/>
              <w:ind w:right="808"/>
              <w:spacing w:after="0"/>
              <w:rPr>
                <w:sz w:val="20"/>
                <w:szCs w:val="20"/>
                <w:color w:val="auto"/>
              </w:rPr>
            </w:pPr>
            <w:r>
              <w:rPr>
                <w:rFonts w:ascii="Arial" w:cs="Arial" w:eastAsia="Arial" w:hAnsi="Arial"/>
                <w:sz w:val="20"/>
                <w:szCs w:val="20"/>
                <w:color w:val="00162F"/>
              </w:rPr>
              <w:t>$</w:t>
            </w:r>
          </w:p>
        </w:tc>
        <w:tc>
          <w:tcPr>
            <w:tcW w:w="6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74</w:t>
            </w:r>
          </w:p>
        </w:tc>
        <w:tc>
          <w:tcPr>
            <w:tcW w:w="480" w:type="dxa"/>
            <w:vAlign w:val="bottom"/>
            <w:gridSpan w:val="2"/>
            <w:shd w:val="clear" w:color="auto" w:fill="EDEDED"/>
          </w:tcPr>
          <w:p>
            <w:pPr>
              <w:jc w:val="right"/>
              <w:ind w:right="240"/>
              <w:spacing w:after="0"/>
              <w:rPr>
                <w:sz w:val="20"/>
                <w:szCs w:val="20"/>
                <w:color w:val="auto"/>
              </w:rPr>
            </w:pPr>
            <w:r>
              <w:rPr>
                <w:rFonts w:ascii="Arial" w:cs="Arial" w:eastAsia="Arial" w:hAnsi="Arial"/>
                <w:sz w:val="20"/>
                <w:szCs w:val="20"/>
                <w:color w:val="00162F"/>
              </w:rPr>
              <w:t>$</w:t>
            </w:r>
          </w:p>
        </w:tc>
        <w:tc>
          <w:tcPr>
            <w:tcW w:w="12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93"/>
        </w:trPr>
        <w:tc>
          <w:tcPr>
            <w:tcW w:w="7200" w:type="dxa"/>
            <w:vAlign w:val="bottom"/>
          </w:tcPr>
          <w:p>
            <w:pPr>
              <w:ind w:left="280"/>
              <w:spacing w:after="0"/>
              <w:rPr>
                <w:sz w:val="20"/>
                <w:szCs w:val="20"/>
                <w:color w:val="auto"/>
              </w:rPr>
            </w:pPr>
            <w:r>
              <w:rPr>
                <w:rFonts w:ascii="Arial" w:cs="Arial" w:eastAsia="Arial" w:hAnsi="Arial"/>
                <w:sz w:val="20"/>
                <w:szCs w:val="20"/>
                <w:color w:val="00162F"/>
              </w:rPr>
              <w:t>Proceeds</w:t>
            </w:r>
          </w:p>
        </w:tc>
        <w:tc>
          <w:tcPr>
            <w:tcW w:w="10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00162F"/>
              </w:rPr>
              <w:t>1,217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00162F"/>
              </w:rPr>
              <w:t>74</w:t>
            </w:r>
          </w:p>
        </w:tc>
      </w:tr>
      <w:tr>
        <w:trPr>
          <w:trHeight w:val="311"/>
        </w:trPr>
        <w:tc>
          <w:tcPr>
            <w:tcW w:w="7200" w:type="dxa"/>
            <w:vAlign w:val="bottom"/>
            <w:tcBorders>
              <w:bottom w:val="single" w:sz="8" w:color="EDEDED"/>
            </w:tcBorders>
            <w:shd w:val="clear" w:color="auto" w:fill="EDEDED"/>
          </w:tcPr>
          <w:p>
            <w:pPr>
              <w:ind w:left="280"/>
              <w:spacing w:after="0"/>
              <w:rPr>
                <w:sz w:val="20"/>
                <w:szCs w:val="20"/>
                <w:color w:val="auto"/>
              </w:rPr>
            </w:pPr>
            <w:r>
              <w:rPr>
                <w:rFonts w:ascii="Arial" w:cs="Arial" w:eastAsia="Arial" w:hAnsi="Arial"/>
                <w:sz w:val="20"/>
                <w:szCs w:val="20"/>
                <w:color w:val="00162F"/>
              </w:rPr>
              <w:t>Payments</w:t>
            </w:r>
          </w:p>
        </w:tc>
        <w:tc>
          <w:tcPr>
            <w:tcW w:w="1060" w:type="dxa"/>
            <w:vAlign w:val="bottom"/>
            <w:tcBorders>
              <w:bottom w:val="single" w:sz="8" w:color="00162F"/>
            </w:tcBorders>
            <w:shd w:val="clear" w:color="auto" w:fill="EDEDED"/>
          </w:tcPr>
          <w:p>
            <w:pPr>
              <w:spacing w:after="0"/>
              <w:rPr>
                <w:sz w:val="24"/>
                <w:szCs w:val="24"/>
                <w:color w:val="auto"/>
              </w:rPr>
            </w:pPr>
          </w:p>
        </w:tc>
        <w:tc>
          <w:tcPr>
            <w:tcW w:w="6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(377)</w:t>
            </w:r>
          </w:p>
        </w:tc>
        <w:tc>
          <w:tcPr>
            <w:tcW w:w="6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00162F"/>
            </w:tcBorders>
            <w:shd w:val="clear" w:color="auto" w:fill="EDEDED"/>
          </w:tcPr>
          <w:p>
            <w:pPr>
              <w:spacing w:after="0"/>
              <w:rPr>
                <w:sz w:val="24"/>
                <w:szCs w:val="24"/>
                <w:color w:val="auto"/>
              </w:rPr>
            </w:pPr>
          </w:p>
        </w:tc>
        <w:tc>
          <w:tcPr>
            <w:tcW w:w="12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20"/>
                <w:szCs w:val="20"/>
                <w:color w:val="00162F"/>
              </w:rPr>
              <w:t>Balance at end of year</w:t>
            </w:r>
          </w:p>
        </w:tc>
        <w:tc>
          <w:tcPr>
            <w:tcW w:w="1060" w:type="dxa"/>
            <w:vAlign w:val="bottom"/>
          </w:tcPr>
          <w:p>
            <w:pPr>
              <w:jc w:val="right"/>
              <w:ind w:right="808"/>
              <w:spacing w:after="0"/>
              <w:rPr>
                <w:sz w:val="20"/>
                <w:szCs w:val="20"/>
                <w:color w:val="auto"/>
              </w:rPr>
            </w:pPr>
            <w:r>
              <w:rPr>
                <w:rFonts w:ascii="Arial" w:cs="Arial" w:eastAsia="Arial" w:hAnsi="Arial"/>
                <w:sz w:val="20"/>
                <w:szCs w:val="20"/>
                <w:color w:val="00162F"/>
              </w:rPr>
              <w:t>$</w:t>
            </w:r>
          </w:p>
        </w:tc>
        <w:tc>
          <w:tcPr>
            <w:tcW w:w="620" w:type="dxa"/>
            <w:vAlign w:val="bottom"/>
          </w:tcPr>
          <w:p>
            <w:pPr>
              <w:jc w:val="right"/>
              <w:spacing w:after="0"/>
              <w:rPr>
                <w:sz w:val="20"/>
                <w:szCs w:val="20"/>
                <w:color w:val="auto"/>
              </w:rPr>
            </w:pPr>
            <w:r>
              <w:rPr>
                <w:rFonts w:ascii="Arial" w:cs="Arial" w:eastAsia="Arial" w:hAnsi="Arial"/>
                <w:sz w:val="20"/>
                <w:szCs w:val="20"/>
                <w:color w:val="00162F"/>
              </w:rPr>
              <w:t>914</w:t>
            </w:r>
          </w:p>
        </w:tc>
        <w:tc>
          <w:tcPr>
            <w:tcW w:w="480" w:type="dxa"/>
            <w:vAlign w:val="bottom"/>
            <w:gridSpan w:val="2"/>
          </w:tcPr>
          <w:p>
            <w:pPr>
              <w:jc w:val="right"/>
              <w:ind w:right="240"/>
              <w:spacing w:after="0"/>
              <w:rPr>
                <w:sz w:val="20"/>
                <w:szCs w:val="20"/>
                <w:color w:val="auto"/>
              </w:rPr>
            </w:pPr>
            <w:r>
              <w:rPr>
                <w:rFonts w:ascii="Arial" w:cs="Arial" w:eastAsia="Arial" w:hAnsi="Arial"/>
                <w:sz w:val="20"/>
                <w:szCs w:val="20"/>
                <w:color w:val="00162F"/>
              </w:rPr>
              <w:t>$</w:t>
            </w:r>
          </w:p>
        </w:tc>
        <w:tc>
          <w:tcPr>
            <w:tcW w:w="1260" w:type="dxa"/>
            <w:vAlign w:val="bottom"/>
          </w:tcPr>
          <w:p>
            <w:pPr>
              <w:jc w:val="right"/>
              <w:spacing w:after="0"/>
              <w:rPr>
                <w:sz w:val="20"/>
                <w:szCs w:val="20"/>
                <w:color w:val="auto"/>
              </w:rPr>
            </w:pPr>
            <w:r>
              <w:rPr>
                <w:rFonts w:ascii="Arial" w:cs="Arial" w:eastAsia="Arial" w:hAnsi="Arial"/>
                <w:sz w:val="20"/>
                <w:szCs w:val="20"/>
                <w:color w:val="00162F"/>
              </w:rPr>
              <w:t>74</w:t>
            </w:r>
          </w:p>
        </w:tc>
      </w:tr>
      <w:tr>
        <w:trPr>
          <w:trHeight w:val="20"/>
        </w:trPr>
        <w:tc>
          <w:tcPr>
            <w:tcW w:w="7200" w:type="dxa"/>
            <w:vAlign w:val="bottom"/>
          </w:tcPr>
          <w:p>
            <w:pPr>
              <w:spacing w:after="0" w:line="20" w:lineRule="exact"/>
              <w:rPr>
                <w:sz w:val="1"/>
                <w:szCs w:val="1"/>
                <w:color w:val="auto"/>
              </w:rPr>
            </w:pPr>
          </w:p>
        </w:tc>
        <w:tc>
          <w:tcPr>
            <w:tcW w:w="1060" w:type="dxa"/>
            <w:vAlign w:val="bottom"/>
            <w:tcBorders>
              <w:top w:val="single" w:sz="8" w:color="00162F"/>
              <w:bottom w:val="single" w:sz="8" w:color="00162F"/>
            </w:tcBorders>
          </w:tcPr>
          <w:p>
            <w:pPr>
              <w:spacing w:after="0" w:line="20" w:lineRule="exact"/>
              <w:rPr>
                <w:sz w:val="1"/>
                <w:szCs w:val="1"/>
                <w:color w:val="auto"/>
              </w:rPr>
            </w:pPr>
          </w:p>
        </w:tc>
        <w:tc>
          <w:tcPr>
            <w:tcW w:w="62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162F"/>
              <w:bottom w:val="single" w:sz="8" w:color="00162F"/>
            </w:tcBorders>
          </w:tcPr>
          <w:p>
            <w:pPr>
              <w:spacing w:after="0" w:line="20" w:lineRule="exact"/>
              <w:rPr>
                <w:sz w:val="1"/>
                <w:szCs w:val="1"/>
                <w:color w:val="auto"/>
              </w:rPr>
            </w:pPr>
          </w:p>
        </w:tc>
        <w:tc>
          <w:tcPr>
            <w:tcW w:w="1260" w:type="dxa"/>
            <w:vAlign w:val="bottom"/>
            <w:tcBorders>
              <w:top w:val="single" w:sz="8" w:color="00162F"/>
              <w:bottom w:val="single" w:sz="8" w:color="00162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-797560</wp:posOffset>
            </wp:positionV>
            <wp:extent cx="2215515" cy="50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3">
                      <a:extLst>
                        <a:ext uri="{28A0092B-C50C-407E-A947-70E740481C1C}"/>
                      </a:extLst>
                    </a:blip>
                    <a:srcRect/>
                    <a:stretch>
                      <a:fillRect/>
                    </a:stretch>
                  </pic:blipFill>
                  <pic:spPr bwMode="auto">
                    <a:xfrm>
                      <a:off x="0" y="0"/>
                      <a:ext cx="2215515" cy="50165"/>
                    </a:xfrm>
                    <a:prstGeom prst="rect">
                      <a:avLst/>
                    </a:prstGeom>
                    <a:noFill/>
                  </pic:spPr>
                </pic:pic>
              </a:graphicData>
            </a:graphic>
          </wp:anchor>
        </w:drawing>
        <w:drawing>
          <wp:anchor simplePos="0" relativeHeight="251657728" behindDoc="1" locked="0" layoutInCell="0" allowOverlap="1">
            <wp:simplePos x="0" y="0"/>
            <wp:positionH relativeFrom="column">
              <wp:posOffset>4544060</wp:posOffset>
            </wp:positionH>
            <wp:positionV relativeFrom="paragraph">
              <wp:posOffset>-231775</wp:posOffset>
            </wp:positionV>
            <wp:extent cx="1137920"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4">
                      <a:extLst>
                        <a:ext uri="{28A0092B-C50C-407E-A947-70E740481C1C}"/>
                      </a:extLst>
                    </a:blip>
                    <a:srcRect/>
                    <a:stretch>
                      <a:fillRect/>
                    </a:stretch>
                  </pic:blipFill>
                  <pic:spPr bwMode="auto">
                    <a:xfrm>
                      <a:off x="0" y="0"/>
                      <a:ext cx="1137920" cy="5016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-55880</wp:posOffset>
            </wp:positionV>
            <wp:extent cx="1115695" cy="755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5">
                      <a:extLst>
                        <a:ext uri="{28A0092B-C50C-407E-A947-70E740481C1C}"/>
                      </a:extLst>
                    </a:blip>
                    <a:srcRect/>
                    <a:stretch>
                      <a:fillRect/>
                    </a:stretch>
                  </pic:blipFill>
                  <pic:spPr bwMode="auto">
                    <a:xfrm>
                      <a:off x="0" y="0"/>
                      <a:ext cx="1115695" cy="75565"/>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We include payments to designated fuel suppliers as an operating activity in the consolidated statement of cash flows. Proceeds and payments related to fuel financing transactions are presented net as a financing activity in the consolidated statement of cash flows.</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91</w:t>
      </w:r>
    </w:p>
    <w:p>
      <w:pPr>
        <w:sectPr>
          <w:pgSz w:w="11880" w:h="15480" w:orient="portrait"/>
          <w:cols w:equalWidth="0" w:num="1">
            <w:col w:w="10680"/>
          </w:cols>
          <w:pgMar w:left="600" w:top="487" w:right="600" w:bottom="0" w:gutter="0" w:footer="0" w:header="0"/>
          <w:type w:val="continuous"/>
        </w:sectPr>
      </w:pPr>
    </w:p>
    <w:bookmarkStart w:id="92" w:name="page93"/>
    <w:bookmarkEnd w:id="92"/>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5" w:right="8040" w:firstLine="2"/>
        <w:spacing w:after="0" w:line="340" w:lineRule="auto"/>
        <w:tabs>
          <w:tab w:leader="none" w:pos="628" w:val="left"/>
        </w:tabs>
        <w:numPr>
          <w:ilvl w:val="0"/>
          <w:numId w:val="41"/>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 xml:space="preserve">Revenue Recognition </w:t>
      </w:r>
      <w:r>
        <w:rPr>
          <w:rFonts w:ascii="Arial" w:cs="Arial" w:eastAsia="Arial" w:hAnsi="Arial"/>
          <w:sz w:val="20"/>
          <w:szCs w:val="20"/>
          <w:i w:val="1"/>
          <w:iCs w:val="1"/>
          <w:u w:val="single" w:color="auto"/>
          <w:color w:val="00162F"/>
        </w:rPr>
        <w:t>Revenue</w:t>
      </w:r>
    </w:p>
    <w:p>
      <w:pPr>
        <w:ind w:left="265"/>
        <w:spacing w:after="0"/>
        <w:rPr>
          <w:rFonts w:ascii="Arial" w:cs="Arial" w:eastAsia="Arial" w:hAnsi="Arial"/>
          <w:sz w:val="20"/>
          <w:szCs w:val="20"/>
          <w:b w:val="1"/>
          <w:bCs w:val="1"/>
          <w:i w:val="1"/>
          <w:iCs w:val="1"/>
          <w:color w:val="00162F"/>
        </w:rPr>
      </w:pPr>
      <w:r>
        <w:rPr>
          <w:rFonts w:ascii="Arial" w:cs="Arial" w:eastAsia="Arial" w:hAnsi="Arial"/>
          <w:sz w:val="20"/>
          <w:szCs w:val="20"/>
          <w:color w:val="00162F"/>
        </w:rPr>
        <w:t>The following are the significant categories comprising our operating revenues (in millions):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3040" w:type="dxa"/>
            <w:vAlign w:val="bottom"/>
            <w:tcBorders>
              <w:bottom w:val="single" w:sz="8" w:color="00162F"/>
            </w:tcBorders>
            <w:gridSpan w:val="6"/>
          </w:tcPr>
          <w:p>
            <w:pPr>
              <w:jc w:val="right"/>
              <w:ind w:right="18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32"/>
        </w:trPr>
        <w:tc>
          <w:tcPr>
            <w:tcW w:w="1960" w:type="dxa"/>
            <w:vAlign w:val="bottom"/>
            <w:tcBorders>
              <w:bottom w:val="single" w:sz="8" w:color="EDEDED"/>
            </w:tcBorders>
          </w:tcPr>
          <w:p>
            <w:pPr>
              <w:spacing w:after="0"/>
              <w:rPr>
                <w:sz w:val="20"/>
                <w:szCs w:val="20"/>
                <w:color w:val="auto"/>
              </w:rPr>
            </w:pPr>
          </w:p>
        </w:tc>
        <w:tc>
          <w:tcPr>
            <w:tcW w:w="426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45"/>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63"/>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3"/>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Passenger revenue:</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r>
      <w:tr>
        <w:trPr>
          <w:trHeight w:val="293"/>
        </w:trPr>
        <w:tc>
          <w:tcPr>
            <w:tcW w:w="6220" w:type="dxa"/>
            <w:vAlign w:val="bottom"/>
            <w:gridSpan w:val="2"/>
          </w:tcPr>
          <w:p>
            <w:pPr>
              <w:ind w:left="260"/>
              <w:spacing w:after="0"/>
              <w:rPr>
                <w:sz w:val="20"/>
                <w:szCs w:val="20"/>
                <w:color w:val="auto"/>
              </w:rPr>
            </w:pPr>
            <w:r>
              <w:rPr>
                <w:rFonts w:ascii="Arial" w:cs="Arial" w:eastAsia="Arial" w:hAnsi="Arial"/>
                <w:sz w:val="20"/>
                <w:szCs w:val="20"/>
                <w:color w:val="00162F"/>
              </w:rPr>
              <w:t>Passenger travel</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45,607</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45,743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44,914</w:t>
            </w:r>
          </w:p>
        </w:tc>
      </w:tr>
      <w:tr>
        <w:trPr>
          <w:trHeight w:val="291"/>
        </w:trPr>
        <w:tc>
          <w:tcPr>
            <w:tcW w:w="622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Loyalty revenue - travel </w:t>
            </w:r>
            <w:r>
              <w:rPr>
                <w:rFonts w:ascii="Arial" w:cs="Arial" w:eastAsia="Arial" w:hAnsi="Arial"/>
                <w:sz w:val="12"/>
                <w:szCs w:val="12"/>
                <w:color w:val="00162F"/>
              </w:rPr>
              <w:t>(1)</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4,036</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3,843</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3,598</w:t>
            </w:r>
          </w:p>
        </w:tc>
      </w:tr>
      <w:tr>
        <w:trPr>
          <w:trHeight w:val="283"/>
        </w:trPr>
        <w:tc>
          <w:tcPr>
            <w:tcW w:w="6220" w:type="dxa"/>
            <w:vAlign w:val="bottom"/>
            <w:gridSpan w:val="2"/>
          </w:tcPr>
          <w:p>
            <w:pPr>
              <w:ind w:left="540"/>
              <w:spacing w:after="0"/>
              <w:rPr>
                <w:sz w:val="20"/>
                <w:szCs w:val="20"/>
                <w:color w:val="auto"/>
              </w:rPr>
            </w:pPr>
            <w:r>
              <w:rPr>
                <w:rFonts w:ascii="Arial" w:cs="Arial" w:eastAsia="Arial" w:hAnsi="Arial"/>
                <w:sz w:val="20"/>
                <w:szCs w:val="20"/>
                <w:color w:val="00162F"/>
              </w:rPr>
              <w:t>Total passenger revenue</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49,643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49,586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48,512</w:t>
            </w:r>
          </w:p>
        </w:tc>
      </w:tr>
      <w:tr>
        <w:trPr>
          <w:trHeight w:val="301"/>
        </w:trPr>
        <w:tc>
          <w:tcPr>
            <w:tcW w:w="62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Cargo</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839</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804</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812</w:t>
            </w:r>
          </w:p>
        </w:tc>
      </w:tr>
      <w:tr>
        <w:trPr>
          <w:trHeight w:val="293"/>
        </w:trPr>
        <w:tc>
          <w:tcPr>
            <w:tcW w:w="6220" w:type="dxa"/>
            <w:vAlign w:val="bottom"/>
            <w:gridSpan w:val="2"/>
          </w:tcPr>
          <w:p>
            <w:pPr>
              <w:ind w:left="40"/>
              <w:spacing w:after="0"/>
              <w:rPr>
                <w:sz w:val="20"/>
                <w:szCs w:val="20"/>
                <w:color w:val="auto"/>
              </w:rPr>
            </w:pPr>
            <w:r>
              <w:rPr>
                <w:rFonts w:ascii="Arial" w:cs="Arial" w:eastAsia="Arial" w:hAnsi="Arial"/>
                <w:sz w:val="20"/>
                <w:szCs w:val="20"/>
                <w:color w:val="00162F"/>
              </w:rPr>
              <w:t>Other:</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62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Loyalty revenue - marketing services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3,511</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3,257</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2,929</w:t>
            </w:r>
          </w:p>
        </w:tc>
      </w:tr>
      <w:tr>
        <w:trPr>
          <w:trHeight w:val="287"/>
        </w:trPr>
        <w:tc>
          <w:tcPr>
            <w:tcW w:w="6220" w:type="dxa"/>
            <w:vAlign w:val="bottom"/>
            <w:tcBorders>
              <w:bottom w:val="single" w:sz="8" w:color="EDEDED"/>
            </w:tcBorders>
            <w:gridSpan w:val="2"/>
          </w:tcPr>
          <w:p>
            <w:pPr>
              <w:ind w:left="260"/>
              <w:spacing w:after="0"/>
              <w:rPr>
                <w:sz w:val="20"/>
                <w:szCs w:val="20"/>
                <w:color w:val="auto"/>
              </w:rPr>
            </w:pPr>
            <w:r>
              <w:rPr>
                <w:rFonts w:ascii="Arial" w:cs="Arial" w:eastAsia="Arial" w:hAnsi="Arial"/>
                <w:sz w:val="20"/>
                <w:szCs w:val="20"/>
                <w:color w:val="00162F"/>
              </w:rPr>
              <w:t>Other revenue</w:t>
            </w: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640</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3"/>
              <w:spacing w:after="0"/>
              <w:rPr>
                <w:sz w:val="20"/>
                <w:szCs w:val="20"/>
                <w:color w:val="auto"/>
              </w:rPr>
            </w:pPr>
            <w:r>
              <w:rPr>
                <w:rFonts w:ascii="Arial" w:cs="Arial" w:eastAsia="Arial" w:hAnsi="Arial"/>
                <w:sz w:val="20"/>
                <w:szCs w:val="20"/>
                <w:color w:val="00162F"/>
              </w:rPr>
              <w:t>564</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535</w:t>
            </w:r>
          </w:p>
        </w:tc>
      </w:tr>
      <w:tr>
        <w:trPr>
          <w:trHeight w:val="277"/>
        </w:trPr>
        <w:tc>
          <w:tcPr>
            <w:tcW w:w="6220" w:type="dxa"/>
            <w:vAlign w:val="bottom"/>
            <w:tcBorders>
              <w:bottom w:val="single" w:sz="8" w:color="EDEDED"/>
            </w:tcBorders>
            <w:gridSpan w:val="2"/>
            <w:shd w:val="clear" w:color="auto" w:fill="EDEDED"/>
          </w:tcPr>
          <w:p>
            <w:pPr>
              <w:ind w:left="540"/>
              <w:spacing w:after="0"/>
              <w:rPr>
                <w:sz w:val="20"/>
                <w:szCs w:val="20"/>
                <w:color w:val="auto"/>
              </w:rPr>
            </w:pPr>
            <w:r>
              <w:rPr>
                <w:rFonts w:ascii="Arial" w:cs="Arial" w:eastAsia="Arial" w:hAnsi="Arial"/>
                <w:sz w:val="20"/>
                <w:szCs w:val="20"/>
                <w:color w:val="00162F"/>
              </w:rPr>
              <w:t>Total other revenue</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4,151</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3,821</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3,464</w:t>
            </w:r>
          </w:p>
        </w:tc>
      </w:tr>
      <w:tr>
        <w:trPr>
          <w:trHeight w:val="257"/>
        </w:trPr>
        <w:tc>
          <w:tcPr>
            <w:tcW w:w="6220" w:type="dxa"/>
            <w:vAlign w:val="bottom"/>
            <w:gridSpan w:val="2"/>
          </w:tcPr>
          <w:p>
            <w:pPr>
              <w:ind w:left="760"/>
              <w:spacing w:after="0"/>
              <w:rPr>
                <w:sz w:val="20"/>
                <w:szCs w:val="20"/>
                <w:color w:val="auto"/>
              </w:rPr>
            </w:pPr>
            <w:r>
              <w:rPr>
                <w:rFonts w:ascii="Arial" w:cs="Arial" w:eastAsia="Arial" w:hAnsi="Arial"/>
                <w:sz w:val="20"/>
                <w:szCs w:val="20"/>
                <w:color w:val="00162F"/>
              </w:rPr>
              <w:t>Total operating revenues</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54,633</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54,211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52,788</w:t>
            </w:r>
          </w:p>
        </w:tc>
      </w:tr>
      <w:tr>
        <w:trPr>
          <w:trHeight w:val="20"/>
        </w:trPr>
        <w:tc>
          <w:tcPr>
            <w:tcW w:w="19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1080" w:type="dxa"/>
            <w:vAlign w:val="bottom"/>
            <w:tcBorders>
              <w:top w:val="single" w:sz="8" w:color="00162F"/>
              <w:bottom w:val="single" w:sz="8" w:color="00162F"/>
            </w:tcBorders>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4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-2026285</wp:posOffset>
            </wp:positionV>
            <wp:extent cx="2887980" cy="501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6">
                      <a:extLst>
                        <a:ext uri="{28A0092B-C50C-407E-A947-70E740481C1C}"/>
                      </a:extLst>
                    </a:blip>
                    <a:srcRect/>
                    <a:stretch>
                      <a:fillRect/>
                    </a:stretch>
                  </pic:blipFill>
                  <pic:spPr bwMode="auto">
                    <a:xfrm>
                      <a:off x="0" y="0"/>
                      <a:ext cx="2887980" cy="5016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-1460500</wp:posOffset>
            </wp:positionV>
            <wp:extent cx="1948180" cy="50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7">
                      <a:extLst>
                        <a:ext uri="{28A0092B-C50C-407E-A947-70E740481C1C}"/>
                      </a:extLst>
                    </a:blip>
                    <a:srcRect/>
                    <a:stretch>
                      <a:fillRect/>
                    </a:stretch>
                  </pic:blipFill>
                  <pic:spPr bwMode="auto">
                    <a:xfrm>
                      <a:off x="0" y="0"/>
                      <a:ext cx="1948180" cy="5016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-518160</wp:posOffset>
            </wp:positionV>
            <wp:extent cx="1948180" cy="501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8">
                      <a:extLst>
                        <a:ext uri="{28A0092B-C50C-407E-A947-70E740481C1C}"/>
                      </a:extLst>
                    </a:blip>
                    <a:srcRect/>
                    <a:stretch>
                      <a:fillRect/>
                    </a:stretch>
                  </pic:blipFill>
                  <pic:spPr bwMode="auto">
                    <a:xfrm>
                      <a:off x="0" y="0"/>
                      <a:ext cx="1948180" cy="5016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-329565</wp:posOffset>
            </wp:positionV>
            <wp:extent cx="1948180"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9">
                      <a:extLst>
                        <a:ext uri="{28A0092B-C50C-407E-A947-70E740481C1C}"/>
                      </a:extLst>
                    </a:blip>
                    <a:srcRect/>
                    <a:stretch>
                      <a:fillRect/>
                    </a:stretch>
                  </pic:blipFill>
                  <pic:spPr bwMode="auto">
                    <a:xfrm>
                      <a:off x="0" y="0"/>
                      <a:ext cx="1948180" cy="5016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-153670</wp:posOffset>
            </wp:positionV>
            <wp:extent cx="1926590" cy="755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0">
                      <a:extLst>
                        <a:ext uri="{28A0092B-C50C-407E-A947-70E740481C1C}"/>
                      </a:extLst>
                    </a:blip>
                    <a:srcRect/>
                    <a:stretch>
                      <a:fillRect/>
                    </a:stretch>
                  </pic:blipFill>
                  <pic:spPr bwMode="auto">
                    <a:xfrm>
                      <a:off x="0" y="0"/>
                      <a:ext cx="1926590" cy="75565"/>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65" w:lineRule="auto"/>
        <w:tabs>
          <w:tab w:leader="none" w:pos="365" w:val="left"/>
        </w:tabs>
        <w:numPr>
          <w:ilvl w:val="0"/>
          <w:numId w:val="42"/>
        </w:numPr>
        <w:rPr>
          <w:rFonts w:ascii="Arial" w:cs="Arial" w:eastAsia="Arial" w:hAnsi="Arial"/>
          <w:sz w:val="13"/>
          <w:szCs w:val="13"/>
          <w:color w:val="00162F"/>
        </w:rPr>
      </w:pPr>
      <w:r>
        <w:rPr>
          <w:rFonts w:ascii="Arial" w:cs="Arial" w:eastAsia="Arial" w:hAnsi="Arial"/>
          <w:sz w:val="20"/>
          <w:szCs w:val="20"/>
          <w:color w:val="00162F"/>
        </w:rPr>
        <w:t>Loyalty revenue included in passenger revenue is principally comprised of mileage credit redemptions, which were earned from travel or co-branded credit card and other partners. See “</w:t>
      </w:r>
      <w:r>
        <w:rPr>
          <w:rFonts w:ascii="Arial" w:cs="Arial" w:eastAsia="Arial" w:hAnsi="Arial"/>
          <w:sz w:val="20"/>
          <w:szCs w:val="20"/>
          <w:i w:val="1"/>
          <w:iCs w:val="1"/>
          <w:color w:val="00162F"/>
        </w:rPr>
        <w:t>Loyalty Revenue</w:t>
      </w:r>
      <w:r>
        <w:rPr>
          <w:rFonts w:ascii="Arial" w:cs="Arial" w:eastAsia="Arial" w:hAnsi="Arial"/>
          <w:sz w:val="20"/>
          <w:szCs w:val="20"/>
          <w:color w:val="00162F"/>
        </w:rPr>
        <w:t>” below for further discussion on these mileage credits.</w:t>
      </w:r>
    </w:p>
    <w:p>
      <w:pPr>
        <w:spacing w:after="0" w:line="129"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The following is our total passenger revenue by geographic region (in millions):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3040" w:type="dxa"/>
            <w:vAlign w:val="bottom"/>
            <w:tcBorders>
              <w:bottom w:val="single" w:sz="8" w:color="00162F"/>
            </w:tcBorders>
            <w:gridSpan w:val="6"/>
          </w:tcPr>
          <w:p>
            <w:pPr>
              <w:jc w:val="right"/>
              <w:ind w:right="81"/>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47"/>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64"/>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Domestic</w:t>
            </w:r>
          </w:p>
        </w:tc>
        <w:tc>
          <w:tcPr>
            <w:tcW w:w="340" w:type="dxa"/>
            <w:vAlign w:val="bottom"/>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35,201</w:t>
            </w:r>
          </w:p>
        </w:tc>
        <w:tc>
          <w:tcPr>
            <w:tcW w:w="420" w:type="dxa"/>
            <w:vAlign w:val="bottom"/>
            <w:gridSpan w:val="2"/>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35,336</w:t>
            </w:r>
          </w:p>
        </w:tc>
        <w:tc>
          <w:tcPr>
            <w:tcW w:w="420" w:type="dxa"/>
            <w:vAlign w:val="bottom"/>
            <w:gridSpan w:val="2"/>
            <w:shd w:val="clear" w:color="auto" w:fill="EDEDED"/>
          </w:tcPr>
          <w:p>
            <w:pPr>
              <w:jc w:val="right"/>
              <w:ind w:right="101"/>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34,592</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Latin America</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6,444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6,560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6,719</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Atlantic</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6,583</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6,445</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6,205</w:t>
            </w:r>
          </w:p>
        </w:tc>
      </w:tr>
      <w:tr>
        <w:trPr>
          <w:trHeight w:val="287"/>
        </w:trPr>
        <w:tc>
          <w:tcPr>
            <w:tcW w:w="622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Pacific</w:t>
            </w: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1,415</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4"/>
              <w:spacing w:after="0"/>
              <w:rPr>
                <w:sz w:val="20"/>
                <w:szCs w:val="20"/>
                <w:color w:val="auto"/>
              </w:rPr>
            </w:pPr>
            <w:r>
              <w:rPr>
                <w:rFonts w:ascii="Arial" w:cs="Arial" w:eastAsia="Arial" w:hAnsi="Arial"/>
                <w:sz w:val="20"/>
                <w:szCs w:val="20"/>
                <w:color w:val="00162F"/>
              </w:rPr>
              <w:t>1,245</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996</w:t>
            </w:r>
          </w:p>
        </w:tc>
      </w:tr>
      <w:tr>
        <w:trPr>
          <w:trHeight w:val="297"/>
        </w:trPr>
        <w:tc>
          <w:tcPr>
            <w:tcW w:w="622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Total passenger revenue</w:t>
            </w:r>
          </w:p>
        </w:tc>
        <w:tc>
          <w:tcPr>
            <w:tcW w:w="340" w:type="dxa"/>
            <w:vAlign w:val="bottom"/>
            <w:tcBorders>
              <w:bottom w:val="single" w:sz="8" w:color="00162F"/>
            </w:tcBorders>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49,643</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ind w:right="4"/>
              <w:spacing w:after="0"/>
              <w:rPr>
                <w:sz w:val="20"/>
                <w:szCs w:val="20"/>
                <w:color w:val="auto"/>
              </w:rPr>
            </w:pPr>
            <w:r>
              <w:rPr>
                <w:rFonts w:ascii="Arial" w:cs="Arial" w:eastAsia="Arial" w:hAnsi="Arial"/>
                <w:sz w:val="20"/>
                <w:szCs w:val="20"/>
                <w:color w:val="00162F"/>
              </w:rPr>
              <w:t>49,586</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jc w:val="right"/>
              <w:ind w:right="101"/>
              <w:spacing w:after="0"/>
              <w:rPr>
                <w:sz w:val="20"/>
                <w:szCs w:val="20"/>
                <w:color w:val="auto"/>
              </w:rPr>
            </w:pPr>
            <w:r>
              <w:rPr>
                <w:rFonts w:ascii="Arial" w:cs="Arial" w:eastAsia="Arial" w:hAnsi="Arial"/>
                <w:sz w:val="20"/>
                <w:szCs w:val="20"/>
                <w:color w:val="00162F"/>
              </w:rPr>
              <w:t>$</w:t>
            </w: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48,512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-986155</wp:posOffset>
            </wp:positionV>
            <wp:extent cx="2887980" cy="50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1">
                      <a:extLst>
                        <a:ext uri="{28A0092B-C50C-407E-A947-70E740481C1C}"/>
                      </a:extLst>
                    </a:blip>
                    <a:srcRect/>
                    <a:stretch>
                      <a:fillRect/>
                    </a:stretch>
                  </pic:blipFill>
                  <pic:spPr bwMode="auto">
                    <a:xfrm>
                      <a:off x="0" y="0"/>
                      <a:ext cx="2887980" cy="5016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-231775</wp:posOffset>
            </wp:positionV>
            <wp:extent cx="1948180" cy="50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2">
                      <a:extLst>
                        <a:ext uri="{28A0092B-C50C-407E-A947-70E740481C1C}"/>
                      </a:extLst>
                    </a:blip>
                    <a:srcRect/>
                    <a:stretch>
                      <a:fillRect/>
                    </a:stretch>
                  </pic:blipFill>
                  <pic:spPr bwMode="auto">
                    <a:xfrm>
                      <a:off x="0" y="0"/>
                      <a:ext cx="1948180" cy="5016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-55880</wp:posOffset>
            </wp:positionV>
            <wp:extent cx="2887980" cy="755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3">
                      <a:extLst>
                        <a:ext uri="{28A0092B-C50C-407E-A947-70E740481C1C}"/>
                      </a:extLst>
                    </a:blip>
                    <a:srcRect/>
                    <a:stretch>
                      <a:fillRect/>
                    </a:stretch>
                  </pic:blipFill>
                  <pic:spPr bwMode="auto">
                    <a:xfrm>
                      <a:off x="0" y="0"/>
                      <a:ext cx="2887980" cy="75565"/>
                    </a:xfrm>
                    <a:prstGeom prst="rect">
                      <a:avLst/>
                    </a:prstGeom>
                    <a:noFill/>
                  </pic:spPr>
                </pic:pic>
              </a:graphicData>
            </a:graphic>
          </wp:anchor>
        </w:drawing>
      </w:r>
    </w:p>
    <w:p>
      <w:pPr>
        <w:spacing w:after="0" w:line="172"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We attribute passenger revenue by geographic region based upon the origin and destination of each flight segment.</w:t>
      </w:r>
    </w:p>
    <w:p>
      <w:pPr>
        <w:spacing w:after="0" w:line="274" w:lineRule="exact"/>
        <w:rPr>
          <w:sz w:val="20"/>
          <w:szCs w:val="20"/>
          <w:color w:val="auto"/>
        </w:rPr>
      </w:pPr>
    </w:p>
    <w:p>
      <w:pPr>
        <w:ind w:left="265"/>
        <w:spacing w:after="0"/>
        <w:rPr>
          <w:sz w:val="20"/>
          <w:szCs w:val="20"/>
          <w:color w:val="auto"/>
        </w:rPr>
      </w:pPr>
      <w:r>
        <w:rPr>
          <w:rFonts w:ascii="Arial" w:cs="Arial" w:eastAsia="Arial" w:hAnsi="Arial"/>
          <w:sz w:val="20"/>
          <w:szCs w:val="20"/>
          <w:b w:val="1"/>
          <w:bCs w:val="1"/>
          <w:color w:val="00162F"/>
        </w:rPr>
        <w:t>Passenger Revenue</w:t>
      </w:r>
    </w:p>
    <w:p>
      <w:pPr>
        <w:spacing w:after="0" w:line="97"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We recognize all revenues generated from transportation on American and our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American Eagle and partner airlines.</w:t>
      </w:r>
    </w:p>
    <w:p>
      <w:pPr>
        <w:spacing w:after="0" w:line="139" w:lineRule="exact"/>
        <w:rPr>
          <w:sz w:val="20"/>
          <w:szCs w:val="20"/>
          <w:color w:val="auto"/>
        </w:rPr>
      </w:pPr>
    </w:p>
    <w:p>
      <w:pPr>
        <w:jc w:val="both"/>
        <w:ind w:left="5" w:firstLine="267"/>
        <w:spacing w:after="0" w:line="254" w:lineRule="auto"/>
        <w:rPr>
          <w:sz w:val="20"/>
          <w:szCs w:val="20"/>
          <w:color w:val="auto"/>
        </w:rPr>
      </w:pPr>
      <w:r>
        <w:rPr>
          <w:rFonts w:ascii="Arial" w:cs="Arial" w:eastAsia="Arial" w:hAnsi="Arial"/>
          <w:sz w:val="20"/>
          <w:szCs w:val="20"/>
          <w:color w:val="00162F"/>
        </w:rPr>
        <w:t>The majority of tickets sold are nonrefundable. A small percentage of tickets, some of which are partially used tickets, expire unused. The estimate for tickets expected to expire unused is generally based on an analysis of our historical data and other current applicable factors such as policy changes. We have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143"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Various taxes and fees assessed on the sale of tickets to end customers are collected by us as an agent and remitted to taxing authorities. These taxes and fees have been presented on a net basis in the accompanying consolidated statements of operations and recorded as a liability until remitted to the appropriate taxing authority.</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92</w:t>
      </w:r>
    </w:p>
    <w:p>
      <w:pPr>
        <w:sectPr>
          <w:pgSz w:w="11880" w:h="15480" w:orient="portrait"/>
          <w:cols w:equalWidth="0" w:num="1">
            <w:col w:w="10685"/>
          </w:cols>
          <w:pgMar w:left="595" w:top="487" w:right="600" w:bottom="0" w:gutter="0" w:footer="0" w:header="0"/>
          <w:type w:val="continuous"/>
        </w:sectPr>
      </w:pPr>
    </w:p>
    <w:bookmarkStart w:id="93" w:name="page94"/>
    <w:bookmarkEnd w:id="93"/>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0162F"/>
        </w:rPr>
        <w:t>Loyalty Revenue</w:t>
      </w:r>
    </w:p>
    <w:p>
      <w:pPr>
        <w:spacing w:after="0" w:line="97"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We currently operate the loyalty program, AAdvantage</w:t>
      </w:r>
      <w:r>
        <w:rPr>
          <w:rFonts w:ascii="Arial" w:cs="Arial" w:eastAsia="Arial" w:hAnsi="Arial"/>
          <w:sz w:val="12"/>
          <w:szCs w:val="12"/>
          <w:color w:val="00162F"/>
        </w:rPr>
        <w:t>®</w:t>
      </w:r>
      <w:r>
        <w:rPr>
          <w:rFonts w:ascii="Arial" w:cs="Arial" w:eastAsia="Arial" w:hAnsi="Arial"/>
          <w:sz w:val="20"/>
          <w:szCs w:val="20"/>
          <w:color w:val="00162F"/>
        </w:rPr>
        <w:t xml:space="preserve">. This program awards mileage credits to passengers who fly on American, American Eagle, any </w:t>
      </w:r>
      <w:r>
        <w:rPr>
          <w:rFonts w:ascii="Arial" w:cs="Arial" w:eastAsia="Arial" w:hAnsi="Arial"/>
          <w:sz w:val="20"/>
          <w:szCs w:val="20"/>
          <w:b w:val="1"/>
          <w:bCs w:val="1"/>
          <w:color w:val="00162F"/>
        </w:rPr>
        <w:t>one</w:t>
      </w:r>
      <w:r>
        <w:rPr>
          <w:rFonts w:ascii="Arial" w:cs="Arial" w:eastAsia="Arial" w:hAnsi="Arial"/>
          <w:sz w:val="20"/>
          <w:szCs w:val="20"/>
          <w:color w:val="00162F"/>
        </w:rPr>
        <w:t>world airline or other partner airlines, or by using the services of other program participants, such as our co-branded credit cards, and certain hotels and car rental companies. Mileage credits can be redeemed for travel on American, American Eagle and other participating partner airlines, as well as for other non-air travel awards such as car rentals, hotel stays, cruises and retail goods from program partners. For mileage credits earned by AAdvantage program members, we apply the deferred revenue method.</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00162F"/>
        </w:rPr>
        <w:t>Mileage credits earned through travel</w:t>
      </w:r>
    </w:p>
    <w:p>
      <w:pPr>
        <w:spacing w:after="0" w:line="95"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cash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00162F"/>
        </w:rPr>
        <w:t>Mileage credits sold to co-branded credit card and other partners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We sell mileage credits to participating airline partners and non-airline business partners, including our co-branded credit card partner, under contracts with remaining terms generally from one to 10 years as of December 31, 2025. Consideration received from the sale of mileage credits is predominantly variable and payment terms typically are within 30 days subsequent to the month of mileage sale. Sales of mileage credits to co-branded credit card and non-airline business partners are comprised of two revenue elements: a transportation component and a marketing component. We allocate the consideration received from these sales of mileage credits based on the relative selling price of each product or service delivered.</w:t>
      </w:r>
    </w:p>
    <w:p>
      <w:pPr>
        <w:spacing w:after="0" w:line="144"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Our most significant mileage credit partner agreement is our co-branded credit card agreement with Citibank N.A. (Citi). In December 2024, we announced a 10-year agreement with Citi and Citi became the exclusive issuer of the AAdvantage co-branded credit card portfolio in the U.S. starting in 2026.</w:t>
      </w:r>
    </w:p>
    <w:p>
      <w:pPr>
        <w:spacing w:after="0" w:line="12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36"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The marketing component includes the use of intellectual property, including the American brand and access to loyalty program member lists, which is the predominant element in these agreements, as well as advertising and other travel-related benefits. We recognize the marketing component in other revenue in the period of the mileage credit sale following the sales-based royalty method.</w:t>
      </w:r>
    </w:p>
    <w:p>
      <w:pPr>
        <w:spacing w:after="0" w:line="136"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For the portion of our outstanding mileage credits that we estimate will not be redeemed, we recognize the associated value proportionally as the remaining mileage credits are redeemed. Our estimates use a statistical model based on historical redemption patterns to develop an estimate of the likelihood of future redemption.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0162F"/>
        </w:rPr>
        <w:t>Cargo Revenue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Cargo revenue is recognized when we provide the transportation.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0162F"/>
        </w:rPr>
        <w:t>Other Revenue</w:t>
      </w:r>
    </w:p>
    <w:p>
      <w:pPr>
        <w:spacing w:after="0" w:line="97"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Other revenue includes revenue associated with our loyalty program, which is comprised principally of the marketing component of mileage credit sales to co-branded credit card and other partners and other marketing related payments. The accounting and recognition for the loyalty program marketing services are discussed above in “</w:t>
      </w:r>
      <w:r>
        <w:rPr>
          <w:rFonts w:ascii="Arial" w:cs="Arial" w:eastAsia="Arial" w:hAnsi="Arial"/>
          <w:sz w:val="20"/>
          <w:szCs w:val="20"/>
          <w:i w:val="1"/>
          <w:iCs w:val="1"/>
          <w:color w:val="00162F"/>
        </w:rPr>
        <w:t>Loyalty Revenue</w:t>
      </w:r>
      <w:r>
        <w:rPr>
          <w:rFonts w:ascii="Arial" w:cs="Arial" w:eastAsia="Arial" w:hAnsi="Arial"/>
          <w:sz w:val="20"/>
          <w:szCs w:val="20"/>
          <w:color w:val="00162F"/>
        </w:rPr>
        <w:t>.” The remaining amounts included within other revenue relate to airport clubs, other commission revenue, advertising and vacation-related services.</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93</w:t>
      </w:r>
    </w:p>
    <w:p>
      <w:pPr>
        <w:sectPr>
          <w:pgSz w:w="11880" w:h="15480" w:orient="portrait"/>
          <w:cols w:equalWidth="0" w:num="1">
            <w:col w:w="10680"/>
          </w:cols>
          <w:pgMar w:left="600" w:top="487" w:right="600" w:bottom="0" w:gutter="0" w:footer="0" w:header="0"/>
          <w:type w:val="continuous"/>
        </w:sectPr>
      </w:pPr>
    </w:p>
    <w:bookmarkStart w:id="94" w:name="page95"/>
    <w:bookmarkEnd w:id="94"/>
    <w:p>
      <w:pPr>
        <w:ind w:left="925"/>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5"/>
        <w:spacing w:after="0"/>
        <w:rPr>
          <w:sz w:val="20"/>
          <w:szCs w:val="20"/>
          <w:color w:val="auto"/>
        </w:rPr>
      </w:pPr>
      <w:r>
        <w:rPr>
          <w:rFonts w:ascii="Arial" w:cs="Arial" w:eastAsia="Arial" w:hAnsi="Arial"/>
          <w:sz w:val="20"/>
          <w:szCs w:val="20"/>
          <w:i w:val="1"/>
          <w:iCs w:val="1"/>
          <w:u w:val="single" w:color="auto"/>
          <w:color w:val="00162F"/>
        </w:rPr>
        <w:t>Contract Balances</w:t>
      </w:r>
    </w:p>
    <w:p>
      <w:pPr>
        <w:spacing w:after="0" w:line="95"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Our significant contract liabilities are comprised of (1) outstanding loyalty program mileage credits that may be redeemed for future air travel, non-air travel and other awards, reported as loyalty program liability on our consolidated balance sheets and (2) ticket sales for transportation that has not yet been provided, reported as air traffic liability on our consolidated balance sheets.</w:t>
      </w:r>
    </w:p>
    <w:p>
      <w:pPr>
        <w:spacing w:after="0" w:line="14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400" w:type="dxa"/>
            <w:vAlign w:val="bottom"/>
            <w:tcBorders>
              <w:bottom w:val="single" w:sz="8" w:color="00162F"/>
            </w:tcBorders>
          </w:tcPr>
          <w:p>
            <w:pPr>
              <w:spacing w:after="0"/>
              <w:rPr>
                <w:sz w:val="18"/>
                <w:szCs w:val="18"/>
                <w:color w:val="auto"/>
              </w:rPr>
            </w:pPr>
          </w:p>
        </w:tc>
        <w:tc>
          <w:tcPr>
            <w:tcW w:w="1920" w:type="dxa"/>
            <w:vAlign w:val="bottom"/>
            <w:tcBorders>
              <w:bottom w:val="single" w:sz="8" w:color="00162F"/>
            </w:tcBorders>
            <w:gridSpan w:val="3"/>
          </w:tcPr>
          <w:p>
            <w:pPr>
              <w:jc w:val="right"/>
              <w:ind w:right="1"/>
              <w:spacing w:after="0"/>
              <w:rPr>
                <w:sz w:val="20"/>
                <w:szCs w:val="20"/>
                <w:color w:val="auto"/>
              </w:rPr>
            </w:pPr>
            <w:r>
              <w:rPr>
                <w:rFonts w:ascii="Arial" w:cs="Arial" w:eastAsia="Arial" w:hAnsi="Arial"/>
                <w:sz w:val="16"/>
                <w:szCs w:val="16"/>
                <w:b w:val="1"/>
                <w:bCs w:val="1"/>
                <w:color w:val="00162F"/>
              </w:rPr>
              <w:t>December 31,</w:t>
            </w:r>
          </w:p>
        </w:tc>
        <w:tc>
          <w:tcPr>
            <w:tcW w:w="1100" w:type="dxa"/>
            <w:vAlign w:val="bottom"/>
            <w:tcBorders>
              <w:bottom w:val="single" w:sz="8" w:color="00162F"/>
            </w:tcBorders>
          </w:tcPr>
          <w:p>
            <w:pPr>
              <w:spacing w:after="0"/>
              <w:rPr>
                <w:sz w:val="18"/>
                <w:szCs w:val="18"/>
                <w:color w:val="auto"/>
              </w:rPr>
            </w:pPr>
          </w:p>
        </w:tc>
      </w:tr>
      <w:tr>
        <w:trPr>
          <w:trHeight w:val="232"/>
        </w:trPr>
        <w:tc>
          <w:tcPr>
            <w:tcW w:w="7260" w:type="dxa"/>
            <w:vAlign w:val="bottom"/>
          </w:tcPr>
          <w:p>
            <w:pPr>
              <w:spacing w:after="0"/>
              <w:rPr>
                <w:sz w:val="20"/>
                <w:szCs w:val="20"/>
                <w:color w:val="auto"/>
              </w:rPr>
            </w:pPr>
          </w:p>
        </w:tc>
        <w:tc>
          <w:tcPr>
            <w:tcW w:w="400" w:type="dxa"/>
            <w:vAlign w:val="bottom"/>
            <w:tcBorders>
              <w:bottom w:val="single" w:sz="8" w:color="00162F"/>
            </w:tcBorders>
          </w:tcPr>
          <w:p>
            <w:pPr>
              <w:spacing w:after="0"/>
              <w:rPr>
                <w:sz w:val="20"/>
                <w:szCs w:val="20"/>
                <w:color w:val="auto"/>
              </w:rPr>
            </w:pPr>
          </w:p>
        </w:tc>
        <w:tc>
          <w:tcPr>
            <w:tcW w:w="1280" w:type="dxa"/>
            <w:vAlign w:val="bottom"/>
            <w:tcBorders>
              <w:bottom w:val="single" w:sz="8" w:color="00162F"/>
            </w:tcBorders>
          </w:tcPr>
          <w:p>
            <w:pPr>
              <w:jc w:val="right"/>
              <w:ind w:right="591"/>
              <w:spacing w:after="0"/>
              <w:rPr>
                <w:sz w:val="20"/>
                <w:szCs w:val="20"/>
                <w:color w:val="auto"/>
              </w:rPr>
            </w:pPr>
            <w:r>
              <w:rPr>
                <w:rFonts w:ascii="Arial" w:cs="Arial" w:eastAsia="Arial" w:hAnsi="Arial"/>
                <w:sz w:val="16"/>
                <w:szCs w:val="16"/>
                <w:b w:val="1"/>
                <w:bCs w:val="1"/>
                <w:color w:val="00162F"/>
              </w:rPr>
              <w:t>2025</w:t>
            </w:r>
          </w:p>
        </w:tc>
        <w:tc>
          <w:tcPr>
            <w:tcW w:w="60" w:type="dxa"/>
            <w:vAlign w:val="bottom"/>
          </w:tcPr>
          <w:p>
            <w:pPr>
              <w:spacing w:after="0"/>
              <w:rPr>
                <w:sz w:val="20"/>
                <w:szCs w:val="20"/>
                <w:color w:val="auto"/>
              </w:rPr>
            </w:pPr>
          </w:p>
        </w:tc>
        <w:tc>
          <w:tcPr>
            <w:tcW w:w="5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566"/>
              <w:spacing w:after="0"/>
              <w:rPr>
                <w:sz w:val="20"/>
                <w:szCs w:val="20"/>
                <w:color w:val="auto"/>
              </w:rPr>
            </w:pPr>
            <w:r>
              <w:rPr>
                <w:rFonts w:ascii="Arial" w:cs="Arial" w:eastAsia="Arial" w:hAnsi="Arial"/>
                <w:sz w:val="16"/>
                <w:szCs w:val="16"/>
                <w:b w:val="1"/>
                <w:bCs w:val="1"/>
                <w:color w:val="00162F"/>
              </w:rPr>
              <w:t>2024</w:t>
            </w:r>
          </w:p>
        </w:tc>
      </w:tr>
      <w:tr>
        <w:trPr>
          <w:trHeight w:val="270"/>
        </w:trPr>
        <w:tc>
          <w:tcPr>
            <w:tcW w:w="7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20" w:type="dxa"/>
            <w:vAlign w:val="bottom"/>
            <w:gridSpan w:val="3"/>
          </w:tcPr>
          <w:p>
            <w:pPr>
              <w:jc w:val="right"/>
              <w:ind w:right="41"/>
              <w:spacing w:after="0"/>
              <w:rPr>
                <w:sz w:val="20"/>
                <w:szCs w:val="20"/>
                <w:color w:val="auto"/>
              </w:rPr>
            </w:pPr>
            <w:r>
              <w:rPr>
                <w:rFonts w:ascii="Arial" w:cs="Arial" w:eastAsia="Arial" w:hAnsi="Arial"/>
                <w:sz w:val="16"/>
                <w:szCs w:val="16"/>
                <w:b w:val="1"/>
                <w:bCs w:val="1"/>
                <w:color w:val="00162F"/>
              </w:rPr>
              <w:t>(In millions)</w:t>
            </w:r>
          </w:p>
        </w:tc>
        <w:tc>
          <w:tcPr>
            <w:tcW w:w="1100" w:type="dxa"/>
            <w:vAlign w:val="bottom"/>
          </w:tcPr>
          <w:p>
            <w:pPr>
              <w:spacing w:after="0"/>
              <w:rPr>
                <w:sz w:val="23"/>
                <w:szCs w:val="23"/>
                <w:color w:val="auto"/>
              </w:rPr>
            </w:pPr>
          </w:p>
        </w:tc>
      </w:tr>
      <w:tr>
        <w:trPr>
          <w:trHeight w:val="285"/>
        </w:trPr>
        <w:tc>
          <w:tcPr>
            <w:tcW w:w="72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Loyalty program liability</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10,564</w:t>
            </w:r>
          </w:p>
        </w:tc>
        <w:tc>
          <w:tcPr>
            <w:tcW w:w="640" w:type="dxa"/>
            <w:vAlign w:val="bottom"/>
            <w:gridSpan w:val="2"/>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10,054</w:t>
            </w:r>
          </w:p>
        </w:tc>
      </w:tr>
      <w:tr>
        <w:trPr>
          <w:trHeight w:val="272"/>
        </w:trPr>
        <w:tc>
          <w:tcPr>
            <w:tcW w:w="726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Air traffic liability</w:t>
            </w:r>
          </w:p>
        </w:tc>
        <w:tc>
          <w:tcPr>
            <w:tcW w:w="400" w:type="dxa"/>
            <w:vAlign w:val="bottom"/>
            <w:tcBorders>
              <w:bottom w:val="single" w:sz="8" w:color="00162F"/>
            </w:tcBorders>
          </w:tcPr>
          <w:p>
            <w:pPr>
              <w:spacing w:after="0"/>
              <w:rPr>
                <w:sz w:val="23"/>
                <w:szCs w:val="23"/>
                <w:color w:val="auto"/>
              </w:rPr>
            </w:pPr>
          </w:p>
        </w:tc>
        <w:tc>
          <w:tcPr>
            <w:tcW w:w="12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7,158</w:t>
            </w:r>
          </w:p>
        </w:tc>
        <w:tc>
          <w:tcPr>
            <w:tcW w:w="60" w:type="dxa"/>
            <w:vAlign w:val="bottom"/>
            <w:tcBorders>
              <w:bottom w:val="single" w:sz="8" w:color="EDEDED"/>
            </w:tcBorders>
          </w:tcPr>
          <w:p>
            <w:pPr>
              <w:spacing w:after="0"/>
              <w:rPr>
                <w:sz w:val="23"/>
                <w:szCs w:val="23"/>
                <w:color w:val="auto"/>
              </w:rPr>
            </w:pPr>
          </w:p>
        </w:tc>
        <w:tc>
          <w:tcPr>
            <w:tcW w:w="580" w:type="dxa"/>
            <w:vAlign w:val="bottom"/>
            <w:tcBorders>
              <w:bottom w:val="single" w:sz="8" w:color="00162F"/>
            </w:tcBorders>
          </w:tcPr>
          <w:p>
            <w:pPr>
              <w:spacing w:after="0"/>
              <w:rPr>
                <w:sz w:val="23"/>
                <w:szCs w:val="23"/>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6,759</w:t>
            </w:r>
          </w:p>
        </w:tc>
      </w:tr>
      <w:tr>
        <w:trPr>
          <w:trHeight w:val="282"/>
        </w:trPr>
        <w:tc>
          <w:tcPr>
            <w:tcW w:w="726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Total</w:t>
            </w:r>
          </w:p>
        </w:tc>
        <w:tc>
          <w:tcPr>
            <w:tcW w:w="400" w:type="dxa"/>
            <w:vAlign w:val="bottom"/>
            <w:tcBorders>
              <w:bottom w:val="single" w:sz="8" w:color="00162F"/>
            </w:tcBorders>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17,722</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16,813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-760095</wp:posOffset>
            </wp:positionV>
            <wp:extent cx="97155" cy="56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4">
                      <a:extLst>
                        <a:ext uri="{28A0092B-C50C-407E-A947-70E740481C1C}"/>
                      </a:extLst>
                    </a:blip>
                    <a:srcRect/>
                    <a:stretch>
                      <a:fillRect/>
                    </a:stretch>
                  </pic:blipFill>
                  <pic:spPr bwMode="auto">
                    <a:xfrm>
                      <a:off x="0" y="0"/>
                      <a:ext cx="97155" cy="5651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-222250</wp:posOffset>
            </wp:positionV>
            <wp:extent cx="1137920" cy="501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5">
                      <a:extLst>
                        <a:ext uri="{28A0092B-C50C-407E-A947-70E740481C1C}"/>
                      </a:extLst>
                    </a:blip>
                    <a:srcRect/>
                    <a:stretch>
                      <a:fillRect/>
                    </a:stretch>
                  </pic:blipFill>
                  <pic:spPr bwMode="auto">
                    <a:xfrm>
                      <a:off x="0" y="0"/>
                      <a:ext cx="1137920" cy="5016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-55880</wp:posOffset>
            </wp:positionV>
            <wp:extent cx="2228215" cy="755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6">
                      <a:extLst>
                        <a:ext uri="{28A0092B-C50C-407E-A947-70E740481C1C}"/>
                      </a:extLst>
                    </a:blip>
                    <a:srcRect/>
                    <a:stretch>
                      <a:fillRect/>
                    </a:stretch>
                  </pic:blipFill>
                  <pic:spPr bwMode="auto">
                    <a:xfrm>
                      <a:off x="0" y="0"/>
                      <a:ext cx="2228215" cy="75565"/>
                    </a:xfrm>
                    <a:prstGeom prst="rect">
                      <a:avLst/>
                    </a:prstGeom>
                    <a:noFill/>
                  </pic:spPr>
                </pic:pic>
              </a:graphicData>
            </a:graphic>
          </wp:anchor>
        </w:drawing>
      </w:r>
    </w:p>
    <w:p>
      <w:pPr>
        <w:spacing w:after="0" w:line="172"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84" w:lineRule="exact"/>
        <w:rPr>
          <w:sz w:val="20"/>
          <w:szCs w:val="20"/>
          <w:color w:val="auto"/>
        </w:rPr>
      </w:pPr>
    </w:p>
    <w:tbl>
      <w:tblPr>
        <w:tblLayout w:type="fixed"/>
        <w:tblInd w:w="5" w:type="dxa"/>
        <w:tblCellMar>
          <w:top w:w="0" w:type="dxa"/>
          <w:left w:w="0" w:type="dxa"/>
          <w:bottom w:w="0" w:type="dxa"/>
          <w:right w:w="0" w:type="dxa"/>
        </w:tblCellMar>
      </w:tblPr>
      <w:tr>
        <w:trPr>
          <w:trHeight w:val="282"/>
        </w:trPr>
        <w:tc>
          <w:tcPr>
            <w:tcW w:w="9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Balance at December 31, 2024</w:t>
            </w:r>
          </w:p>
        </w:tc>
        <w:tc>
          <w:tcPr>
            <w:tcW w:w="580" w:type="dxa"/>
            <w:vAlign w:val="bottom"/>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10,054</w:t>
            </w:r>
          </w:p>
        </w:tc>
      </w:tr>
      <w:tr>
        <w:trPr>
          <w:trHeight w:val="278"/>
        </w:trPr>
        <w:tc>
          <w:tcPr>
            <w:tcW w:w="9000" w:type="dxa"/>
            <w:vAlign w:val="bottom"/>
            <w:gridSpan w:val="2"/>
          </w:tcPr>
          <w:p>
            <w:pPr>
              <w:ind w:left="260"/>
              <w:spacing w:after="0"/>
              <w:rPr>
                <w:sz w:val="20"/>
                <w:szCs w:val="20"/>
                <w:color w:val="auto"/>
              </w:rPr>
            </w:pPr>
            <w:r>
              <w:rPr>
                <w:rFonts w:ascii="Arial" w:cs="Arial" w:eastAsia="Arial" w:hAnsi="Arial"/>
                <w:sz w:val="20"/>
                <w:szCs w:val="20"/>
                <w:color w:val="00162F"/>
              </w:rPr>
              <w:t>Deferral of revenue</w:t>
            </w: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4,445</w:t>
            </w:r>
          </w:p>
        </w:tc>
      </w:tr>
      <w:tr>
        <w:trPr>
          <w:trHeight w:val="296"/>
        </w:trPr>
        <w:tc>
          <w:tcPr>
            <w:tcW w:w="900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Recognition of revenue </w:t>
            </w:r>
            <w:r>
              <w:rPr>
                <w:rFonts w:ascii="Arial" w:cs="Arial" w:eastAsia="Arial" w:hAnsi="Arial"/>
                <w:sz w:val="12"/>
                <w:szCs w:val="12"/>
                <w:color w:val="00162F"/>
              </w:rPr>
              <w:t>(1)</w:t>
            </w:r>
          </w:p>
        </w:tc>
        <w:tc>
          <w:tcPr>
            <w:tcW w:w="58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(3,935)</w:t>
            </w:r>
          </w:p>
        </w:tc>
      </w:tr>
      <w:tr>
        <w:trPr>
          <w:trHeight w:val="222"/>
        </w:trPr>
        <w:tc>
          <w:tcPr>
            <w:tcW w:w="9000" w:type="dxa"/>
            <w:vAlign w:val="bottom"/>
            <w:gridSpan w:val="2"/>
          </w:tcPr>
          <w:p>
            <w:pPr>
              <w:ind w:left="40"/>
              <w:spacing w:after="0" w:line="222" w:lineRule="exact"/>
              <w:rPr>
                <w:sz w:val="20"/>
                <w:szCs w:val="20"/>
                <w:color w:val="auto"/>
              </w:rPr>
            </w:pPr>
            <w:r>
              <w:rPr>
                <w:rFonts w:ascii="Arial" w:cs="Arial" w:eastAsia="Arial" w:hAnsi="Arial"/>
                <w:sz w:val="20"/>
                <w:szCs w:val="20"/>
                <w:color w:val="00162F"/>
              </w:rPr>
              <w:t xml:space="preserve">Balance at December 31, 2025 </w:t>
            </w:r>
            <w:r>
              <w:rPr>
                <w:rFonts w:ascii="Arial" w:cs="Arial" w:eastAsia="Arial" w:hAnsi="Arial"/>
                <w:sz w:val="12"/>
                <w:szCs w:val="12"/>
                <w:color w:val="00162F"/>
              </w:rPr>
              <w:t>(2)</w:t>
            </w:r>
          </w:p>
        </w:tc>
        <w:tc>
          <w:tcPr>
            <w:tcW w:w="580" w:type="dxa"/>
            <w:vAlign w:val="bottom"/>
            <w:tcBorders>
              <w:bottom w:val="single" w:sz="8" w:color="00162F"/>
            </w:tcBorders>
          </w:tcPr>
          <w:p>
            <w:pPr>
              <w:jc w:val="right"/>
              <w:ind w:right="321"/>
              <w:spacing w:after="0" w:line="222" w:lineRule="exact"/>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tcPr>
          <w:p>
            <w:pPr>
              <w:jc w:val="right"/>
              <w:spacing w:after="0" w:line="222" w:lineRule="exact"/>
              <w:rPr>
                <w:sz w:val="20"/>
                <w:szCs w:val="20"/>
                <w:color w:val="auto"/>
              </w:rPr>
            </w:pPr>
            <w:r>
              <w:rPr>
                <w:rFonts w:ascii="Arial" w:cs="Arial" w:eastAsia="Arial" w:hAnsi="Arial"/>
                <w:sz w:val="20"/>
                <w:szCs w:val="20"/>
                <w:color w:val="00162F"/>
              </w:rPr>
              <w:t>10,564</w:t>
            </w:r>
          </w:p>
        </w:tc>
      </w:tr>
      <w:tr>
        <w:trPr>
          <w:trHeight w:val="20"/>
        </w:trPr>
        <w:tc>
          <w:tcPr>
            <w:tcW w:w="19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Borders>
              <w:bottom w:val="single" w:sz="8" w:color="00162F"/>
            </w:tcBorders>
          </w:tcPr>
          <w:p>
            <w:pPr>
              <w:spacing w:after="0" w:line="20" w:lineRule="exact"/>
              <w:rPr>
                <w:sz w:val="1"/>
                <w:szCs w:val="1"/>
                <w:color w:val="auto"/>
              </w:rPr>
            </w:pPr>
          </w:p>
        </w:tc>
        <w:tc>
          <w:tcPr>
            <w:tcW w:w="1100" w:type="dxa"/>
            <w:vAlign w:val="bottom"/>
            <w:tcBorders>
              <w:bottom w:val="single" w:sz="8" w:color="00162F"/>
            </w:tcBorders>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7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20" w:lineRule="exact"/>
        <w:rPr>
          <w:sz w:val="20"/>
          <w:szCs w:val="20"/>
          <w:color w:val="auto"/>
        </w:rPr>
      </w:pPr>
    </w:p>
    <w:p>
      <w:pPr>
        <w:spacing w:after="0" w:line="14" w:lineRule="exact"/>
        <w:rPr>
          <w:sz w:val="20"/>
          <w:szCs w:val="20"/>
          <w:color w:val="auto"/>
        </w:rPr>
      </w:pPr>
    </w:p>
    <w:p>
      <w:pPr>
        <w:jc w:val="both"/>
        <w:ind w:left="365" w:hanging="365"/>
        <w:spacing w:after="0" w:line="259" w:lineRule="auto"/>
        <w:tabs>
          <w:tab w:leader="none" w:pos="365" w:val="left"/>
        </w:tabs>
        <w:numPr>
          <w:ilvl w:val="0"/>
          <w:numId w:val="43"/>
        </w:numPr>
        <w:rPr>
          <w:rFonts w:ascii="Arial" w:cs="Arial" w:eastAsia="Arial" w:hAnsi="Arial"/>
          <w:sz w:val="13"/>
          <w:szCs w:val="13"/>
          <w:color w:val="00162F"/>
        </w:rPr>
      </w:pPr>
      <w:r>
        <w:rPr>
          <w:rFonts w:ascii="Arial" w:cs="Arial" w:eastAsia="Arial" w:hAnsi="Arial"/>
          <w:sz w:val="20"/>
          <w:szCs w:val="20"/>
          <w:color w:val="00162F"/>
        </w:rPr>
        <w:t>Principally relates to revenue recognized from the redemption of mileage credits for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35" w:lineRule="exact"/>
        <w:rPr>
          <w:rFonts w:ascii="Arial" w:cs="Arial" w:eastAsia="Arial" w:hAnsi="Arial"/>
          <w:sz w:val="13"/>
          <w:szCs w:val="13"/>
          <w:color w:val="00162F"/>
        </w:rPr>
      </w:pPr>
    </w:p>
    <w:p>
      <w:pPr>
        <w:jc w:val="both"/>
        <w:ind w:left="365" w:hanging="365"/>
        <w:spacing w:after="0" w:line="256" w:lineRule="auto"/>
        <w:tabs>
          <w:tab w:leader="none" w:pos="365" w:val="left"/>
        </w:tabs>
        <w:numPr>
          <w:ilvl w:val="0"/>
          <w:numId w:val="43"/>
        </w:numPr>
        <w:rPr>
          <w:rFonts w:ascii="Arial" w:cs="Arial" w:eastAsia="Arial" w:hAnsi="Arial"/>
          <w:sz w:val="13"/>
          <w:szCs w:val="13"/>
          <w:color w:val="00162F"/>
        </w:rPr>
      </w:pPr>
      <w:r>
        <w:rPr>
          <w:rFonts w:ascii="Arial" w:cs="Arial" w:eastAsia="Arial" w:hAnsi="Arial"/>
          <w:sz w:val="20"/>
          <w:szCs w:val="20"/>
          <w:color w:val="00162F"/>
        </w:rPr>
        <w:t>Mileage credits can be redeemed at any time and generally do not expire as long as the AAdvantage member has any type of qualifying activity at least every 24 months or if the AAdvantage member is the primary holder of a co-branded credit card. As of December 31, 2025, our current loyalty program liability was $3.7 billion and represents our current estimate of revenue expected to be recognized in the next 12 months based on historical trends, with the balance reflected in long-term loyalty program liability expected to be recognized as revenue in periods thereafter.</w:t>
      </w:r>
    </w:p>
    <w:p>
      <w:pPr>
        <w:spacing w:after="0" w:line="139"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Additionally, as of December 31, 2025 and 2024, our loyalty program liability includes a one-time cash payment related to the new co-branded credit card agreement announced in December 2024, which will be amortized over the life of the new agreement beginning in 2026.</w:t>
      </w:r>
    </w:p>
    <w:p>
      <w:pPr>
        <w:spacing w:after="0" w:line="129"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The air traffic liability principally represents tickets sold for future travel on American, American Eagle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2025, $5.1 billion of revenue was recognized in passenger revenue that was included in our air traffic liability at December 31, 2024.</w:t>
      </w:r>
    </w:p>
    <w:p>
      <w:pPr>
        <w:spacing w:after="0" w:line="230"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(n) Maintenance, Materials and Repairs</w:t>
      </w:r>
    </w:p>
    <w:p>
      <w:pPr>
        <w:spacing w:after="0" w:line="95"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Maintenance and repair costs for owned and leased flight equipment are charged to operating expense as incurred, except costs incurred for maintenance and repair under certain power-by-the-hour maintenance agreements, which are charged to operating expense based on contractual terms when an obligation exists.</w:t>
      </w:r>
    </w:p>
    <w:p>
      <w:pPr>
        <w:spacing w:after="0" w:line="219"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(o) Selling Expenses</w:t>
      </w:r>
    </w:p>
    <w:p>
      <w:pPr>
        <w:spacing w:after="0" w:line="95"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Selling expenses include credit card fees, commissions, third party distribution channel fees and advertising. Selling expenses associated with passenger revenue are expensed when the transportation or service is provided. Advertising costs are expensed as incurred. Advertising expense was $200 million, $143 million and $114 million for the years ended December 31, 2025, 2024 and 2023, respectively.</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94</w:t>
      </w:r>
    </w:p>
    <w:p>
      <w:pPr>
        <w:sectPr>
          <w:pgSz w:w="11880" w:h="15480" w:orient="portrait"/>
          <w:cols w:equalWidth="0" w:num="1">
            <w:col w:w="10685"/>
          </w:cols>
          <w:pgMar w:left="595" w:top="487" w:right="600" w:bottom="0" w:gutter="0" w:footer="0" w:header="0"/>
          <w:type w:val="continuous"/>
        </w:sectPr>
      </w:pPr>
    </w:p>
    <w:bookmarkStart w:id="95" w:name="page96"/>
    <w:bookmarkEnd w:id="95"/>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(p) Share-based Compensation</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We account for our share-based compensation expense based on the fair value of the equity award at the time of grant, which is recognized ratably over the vesting period of the award. Certain awards have performance conditions that must be achieved prior to vesting and are expensed based on the expected achievement at each reporting period. The majority of our equity awards are time vested restricted stock units. For equity-classified awards, the fair value of such awards is based on the market price of the underlying shares of AAG common stock on the date of grant and is not subsequently remeasured unless modified. For liability-classified awards, the fair value of such awards is remeasured at the end of each reporting period until settled. See Note 14 for further discussion of share-based compensation.</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(q) Foreign Currency Gains and Losses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Foreign currency gains and losses are recorded as part of other income (expense), net within total nonoperating expense, net on our consolidated statements of operations. For the years ended December 31, 2025, 2024 and 2023, foreign currency losses were $15 million, $48 million and $30 million, respectively.</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(r) Other Operating Expenses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Other operating expenses includes costs associated with onboard food and catering, crew travel, ground and cargo handling, passenger accommodation, international navigation fees, aircraft cleaning, airport lounge operations and certain general and administrative expenses.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(s) Regional Expenses</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Our regional carriers provide scheduled air transportation under the brand name “American Eagle.” The American Eagle carriers include our wholly-owned regional carriers as well as third-party regional carriers. Our regional carrier arrangements are principally in the form of capacity purchase agreements with our third-party regional partners and similar arrangements with our wholly-owned regional affiliates. Expenses, excluding fuel expense, associated with American Eagle operations are classified as regional expenses on the consolidated statements of operations.</w:t>
      </w:r>
    </w:p>
    <w:p>
      <w:pPr>
        <w:spacing w:after="0" w:line="13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Regional expenses for the years ended December 31, 2025, 2024 and 2023 include $329 million, $319 million and $318 million of depreciation and amortization, respectively. Regional expenses also include $9 million of aircraft rent for each of the years ended December 31, 2025 and 2024 and $7 million for the year ended December 31, 2023.</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In 2025, 2024 and 2023, we recognized $658 million, $612 million and $636 million, respectively, of expense under our capacity purchase agreement with Republic Airways Inc. (Republic). We hold a 20.8% equity interest in Republic Airways Holdings Inc. (Republic Holdings), the parent company of Republic.</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2. Special Items, Net</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Special items, net on our consolidated statements of operations consisted of the following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960" w:type="dxa"/>
            <w:vAlign w:val="bottom"/>
            <w:tcBorders>
              <w:bottom w:val="single" w:sz="8" w:color="00162F"/>
            </w:tcBorders>
          </w:tcPr>
          <w:p>
            <w:pPr>
              <w:spacing w:after="0"/>
              <w:rPr>
                <w:sz w:val="18"/>
                <w:szCs w:val="18"/>
                <w:color w:val="auto"/>
              </w:rPr>
            </w:pPr>
          </w:p>
        </w:tc>
        <w:tc>
          <w:tcPr>
            <w:tcW w:w="2420" w:type="dxa"/>
            <w:vAlign w:val="bottom"/>
            <w:tcBorders>
              <w:bottom w:val="single" w:sz="8" w:color="00162F"/>
            </w:tcBorders>
            <w:gridSpan w:val="6"/>
          </w:tcPr>
          <w:p>
            <w:pPr>
              <w:ind w:left="30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18"/>
        </w:trPr>
        <w:tc>
          <w:tcPr>
            <w:tcW w:w="6220" w:type="dxa"/>
            <w:vAlign w:val="bottom"/>
            <w:tcBorders>
              <w:bottom w:val="single" w:sz="8" w:color="EDEDED"/>
            </w:tcBorders>
          </w:tcPr>
          <w:p>
            <w:pPr>
              <w:spacing w:after="0"/>
              <w:rPr>
                <w:sz w:val="18"/>
                <w:szCs w:val="18"/>
                <w:color w:val="auto"/>
              </w:rPr>
            </w:pPr>
          </w:p>
        </w:tc>
        <w:tc>
          <w:tcPr>
            <w:tcW w:w="96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2025</w:t>
            </w:r>
          </w:p>
        </w:tc>
        <w:tc>
          <w:tcPr>
            <w:tcW w:w="480" w:type="dxa"/>
            <w:vAlign w:val="bottom"/>
            <w:tcBorders>
              <w:bottom w:val="single" w:sz="8" w:color="00162F"/>
            </w:tcBorders>
          </w:tcPr>
          <w:p>
            <w:pPr>
              <w:spacing w:after="0"/>
              <w:rPr>
                <w:sz w:val="18"/>
                <w:szCs w:val="18"/>
                <w:color w:val="auto"/>
              </w:rPr>
            </w:pPr>
          </w:p>
        </w:tc>
        <w:tc>
          <w:tcPr>
            <w:tcW w:w="80" w:type="dxa"/>
            <w:vAlign w:val="bottom"/>
            <w:tcBorders>
              <w:bottom w:val="single" w:sz="8" w:color="EDEDED"/>
            </w:tcBorders>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100" w:type="dxa"/>
            <w:vAlign w:val="bottom"/>
            <w:tcBorders>
              <w:bottom w:val="single" w:sz="8" w:color="00162F"/>
            </w:tcBorders>
          </w:tcPr>
          <w:p>
            <w:pPr>
              <w:jc w:val="right"/>
              <w:ind w:right="463"/>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18"/>
                <w:szCs w:val="18"/>
                <w:color w:val="auto"/>
              </w:rPr>
            </w:pPr>
          </w:p>
        </w:tc>
        <w:tc>
          <w:tcPr>
            <w:tcW w:w="360" w:type="dxa"/>
            <w:vAlign w:val="bottom"/>
            <w:tcBorders>
              <w:bottom w:val="single" w:sz="8" w:color="00162F"/>
            </w:tcBorders>
          </w:tcPr>
          <w:p>
            <w:pPr>
              <w:spacing w:after="0"/>
              <w:rPr>
                <w:sz w:val="18"/>
                <w:szCs w:val="18"/>
                <w:color w:val="auto"/>
              </w:rPr>
            </w:pPr>
          </w:p>
        </w:tc>
        <w:tc>
          <w:tcPr>
            <w:tcW w:w="1080" w:type="dxa"/>
            <w:vAlign w:val="bottom"/>
            <w:tcBorders>
              <w:bottom w:val="single" w:sz="8" w:color="00162F"/>
            </w:tcBorders>
          </w:tcPr>
          <w:p>
            <w:pPr>
              <w:jc w:val="right"/>
              <w:ind w:right="443"/>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Litigation reserve adjustments</w:t>
            </w:r>
          </w:p>
        </w:tc>
        <w:tc>
          <w:tcPr>
            <w:tcW w:w="960" w:type="dxa"/>
            <w:vAlign w:val="bottom"/>
            <w:shd w:val="clear" w:color="auto" w:fill="EDEDED"/>
          </w:tcPr>
          <w:p>
            <w:pPr>
              <w:jc w:val="right"/>
              <w:ind w:right="711"/>
              <w:spacing w:after="0"/>
              <w:rPr>
                <w:sz w:val="20"/>
                <w:szCs w:val="20"/>
                <w:color w:val="auto"/>
              </w:rPr>
            </w:pPr>
            <w:r>
              <w:rPr>
                <w:rFonts w:ascii="Arial" w:cs="Arial" w:eastAsia="Arial" w:hAnsi="Arial"/>
                <w:sz w:val="20"/>
                <w:szCs w:val="20"/>
                <w:color w:val="00162F"/>
              </w:rPr>
              <w:t>$</w:t>
            </w:r>
          </w:p>
        </w:tc>
        <w:tc>
          <w:tcPr>
            <w:tcW w:w="4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77</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520" w:type="dxa"/>
            <w:vAlign w:val="bottom"/>
            <w:gridSpan w:val="3"/>
            <w:shd w:val="clear" w:color="auto" w:fill="EDEDED"/>
          </w:tcPr>
          <w:p>
            <w:pPr>
              <w:ind w:left="820"/>
              <w:spacing w:after="0"/>
              <w:rPr>
                <w:sz w:val="20"/>
                <w:szCs w:val="20"/>
                <w:color w:val="auto"/>
              </w:rPr>
            </w:pPr>
            <w:r>
              <w:rPr>
                <w:rFonts w:ascii="Arial" w:cs="Arial" w:eastAsia="Arial" w:hAnsi="Arial"/>
                <w:sz w:val="20"/>
                <w:szCs w:val="20"/>
                <w:color w:val="00162F"/>
              </w:rPr>
              <w:t>—  $</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 xml:space="preserve">Labor contract expenses </w:t>
            </w:r>
            <w:r>
              <w:rPr>
                <w:rFonts w:ascii="Arial" w:cs="Arial" w:eastAsia="Arial" w:hAnsi="Arial"/>
                <w:sz w:val="12"/>
                <w:szCs w:val="12"/>
                <w:color w:val="00162F"/>
              </w:rPr>
              <w:t>(1)</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31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605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989</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Severance expenses</w:t>
            </w:r>
          </w:p>
        </w:tc>
        <w:tc>
          <w:tcPr>
            <w:tcW w:w="96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44</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13</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23</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 xml:space="preserve">A330 fleet-related adjustments </w:t>
            </w:r>
            <w:r>
              <w:rPr>
                <w:rFonts w:ascii="Arial" w:cs="Arial" w:eastAsia="Arial" w:hAnsi="Arial"/>
                <w:sz w:val="12"/>
                <w:szCs w:val="12"/>
                <w:color w:val="00162F"/>
              </w:rPr>
              <w:t>(2)</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w:t>
            </w:r>
          </w:p>
        </w:tc>
      </w:tr>
      <w:tr>
        <w:trPr>
          <w:trHeight w:val="291"/>
        </w:trPr>
        <w:tc>
          <w:tcPr>
            <w:tcW w:w="62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Other operating special items, net</w:t>
            </w:r>
          </w:p>
        </w:tc>
        <w:tc>
          <w:tcPr>
            <w:tcW w:w="960" w:type="dxa"/>
            <w:vAlign w:val="bottom"/>
            <w:tcBorders>
              <w:bottom w:val="single" w:sz="8" w:color="00162F"/>
            </w:tcBorders>
            <w:shd w:val="clear" w:color="auto" w:fill="EDEDED"/>
          </w:tcPr>
          <w:p>
            <w:pPr>
              <w:spacing w:after="0"/>
              <w:rPr>
                <w:sz w:val="24"/>
                <w:szCs w:val="24"/>
                <w:color w:val="auto"/>
              </w:rPr>
            </w:pPr>
          </w:p>
        </w:tc>
        <w:tc>
          <w:tcPr>
            <w:tcW w:w="4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34</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(41)</w:t>
            </w:r>
          </w:p>
        </w:tc>
      </w:tr>
      <w:tr>
        <w:trPr>
          <w:trHeight w:val="283"/>
        </w:trPr>
        <w:tc>
          <w:tcPr>
            <w:tcW w:w="6220" w:type="dxa"/>
            <w:vAlign w:val="bottom"/>
          </w:tcPr>
          <w:p>
            <w:pPr>
              <w:ind w:left="260"/>
              <w:spacing w:after="0"/>
              <w:rPr>
                <w:sz w:val="20"/>
                <w:szCs w:val="20"/>
                <w:color w:val="auto"/>
              </w:rPr>
            </w:pPr>
            <w:r>
              <w:rPr>
                <w:rFonts w:ascii="Arial" w:cs="Arial" w:eastAsia="Arial" w:hAnsi="Arial"/>
                <w:sz w:val="20"/>
                <w:szCs w:val="20"/>
                <w:color w:val="00162F"/>
              </w:rPr>
              <w:t>Mainline operating special items, net</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159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610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971</w:t>
            </w:r>
          </w:p>
        </w:tc>
      </w:tr>
      <w:tr>
        <w:trPr>
          <w:trHeight w:val="291"/>
        </w:trPr>
        <w:tc>
          <w:tcPr>
            <w:tcW w:w="622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 xml:space="preserve">Regional operating special items, net </w:t>
            </w:r>
            <w:r>
              <w:rPr>
                <w:rFonts w:ascii="Arial" w:cs="Arial" w:eastAsia="Arial" w:hAnsi="Arial"/>
                <w:sz w:val="12"/>
                <w:szCs w:val="12"/>
                <w:color w:val="00162F"/>
              </w:rPr>
              <w:t>(3)</w:t>
            </w:r>
          </w:p>
        </w:tc>
        <w:tc>
          <w:tcPr>
            <w:tcW w:w="960" w:type="dxa"/>
            <w:vAlign w:val="bottom"/>
            <w:tcBorders>
              <w:bottom w:val="single" w:sz="8" w:color="00162F"/>
            </w:tcBorders>
            <w:shd w:val="clear" w:color="auto" w:fill="EDEDED"/>
          </w:tcPr>
          <w:p>
            <w:pPr>
              <w:spacing w:after="0"/>
              <w:rPr>
                <w:sz w:val="24"/>
                <w:szCs w:val="24"/>
                <w:color w:val="auto"/>
              </w:rPr>
            </w:pPr>
          </w:p>
        </w:tc>
        <w:tc>
          <w:tcPr>
            <w:tcW w:w="4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33</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w:t>
            </w:r>
          </w:p>
        </w:tc>
      </w:tr>
      <w:tr>
        <w:trPr>
          <w:trHeight w:val="283"/>
        </w:trPr>
        <w:tc>
          <w:tcPr>
            <w:tcW w:w="6220" w:type="dxa"/>
            <w:vAlign w:val="bottom"/>
          </w:tcPr>
          <w:p>
            <w:pPr>
              <w:ind w:left="540"/>
              <w:spacing w:after="0"/>
              <w:rPr>
                <w:sz w:val="20"/>
                <w:szCs w:val="20"/>
                <w:color w:val="auto"/>
              </w:rPr>
            </w:pPr>
            <w:r>
              <w:rPr>
                <w:rFonts w:ascii="Arial" w:cs="Arial" w:eastAsia="Arial" w:hAnsi="Arial"/>
                <w:sz w:val="20"/>
                <w:szCs w:val="20"/>
                <w:color w:val="00162F"/>
              </w:rPr>
              <w:t>Operating special items, net</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162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643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979</w:t>
            </w:r>
          </w:p>
        </w:tc>
      </w:tr>
      <w:tr>
        <w:trPr>
          <w:trHeight w:val="301"/>
        </w:trPr>
        <w:tc>
          <w:tcPr>
            <w:tcW w:w="622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 xml:space="preserve">Mark-to-market adjustments on equity investments, net </w:t>
            </w:r>
            <w:r>
              <w:rPr>
                <w:rFonts w:ascii="Arial" w:cs="Arial" w:eastAsia="Arial" w:hAnsi="Arial"/>
                <w:sz w:val="12"/>
                <w:szCs w:val="12"/>
                <w:color w:val="00162F"/>
              </w:rPr>
              <w:t>(4)</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(40)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82</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xml:space="preserve">Debt refinancing and extinguishment </w:t>
            </w:r>
            <w:r>
              <w:rPr>
                <w:rFonts w:ascii="Arial" w:cs="Arial" w:eastAsia="Arial" w:hAnsi="Arial"/>
                <w:sz w:val="12"/>
                <w:szCs w:val="12"/>
                <w:color w:val="00162F"/>
              </w:rPr>
              <w:t>(5)</w:t>
            </w:r>
          </w:p>
        </w:tc>
        <w:tc>
          <w:tcPr>
            <w:tcW w:w="96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22</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16</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280</w:t>
            </w:r>
          </w:p>
        </w:tc>
      </w:tr>
      <w:tr>
        <w:trPr>
          <w:trHeight w:val="302"/>
        </w:trPr>
        <w:tc>
          <w:tcPr>
            <w:tcW w:w="6220" w:type="dxa"/>
            <w:vAlign w:val="bottom"/>
          </w:tcPr>
          <w:p>
            <w:pPr>
              <w:ind w:left="40"/>
              <w:spacing w:after="0"/>
              <w:rPr>
                <w:sz w:val="20"/>
                <w:szCs w:val="20"/>
                <w:color w:val="auto"/>
              </w:rPr>
            </w:pPr>
            <w:r>
              <w:rPr>
                <w:rFonts w:ascii="Arial" w:cs="Arial" w:eastAsia="Arial" w:hAnsi="Arial"/>
                <w:sz w:val="20"/>
                <w:szCs w:val="20"/>
                <w:color w:val="00162F"/>
              </w:rPr>
              <w:t>Other nonoperating special items, net</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18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w:t>
            </w:r>
          </w:p>
        </w:tc>
      </w:tr>
      <w:tr>
        <w:trPr>
          <w:trHeight w:val="287"/>
        </w:trPr>
        <w:tc>
          <w:tcPr>
            <w:tcW w:w="6220" w:type="dxa"/>
            <w:vAlign w:val="bottom"/>
            <w:tcBorders>
              <w:top w:val="single" w:sz="8" w:color="EDEDED"/>
            </w:tcBorders>
            <w:shd w:val="clear" w:color="auto" w:fill="EDEDED"/>
          </w:tcPr>
          <w:p>
            <w:pPr>
              <w:ind w:left="540"/>
              <w:spacing w:after="0"/>
              <w:rPr>
                <w:sz w:val="20"/>
                <w:szCs w:val="20"/>
                <w:color w:val="auto"/>
              </w:rPr>
            </w:pPr>
            <w:r>
              <w:rPr>
                <w:rFonts w:ascii="Arial" w:cs="Arial" w:eastAsia="Arial" w:hAnsi="Arial"/>
                <w:sz w:val="20"/>
                <w:szCs w:val="20"/>
                <w:color w:val="00162F"/>
              </w:rPr>
              <w:t>Nonoperating special items, net</w:t>
            </w:r>
          </w:p>
        </w:tc>
        <w:tc>
          <w:tcPr>
            <w:tcW w:w="960" w:type="dxa"/>
            <w:vAlign w:val="bottom"/>
            <w:tcBorders>
              <w:top w:val="single" w:sz="8" w:color="00162F"/>
            </w:tcBorders>
            <w:shd w:val="clear" w:color="auto" w:fill="EDEDED"/>
          </w:tcPr>
          <w:p>
            <w:pPr>
              <w:spacing w:after="0"/>
              <w:rPr>
                <w:sz w:val="24"/>
                <w:szCs w:val="24"/>
                <w:color w:val="auto"/>
              </w:rPr>
            </w:pPr>
          </w:p>
        </w:tc>
        <w:tc>
          <w:tcPr>
            <w:tcW w:w="48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top w:val="single" w:sz="8" w:color="EDEDED"/>
            </w:tcBorders>
            <w:shd w:val="clear" w:color="auto" w:fill="EDEDED"/>
          </w:tcPr>
          <w:p>
            <w:pPr>
              <w:spacing w:after="0"/>
              <w:rPr>
                <w:sz w:val="24"/>
                <w:szCs w:val="24"/>
                <w:color w:val="auto"/>
              </w:rPr>
            </w:pPr>
          </w:p>
        </w:tc>
        <w:tc>
          <w:tcPr>
            <w:tcW w:w="340" w:type="dxa"/>
            <w:vAlign w:val="bottom"/>
            <w:tcBorders>
              <w:top w:val="single" w:sz="8" w:color="00162F"/>
            </w:tcBorders>
            <w:shd w:val="clear" w:color="auto" w:fill="EDEDED"/>
          </w:tcPr>
          <w:p>
            <w:pPr>
              <w:spacing w:after="0"/>
              <w:rPr>
                <w:sz w:val="24"/>
                <w:szCs w:val="24"/>
                <w:color w:val="auto"/>
              </w:rPr>
            </w:pPr>
          </w:p>
        </w:tc>
        <w:tc>
          <w:tcPr>
            <w:tcW w:w="1100" w:type="dxa"/>
            <w:vAlign w:val="bottom"/>
            <w:tcBorders>
              <w:top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24</w:t>
            </w:r>
          </w:p>
        </w:tc>
        <w:tc>
          <w:tcPr>
            <w:tcW w:w="60" w:type="dxa"/>
            <w:vAlign w:val="bottom"/>
            <w:tcBorders>
              <w:top w:val="single" w:sz="8" w:color="EDEDED"/>
            </w:tcBorders>
            <w:shd w:val="clear" w:color="auto" w:fill="EDEDED"/>
          </w:tcPr>
          <w:p>
            <w:pPr>
              <w:spacing w:after="0"/>
              <w:rPr>
                <w:sz w:val="24"/>
                <w:szCs w:val="24"/>
                <w:color w:val="auto"/>
              </w:rPr>
            </w:pPr>
          </w:p>
        </w:tc>
        <w:tc>
          <w:tcPr>
            <w:tcW w:w="360" w:type="dxa"/>
            <w:vAlign w:val="bottom"/>
            <w:tcBorders>
              <w:top w:val="single" w:sz="8" w:color="00162F"/>
            </w:tcBorders>
            <w:shd w:val="clear" w:color="auto" w:fill="EDEDED"/>
          </w:tcPr>
          <w:p>
            <w:pPr>
              <w:spacing w:after="0"/>
              <w:rPr>
                <w:sz w:val="24"/>
                <w:szCs w:val="24"/>
                <w:color w:val="auto"/>
              </w:rPr>
            </w:pPr>
          </w:p>
        </w:tc>
        <w:tc>
          <w:tcPr>
            <w:tcW w:w="108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-2472690</wp:posOffset>
            </wp:positionV>
            <wp:extent cx="2863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7">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-1529715</wp:posOffset>
            </wp:positionV>
            <wp:extent cx="19361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8">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-1153160</wp:posOffset>
            </wp:positionV>
            <wp:extent cx="19361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9">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-200660</wp:posOffset>
            </wp:positionV>
            <wp:extent cx="19361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0">
                      <a:extLst>
                        <a:ext uri="{28A0092B-C50C-407E-A947-70E740481C1C}"/>
                      </a:extLst>
                    </a:blip>
                    <a:srcRect/>
                    <a:stretch>
                      <a:fillRect/>
                    </a:stretch>
                  </pic:blipFill>
                  <pic:spPr bwMode="auto">
                    <a:xfrm>
                      <a:off x="0" y="0"/>
                      <a:ext cx="1936115" cy="25400"/>
                    </a:xfrm>
                    <a:prstGeom prst="rect">
                      <a:avLst/>
                    </a:prstGeom>
                    <a:noFill/>
                  </pic:spPr>
                </pic:pic>
              </a:graphicData>
            </a:graphic>
          </wp:anchor>
        </w:drawing>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95</w:t>
      </w:r>
    </w:p>
    <w:p>
      <w:pPr>
        <w:sectPr>
          <w:pgSz w:w="11880" w:h="15480" w:orient="portrait"/>
          <w:cols w:equalWidth="0" w:num="1">
            <w:col w:w="10680"/>
          </w:cols>
          <w:pgMar w:left="600" w:top="487" w:right="600" w:bottom="0" w:gutter="0" w:footer="0" w:header="0"/>
          <w:type w:val="continuous"/>
        </w:sectPr>
      </w:pPr>
    </w:p>
    <w:bookmarkStart w:id="96" w:name="page97"/>
    <w:bookmarkEnd w:id="96"/>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125412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1">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left="365" w:hanging="365"/>
        <w:spacing w:after="0" w:line="265" w:lineRule="auto"/>
        <w:tabs>
          <w:tab w:leader="none" w:pos="365" w:val="left"/>
        </w:tabs>
        <w:numPr>
          <w:ilvl w:val="0"/>
          <w:numId w:val="44"/>
        </w:numPr>
        <w:rPr>
          <w:rFonts w:ascii="Arial" w:cs="Arial" w:eastAsia="Arial" w:hAnsi="Arial"/>
          <w:sz w:val="13"/>
          <w:szCs w:val="13"/>
          <w:color w:val="00162F"/>
        </w:rPr>
      </w:pPr>
      <w:r>
        <w:rPr>
          <w:rFonts w:ascii="Arial" w:cs="Arial" w:eastAsia="Arial" w:hAnsi="Arial"/>
          <w:sz w:val="20"/>
          <w:szCs w:val="20"/>
          <w:color w:val="00162F"/>
        </w:rPr>
        <w:t>Labor contract expenses for 2025 included a one-time charge resulting from adjustments to vacation accruals due to pay rate increases effective January 1, 2025, following the ratification of the contract extension in the fourth quarter of 2024 with our mainline maintenance and fleet service team members.</w:t>
      </w:r>
    </w:p>
    <w:p>
      <w:pPr>
        <w:spacing w:after="0" w:line="129" w:lineRule="exact"/>
        <w:rPr>
          <w:rFonts w:ascii="Arial" w:cs="Arial" w:eastAsia="Arial" w:hAnsi="Arial"/>
          <w:sz w:val="13"/>
          <w:szCs w:val="13"/>
          <w:color w:val="00162F"/>
        </w:rPr>
      </w:pPr>
    </w:p>
    <w:p>
      <w:pPr>
        <w:jc w:val="both"/>
        <w:ind w:left="365"/>
        <w:spacing w:after="0" w:line="265" w:lineRule="auto"/>
        <w:rPr>
          <w:rFonts w:ascii="Arial" w:cs="Arial" w:eastAsia="Arial" w:hAnsi="Arial"/>
          <w:sz w:val="13"/>
          <w:szCs w:val="13"/>
          <w:color w:val="00162F"/>
        </w:rPr>
      </w:pPr>
      <w:r>
        <w:rPr>
          <w:rFonts w:ascii="Arial" w:cs="Arial" w:eastAsia="Arial" w:hAnsi="Arial"/>
          <w:sz w:val="20"/>
          <w:szCs w:val="20"/>
          <w:color w:val="00162F"/>
        </w:rPr>
        <w:t>Labor contract expenses for 2024 included one-time charges resulting from the ratifications of new collective bargaining agreements (CBAs) with our mainline flight attendants and passenger service team members, including one-time payments and adjustments to vacation accruals resulting from pay rate increases.</w:t>
      </w:r>
    </w:p>
    <w:p>
      <w:pPr>
        <w:spacing w:after="0" w:line="129" w:lineRule="exact"/>
        <w:rPr>
          <w:rFonts w:ascii="Arial" w:cs="Arial" w:eastAsia="Arial" w:hAnsi="Arial"/>
          <w:sz w:val="13"/>
          <w:szCs w:val="13"/>
          <w:color w:val="00162F"/>
        </w:rPr>
      </w:pPr>
    </w:p>
    <w:p>
      <w:pPr>
        <w:jc w:val="both"/>
        <w:ind w:left="365"/>
        <w:spacing w:after="0" w:line="265" w:lineRule="auto"/>
        <w:rPr>
          <w:rFonts w:ascii="Arial" w:cs="Arial" w:eastAsia="Arial" w:hAnsi="Arial"/>
          <w:sz w:val="13"/>
          <w:szCs w:val="13"/>
          <w:color w:val="00162F"/>
        </w:rPr>
      </w:pPr>
      <w:r>
        <w:rPr>
          <w:rFonts w:ascii="Arial" w:cs="Arial" w:eastAsia="Arial" w:hAnsi="Arial"/>
          <w:sz w:val="20"/>
          <w:szCs w:val="20"/>
          <w:color w:val="00162F"/>
        </w:rPr>
        <w:t>Labor contract expenses for 2023 included one-time charges resulting from the ratification of a new CBA with our mainline pilots, including a one-time payment of $754 million as well as adjustments to other benefit-related items of $235 million.</w:t>
      </w:r>
    </w:p>
    <w:p>
      <w:pPr>
        <w:spacing w:after="0" w:line="129" w:lineRule="exact"/>
        <w:rPr>
          <w:rFonts w:ascii="Arial" w:cs="Arial" w:eastAsia="Arial" w:hAnsi="Arial"/>
          <w:sz w:val="13"/>
          <w:szCs w:val="13"/>
          <w:color w:val="00162F"/>
        </w:rPr>
      </w:pPr>
    </w:p>
    <w:p>
      <w:pPr>
        <w:jc w:val="both"/>
        <w:ind w:left="365" w:hanging="365"/>
        <w:spacing w:after="0" w:line="265" w:lineRule="auto"/>
        <w:tabs>
          <w:tab w:leader="none" w:pos="365" w:val="left"/>
        </w:tabs>
        <w:numPr>
          <w:ilvl w:val="0"/>
          <w:numId w:val="44"/>
        </w:numPr>
        <w:rPr>
          <w:rFonts w:ascii="Arial" w:cs="Arial" w:eastAsia="Arial" w:hAnsi="Arial"/>
          <w:sz w:val="13"/>
          <w:szCs w:val="13"/>
          <w:color w:val="00162F"/>
        </w:rPr>
      </w:pPr>
      <w:r>
        <w:rPr>
          <w:rFonts w:ascii="Arial" w:cs="Arial" w:eastAsia="Arial" w:hAnsi="Arial"/>
          <w:sz w:val="20"/>
          <w:szCs w:val="20"/>
          <w:color w:val="00162F"/>
        </w:rPr>
        <w:t>In 2024, we entered into a sales agreement for certain Airbus A330 aircraft, resulting in a $42 million gain. These aircraft were previously retired in 2020 as a result of the decline in demand for air travel due to the COVID-19 pandemic.</w:t>
      </w:r>
    </w:p>
    <w:p>
      <w:pPr>
        <w:spacing w:after="0" w:line="129"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44"/>
        </w:numPr>
        <w:rPr>
          <w:rFonts w:ascii="Arial" w:cs="Arial" w:eastAsia="Arial" w:hAnsi="Arial"/>
          <w:sz w:val="13"/>
          <w:szCs w:val="13"/>
          <w:color w:val="00162F"/>
        </w:rPr>
      </w:pPr>
      <w:r>
        <w:rPr>
          <w:rFonts w:ascii="Arial" w:cs="Arial" w:eastAsia="Arial" w:hAnsi="Arial"/>
          <w:sz w:val="20"/>
          <w:szCs w:val="20"/>
          <w:color w:val="00162F"/>
        </w:rPr>
        <w:t>Regional operating special items, net for 2024 included a $33 million non-cash write down of regional aircraft resulting from the decision to permanently park 43 Embraer ERJ145 aircraft.</w:t>
      </w:r>
    </w:p>
    <w:p>
      <w:pPr>
        <w:spacing w:after="0" w:line="112"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44"/>
        </w:numPr>
        <w:rPr>
          <w:rFonts w:ascii="Arial" w:cs="Arial" w:eastAsia="Arial" w:hAnsi="Arial"/>
          <w:sz w:val="13"/>
          <w:szCs w:val="13"/>
          <w:color w:val="00162F"/>
        </w:rPr>
      </w:pPr>
      <w:r>
        <w:rPr>
          <w:rFonts w:ascii="Arial" w:cs="Arial" w:eastAsia="Arial" w:hAnsi="Arial"/>
          <w:sz w:val="20"/>
          <w:szCs w:val="20"/>
          <w:color w:val="00162F"/>
        </w:rPr>
        <w:t>Mark-to-market adjustments on equity investments, net included net unrealized gains and losses associated with certain equity investments. See Note 8 for further information related to our equity investments.</w:t>
      </w:r>
    </w:p>
    <w:p>
      <w:pPr>
        <w:spacing w:after="0" w:line="112"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44"/>
        </w:numPr>
        <w:rPr>
          <w:rFonts w:ascii="Arial" w:cs="Arial" w:eastAsia="Arial" w:hAnsi="Arial"/>
          <w:sz w:val="13"/>
          <w:szCs w:val="13"/>
          <w:color w:val="00162F"/>
        </w:rPr>
      </w:pPr>
      <w:r>
        <w:rPr>
          <w:rFonts w:ascii="Arial" w:cs="Arial" w:eastAsia="Arial" w:hAnsi="Arial"/>
          <w:sz w:val="20"/>
          <w:szCs w:val="20"/>
          <w:color w:val="00162F"/>
        </w:rPr>
        <w:t>Debt refinancing and extinguishment costs in 2023 primarily included cash charges for premiums paid in connection with the early repayment of debt.</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3. Earnings Per Common Share</w:t>
      </w:r>
    </w:p>
    <w:p>
      <w:pPr>
        <w:spacing w:after="0" w:line="97" w:lineRule="exact"/>
        <w:rPr>
          <w:sz w:val="20"/>
          <w:szCs w:val="20"/>
          <w:color w:val="auto"/>
        </w:rPr>
      </w:pPr>
    </w:p>
    <w:p>
      <w:pPr>
        <w:ind w:left="5" w:firstLine="267"/>
        <w:spacing w:after="0" w:line="282" w:lineRule="auto"/>
        <w:rPr>
          <w:sz w:val="20"/>
          <w:szCs w:val="20"/>
          <w:color w:val="auto"/>
        </w:rPr>
      </w:pPr>
      <w:r>
        <w:rPr>
          <w:rFonts w:ascii="Arial" w:cs="Arial" w:eastAsia="Arial" w:hAnsi="Arial"/>
          <w:sz w:val="20"/>
          <w:szCs w:val="20"/>
          <w:color w:val="00162F"/>
        </w:rPr>
        <w:t>The following table provides the computation of basic and diluted earnings per common share (EPS) (in millions, except share and per share amounts):</w:t>
      </w:r>
    </w:p>
    <w:p>
      <w:pPr>
        <w:spacing w:after="0" w:line="197"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3040" w:type="dxa"/>
            <w:vAlign w:val="bottom"/>
            <w:tcBorders>
              <w:bottom w:val="single" w:sz="8" w:color="00162F"/>
            </w:tcBorders>
            <w:gridSpan w:val="6"/>
          </w:tcPr>
          <w:p>
            <w:pPr>
              <w:jc w:val="right"/>
              <w:ind w:right="18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63"/>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3"/>
              <w:spacing w:after="0"/>
              <w:rPr>
                <w:sz w:val="20"/>
                <w:szCs w:val="20"/>
                <w:color w:val="auto"/>
              </w:rPr>
            </w:pPr>
            <w:r>
              <w:rPr>
                <w:rFonts w:ascii="Arial" w:cs="Arial" w:eastAsia="Arial" w:hAnsi="Arial"/>
                <w:sz w:val="16"/>
                <w:szCs w:val="16"/>
                <w:b w:val="1"/>
                <w:bCs w:val="1"/>
                <w:color w:val="00162F"/>
              </w:rPr>
              <w:t>2023</w:t>
            </w:r>
          </w:p>
        </w:tc>
        <w:tc>
          <w:tcPr>
            <w:tcW w:w="0" w:type="dxa"/>
            <w:vAlign w:val="bottom"/>
          </w:tcPr>
          <w:p>
            <w:pPr>
              <w:spacing w:after="0"/>
              <w:rPr>
                <w:sz w:val="1"/>
                <w:szCs w:val="1"/>
                <w:color w:val="auto"/>
              </w:rPr>
            </w:pP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Basic EPS: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Net income</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111</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846</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822</w:t>
            </w:r>
          </w:p>
        </w:tc>
        <w:tc>
          <w:tcPr>
            <w:tcW w:w="0" w:type="dxa"/>
            <w:vAlign w:val="bottom"/>
          </w:tcPr>
          <w:p>
            <w:pPr>
              <w:spacing w:after="0"/>
              <w:rPr>
                <w:sz w:val="1"/>
                <w:szCs w:val="1"/>
                <w:color w:val="auto"/>
              </w:rPr>
            </w:pPr>
          </w:p>
        </w:tc>
      </w:tr>
      <w:tr>
        <w:trPr>
          <w:trHeight w:val="291"/>
        </w:trPr>
        <w:tc>
          <w:tcPr>
            <w:tcW w:w="62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Weighted average common shares outstanding (in thousands)</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659,964</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656,996</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653,612</w:t>
            </w:r>
          </w:p>
        </w:tc>
        <w:tc>
          <w:tcPr>
            <w:tcW w:w="0" w:type="dxa"/>
            <w:vAlign w:val="bottom"/>
          </w:tcPr>
          <w:p>
            <w:pPr>
              <w:spacing w:after="0"/>
              <w:rPr>
                <w:sz w:val="1"/>
                <w:szCs w:val="1"/>
                <w:color w:val="auto"/>
              </w:rPr>
            </w:pPr>
          </w:p>
        </w:tc>
      </w:tr>
      <w:tr>
        <w:trPr>
          <w:trHeight w:val="297"/>
        </w:trPr>
        <w:tc>
          <w:tcPr>
            <w:tcW w:w="6220" w:type="dxa"/>
            <w:vAlign w:val="bottom"/>
          </w:tcPr>
          <w:p>
            <w:pPr>
              <w:ind w:left="260"/>
              <w:spacing w:after="0"/>
              <w:rPr>
                <w:sz w:val="20"/>
                <w:szCs w:val="20"/>
                <w:color w:val="auto"/>
              </w:rPr>
            </w:pPr>
            <w:r>
              <w:rPr>
                <w:rFonts w:ascii="Arial" w:cs="Arial" w:eastAsia="Arial" w:hAnsi="Arial"/>
                <w:sz w:val="20"/>
                <w:szCs w:val="20"/>
                <w:color w:val="00162F"/>
              </w:rPr>
              <w:t>Basic EPS</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0.17</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1.29</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1.26</w:t>
            </w:r>
          </w:p>
        </w:tc>
        <w:tc>
          <w:tcPr>
            <w:tcW w:w="0" w:type="dxa"/>
            <w:vAlign w:val="bottom"/>
          </w:tcPr>
          <w:p>
            <w:pPr>
              <w:spacing w:after="0"/>
              <w:rPr>
                <w:sz w:val="1"/>
                <w:szCs w:val="1"/>
                <w:color w:val="auto"/>
              </w:rPr>
            </w:pPr>
          </w:p>
        </w:tc>
      </w:tr>
      <w:tr>
        <w:trPr>
          <w:trHeight w:val="267"/>
        </w:trPr>
        <w:tc>
          <w:tcPr>
            <w:tcW w:w="6220" w:type="dxa"/>
            <w:vAlign w:val="bottom"/>
            <w:tcBorders>
              <w:top w:val="single" w:sz="8" w:color="EDEDED"/>
            </w:tcBorders>
            <w:shd w:val="clear" w:color="auto" w:fill="EDEDED"/>
          </w:tcPr>
          <w:p>
            <w:pPr>
              <w:spacing w:after="0"/>
              <w:rPr>
                <w:sz w:val="23"/>
                <w:szCs w:val="23"/>
                <w:color w:val="auto"/>
              </w:rPr>
            </w:pPr>
          </w:p>
        </w:tc>
        <w:tc>
          <w:tcPr>
            <w:tcW w:w="340" w:type="dxa"/>
            <w:vAlign w:val="bottom"/>
            <w:tcBorders>
              <w:top w:val="single" w:sz="8" w:color="00162F"/>
            </w:tcBorders>
            <w:shd w:val="clear" w:color="auto" w:fill="EDEDED"/>
          </w:tcPr>
          <w:p>
            <w:pPr>
              <w:spacing w:after="0"/>
              <w:rPr>
                <w:sz w:val="23"/>
                <w:szCs w:val="23"/>
                <w:color w:val="auto"/>
              </w:rPr>
            </w:pPr>
          </w:p>
        </w:tc>
        <w:tc>
          <w:tcPr>
            <w:tcW w:w="1100" w:type="dxa"/>
            <w:vAlign w:val="bottom"/>
            <w:tcBorders>
              <w:top w:val="single" w:sz="8" w:color="00162F"/>
            </w:tcBorders>
            <w:shd w:val="clear" w:color="auto" w:fill="EDEDED"/>
          </w:tcPr>
          <w:p>
            <w:pPr>
              <w:spacing w:after="0"/>
              <w:rPr>
                <w:sz w:val="23"/>
                <w:szCs w:val="23"/>
                <w:color w:val="auto"/>
              </w:rPr>
            </w:pPr>
          </w:p>
        </w:tc>
        <w:tc>
          <w:tcPr>
            <w:tcW w:w="80" w:type="dxa"/>
            <w:vAlign w:val="bottom"/>
            <w:tcBorders>
              <w:top w:val="single" w:sz="8" w:color="EDEDED"/>
            </w:tcBorders>
            <w:shd w:val="clear" w:color="auto" w:fill="EDEDED"/>
          </w:tcPr>
          <w:p>
            <w:pPr>
              <w:spacing w:after="0"/>
              <w:rPr>
                <w:sz w:val="23"/>
                <w:szCs w:val="23"/>
                <w:color w:val="auto"/>
              </w:rPr>
            </w:pPr>
          </w:p>
        </w:tc>
        <w:tc>
          <w:tcPr>
            <w:tcW w:w="340" w:type="dxa"/>
            <w:vAlign w:val="bottom"/>
            <w:tcBorders>
              <w:top w:val="single" w:sz="8" w:color="00162F"/>
            </w:tcBorders>
            <w:shd w:val="clear" w:color="auto" w:fill="EDEDED"/>
          </w:tcPr>
          <w:p>
            <w:pPr>
              <w:spacing w:after="0"/>
              <w:rPr>
                <w:sz w:val="23"/>
                <w:szCs w:val="23"/>
                <w:color w:val="auto"/>
              </w:rPr>
            </w:pPr>
          </w:p>
        </w:tc>
        <w:tc>
          <w:tcPr>
            <w:tcW w:w="1100" w:type="dxa"/>
            <w:vAlign w:val="bottom"/>
            <w:tcBorders>
              <w:top w:val="single" w:sz="8" w:color="00162F"/>
            </w:tcBorders>
            <w:shd w:val="clear" w:color="auto" w:fill="EDEDED"/>
          </w:tcPr>
          <w:p>
            <w:pPr>
              <w:spacing w:after="0"/>
              <w:rPr>
                <w:sz w:val="23"/>
                <w:szCs w:val="23"/>
                <w:color w:val="auto"/>
              </w:rPr>
            </w:pPr>
          </w:p>
        </w:tc>
        <w:tc>
          <w:tcPr>
            <w:tcW w:w="60" w:type="dxa"/>
            <w:vAlign w:val="bottom"/>
            <w:tcBorders>
              <w:top w:val="single" w:sz="8" w:color="EDEDED"/>
            </w:tcBorders>
            <w:shd w:val="clear" w:color="auto" w:fill="EDEDED"/>
          </w:tcPr>
          <w:p>
            <w:pPr>
              <w:spacing w:after="0"/>
              <w:rPr>
                <w:sz w:val="23"/>
                <w:szCs w:val="23"/>
                <w:color w:val="auto"/>
              </w:rPr>
            </w:pPr>
          </w:p>
        </w:tc>
        <w:tc>
          <w:tcPr>
            <w:tcW w:w="360" w:type="dxa"/>
            <w:vAlign w:val="bottom"/>
            <w:tcBorders>
              <w:top w:val="single" w:sz="8" w:color="00162F"/>
            </w:tcBorders>
            <w:shd w:val="clear" w:color="auto" w:fill="EDEDED"/>
          </w:tcPr>
          <w:p>
            <w:pPr>
              <w:spacing w:after="0"/>
              <w:rPr>
                <w:sz w:val="23"/>
                <w:szCs w:val="23"/>
                <w:color w:val="auto"/>
              </w:rPr>
            </w:pPr>
          </w:p>
        </w:tc>
        <w:tc>
          <w:tcPr>
            <w:tcW w:w="1080" w:type="dxa"/>
            <w:vAlign w:val="bottom"/>
            <w:tcBorders>
              <w:top w:val="single" w:sz="8" w:color="00162F"/>
            </w:tcBorders>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220" w:type="dxa"/>
            <w:vAlign w:val="bottom"/>
          </w:tcPr>
          <w:p>
            <w:pPr>
              <w:ind w:left="40"/>
              <w:spacing w:after="0"/>
              <w:rPr>
                <w:sz w:val="20"/>
                <w:szCs w:val="20"/>
                <w:color w:val="auto"/>
              </w:rPr>
            </w:pPr>
            <w:r>
              <w:rPr>
                <w:rFonts w:ascii="Arial" w:cs="Arial" w:eastAsia="Arial" w:hAnsi="Arial"/>
                <w:sz w:val="20"/>
                <w:szCs w:val="20"/>
                <w:b w:val="1"/>
                <w:bCs w:val="1"/>
                <w:color w:val="00162F"/>
              </w:rPr>
              <w:t>Diluted EPS: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Net income</w:t>
            </w:r>
          </w:p>
        </w:tc>
        <w:tc>
          <w:tcPr>
            <w:tcW w:w="340" w:type="dxa"/>
            <w:vAlign w:val="bottom"/>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111</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846</w:t>
            </w:r>
          </w:p>
        </w:tc>
        <w:tc>
          <w:tcPr>
            <w:tcW w:w="420" w:type="dxa"/>
            <w:vAlign w:val="bottom"/>
            <w:gridSpan w:val="2"/>
            <w:shd w:val="clear" w:color="auto" w:fill="EDEDED"/>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822</w:t>
            </w:r>
          </w:p>
        </w:tc>
        <w:tc>
          <w:tcPr>
            <w:tcW w:w="0" w:type="dxa"/>
            <w:vAlign w:val="bottom"/>
          </w:tcPr>
          <w:p>
            <w:pPr>
              <w:spacing w:after="0"/>
              <w:rPr>
                <w:sz w:val="1"/>
                <w:szCs w:val="1"/>
                <w:color w:val="auto"/>
              </w:rPr>
            </w:pPr>
          </w:p>
        </w:tc>
      </w:tr>
      <w:tr>
        <w:trPr>
          <w:trHeight w:val="287"/>
        </w:trPr>
        <w:tc>
          <w:tcPr>
            <w:tcW w:w="622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Interest expense on 6.50% convertible senior notes</w:t>
            </w: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3"/>
              <w:spacing w:after="0"/>
              <w:rPr>
                <w:sz w:val="20"/>
                <w:szCs w:val="20"/>
                <w:color w:val="auto"/>
              </w:rPr>
            </w:pPr>
            <w:r>
              <w:rPr>
                <w:rFonts w:ascii="Arial" w:cs="Arial" w:eastAsia="Arial" w:hAnsi="Arial"/>
                <w:sz w:val="20"/>
                <w:szCs w:val="20"/>
                <w:color w:val="00162F"/>
              </w:rPr>
              <w:t>51</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46</w:t>
            </w:r>
          </w:p>
        </w:tc>
        <w:tc>
          <w:tcPr>
            <w:tcW w:w="0" w:type="dxa"/>
            <w:vAlign w:val="bottom"/>
          </w:tcPr>
          <w:p>
            <w:pPr>
              <w:spacing w:after="0"/>
              <w:rPr>
                <w:sz w:val="1"/>
                <w:szCs w:val="1"/>
                <w:color w:val="auto"/>
              </w:rPr>
            </w:pPr>
          </w:p>
        </w:tc>
      </w:tr>
      <w:tr>
        <w:trPr>
          <w:trHeight w:val="29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Net income for purposes of computing diluted EPS</w:t>
            </w:r>
          </w:p>
        </w:tc>
        <w:tc>
          <w:tcPr>
            <w:tcW w:w="340" w:type="dxa"/>
            <w:vAlign w:val="bottom"/>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111</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897</w:t>
            </w:r>
          </w:p>
        </w:tc>
        <w:tc>
          <w:tcPr>
            <w:tcW w:w="420" w:type="dxa"/>
            <w:vAlign w:val="bottom"/>
            <w:gridSpan w:val="2"/>
            <w:shd w:val="clear" w:color="auto" w:fill="EDEDED"/>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868</w:t>
            </w:r>
          </w:p>
        </w:tc>
        <w:tc>
          <w:tcPr>
            <w:tcW w:w="0" w:type="dxa"/>
            <w:vAlign w:val="bottom"/>
          </w:tcPr>
          <w:p>
            <w:pPr>
              <w:spacing w:after="0"/>
              <w:rPr>
                <w:sz w:val="1"/>
                <w:szCs w:val="1"/>
                <w:color w:val="auto"/>
              </w:rPr>
            </w:pPr>
          </w:p>
        </w:tc>
      </w:tr>
      <w:tr>
        <w:trPr>
          <w:trHeight w:val="264"/>
        </w:trPr>
        <w:tc>
          <w:tcPr>
            <w:tcW w:w="6220" w:type="dxa"/>
            <w:vAlign w:val="bottom"/>
            <w:tcBorders>
              <w:top w:val="single" w:sz="8" w:color="EDEDED"/>
            </w:tcBorders>
          </w:tcPr>
          <w:p>
            <w:pPr>
              <w:ind w:left="40"/>
              <w:spacing w:after="0"/>
              <w:rPr>
                <w:sz w:val="20"/>
                <w:szCs w:val="20"/>
                <w:color w:val="auto"/>
              </w:rPr>
            </w:pPr>
            <w:r>
              <w:rPr>
                <w:rFonts w:ascii="Arial" w:cs="Arial" w:eastAsia="Arial" w:hAnsi="Arial"/>
                <w:sz w:val="20"/>
                <w:szCs w:val="20"/>
                <w:color w:val="00162F"/>
              </w:rPr>
              <w:t>Share computation for diluted EPS (in thousands):</w:t>
            </w:r>
          </w:p>
        </w:tc>
        <w:tc>
          <w:tcPr>
            <w:tcW w:w="340" w:type="dxa"/>
            <w:vAlign w:val="bottom"/>
            <w:tcBorders>
              <w:top w:val="single" w:sz="8" w:color="00162F"/>
            </w:tcBorders>
          </w:tcPr>
          <w:p>
            <w:pPr>
              <w:spacing w:after="0"/>
              <w:rPr>
                <w:sz w:val="22"/>
                <w:szCs w:val="22"/>
                <w:color w:val="auto"/>
              </w:rPr>
            </w:pPr>
          </w:p>
        </w:tc>
        <w:tc>
          <w:tcPr>
            <w:tcW w:w="1100" w:type="dxa"/>
            <w:vAlign w:val="bottom"/>
            <w:tcBorders>
              <w:top w:val="single" w:sz="8" w:color="00162F"/>
            </w:tcBorders>
          </w:tcPr>
          <w:p>
            <w:pPr>
              <w:spacing w:after="0"/>
              <w:rPr>
                <w:sz w:val="22"/>
                <w:szCs w:val="22"/>
                <w:color w:val="auto"/>
              </w:rPr>
            </w:pPr>
          </w:p>
        </w:tc>
        <w:tc>
          <w:tcPr>
            <w:tcW w:w="80" w:type="dxa"/>
            <w:vAlign w:val="bottom"/>
            <w:tcBorders>
              <w:top w:val="single" w:sz="8" w:color="EDEDED"/>
            </w:tcBorders>
          </w:tcPr>
          <w:p>
            <w:pPr>
              <w:spacing w:after="0"/>
              <w:rPr>
                <w:sz w:val="22"/>
                <w:szCs w:val="22"/>
                <w:color w:val="auto"/>
              </w:rPr>
            </w:pPr>
          </w:p>
        </w:tc>
        <w:tc>
          <w:tcPr>
            <w:tcW w:w="340" w:type="dxa"/>
            <w:vAlign w:val="bottom"/>
            <w:tcBorders>
              <w:top w:val="single" w:sz="8" w:color="00162F"/>
            </w:tcBorders>
          </w:tcPr>
          <w:p>
            <w:pPr>
              <w:spacing w:after="0"/>
              <w:rPr>
                <w:sz w:val="22"/>
                <w:szCs w:val="22"/>
                <w:color w:val="auto"/>
              </w:rPr>
            </w:pPr>
          </w:p>
        </w:tc>
        <w:tc>
          <w:tcPr>
            <w:tcW w:w="1100" w:type="dxa"/>
            <w:vAlign w:val="bottom"/>
            <w:tcBorders>
              <w:top w:val="single" w:sz="8" w:color="00162F"/>
            </w:tcBorders>
          </w:tcPr>
          <w:p>
            <w:pPr>
              <w:spacing w:after="0"/>
              <w:rPr>
                <w:sz w:val="22"/>
                <w:szCs w:val="22"/>
                <w:color w:val="auto"/>
              </w:rPr>
            </w:pPr>
          </w:p>
        </w:tc>
        <w:tc>
          <w:tcPr>
            <w:tcW w:w="60" w:type="dxa"/>
            <w:vAlign w:val="bottom"/>
            <w:tcBorders>
              <w:top w:val="single" w:sz="8" w:color="EDEDED"/>
            </w:tcBorders>
          </w:tcPr>
          <w:p>
            <w:pPr>
              <w:spacing w:after="0"/>
              <w:rPr>
                <w:sz w:val="22"/>
                <w:szCs w:val="22"/>
                <w:color w:val="auto"/>
              </w:rPr>
            </w:pPr>
          </w:p>
        </w:tc>
        <w:tc>
          <w:tcPr>
            <w:tcW w:w="360" w:type="dxa"/>
            <w:vAlign w:val="bottom"/>
            <w:tcBorders>
              <w:top w:val="single" w:sz="8" w:color="00162F"/>
            </w:tcBorders>
          </w:tcPr>
          <w:p>
            <w:pPr>
              <w:spacing w:after="0"/>
              <w:rPr>
                <w:sz w:val="22"/>
                <w:szCs w:val="22"/>
                <w:color w:val="auto"/>
              </w:rPr>
            </w:pPr>
          </w:p>
        </w:tc>
        <w:tc>
          <w:tcPr>
            <w:tcW w:w="1080" w:type="dxa"/>
            <w:vAlign w:val="bottom"/>
            <w:tcBorders>
              <w:top w:val="single" w:sz="8" w:color="00162F"/>
            </w:tcBorders>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6220" w:type="dxa"/>
            <w:vAlign w:val="bottom"/>
            <w:shd w:val="clear" w:color="auto" w:fill="EDEDED"/>
          </w:tcPr>
          <w:p>
            <w:pPr>
              <w:ind w:left="260"/>
              <w:spacing w:after="0"/>
              <w:rPr>
                <w:sz w:val="20"/>
                <w:szCs w:val="20"/>
                <w:color w:val="auto"/>
              </w:rPr>
            </w:pPr>
            <w:r>
              <w:rPr>
                <w:rFonts w:ascii="Arial" w:cs="Arial" w:eastAsia="Arial" w:hAnsi="Arial"/>
                <w:sz w:val="20"/>
                <w:szCs w:val="20"/>
                <w:color w:val="00162F"/>
              </w:rPr>
              <w:t>Basic weighted average common shares outstanding</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659,964</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656,996</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653,612</w:t>
            </w:r>
          </w:p>
        </w:tc>
        <w:tc>
          <w:tcPr>
            <w:tcW w:w="0" w:type="dxa"/>
            <w:vAlign w:val="bottom"/>
          </w:tcPr>
          <w:p>
            <w:pPr>
              <w:spacing w:after="0"/>
              <w:rPr>
                <w:sz w:val="1"/>
                <w:szCs w:val="1"/>
                <w:color w:val="auto"/>
              </w:rPr>
            </w:pPr>
          </w:p>
        </w:tc>
      </w:tr>
      <w:tr>
        <w:trPr>
          <w:trHeight w:val="293"/>
        </w:trPr>
        <w:tc>
          <w:tcPr>
            <w:tcW w:w="6220" w:type="dxa"/>
            <w:vAlign w:val="bottom"/>
          </w:tcPr>
          <w:p>
            <w:pPr>
              <w:ind w:left="260"/>
              <w:spacing w:after="0"/>
              <w:rPr>
                <w:sz w:val="20"/>
                <w:szCs w:val="20"/>
                <w:color w:val="auto"/>
              </w:rPr>
            </w:pPr>
            <w:r>
              <w:rPr>
                <w:rFonts w:ascii="Arial" w:cs="Arial" w:eastAsia="Arial" w:hAnsi="Arial"/>
                <w:sz w:val="20"/>
                <w:szCs w:val="20"/>
                <w:color w:val="00162F"/>
              </w:rPr>
              <w:t>Dilutive effect of restricted stock unit awards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763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1,121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1,830</w:t>
            </w:r>
          </w:p>
        </w:tc>
        <w:tc>
          <w:tcPr>
            <w:tcW w:w="0" w:type="dxa"/>
            <w:vAlign w:val="bottom"/>
          </w:tcPr>
          <w:p>
            <w:pPr>
              <w:spacing w:after="0"/>
              <w:rPr>
                <w:sz w:val="1"/>
                <w:szCs w:val="1"/>
                <w:color w:val="auto"/>
              </w:rPr>
            </w:pPr>
          </w:p>
        </w:tc>
      </w:tr>
      <w:tr>
        <w:trPr>
          <w:trHeight w:val="210"/>
        </w:trPr>
        <w:tc>
          <w:tcPr>
            <w:tcW w:w="6220" w:type="dxa"/>
            <w:vAlign w:val="bottom"/>
            <w:shd w:val="clear" w:color="auto" w:fill="EDEDED"/>
          </w:tcPr>
          <w:p>
            <w:pPr>
              <w:ind w:left="260"/>
              <w:spacing w:after="0" w:line="209" w:lineRule="exact"/>
              <w:rPr>
                <w:sz w:val="20"/>
                <w:szCs w:val="20"/>
                <w:color w:val="auto"/>
              </w:rPr>
            </w:pPr>
            <w:r>
              <w:rPr>
                <w:rFonts w:ascii="Arial" w:cs="Arial" w:eastAsia="Arial" w:hAnsi="Arial"/>
                <w:sz w:val="20"/>
                <w:szCs w:val="20"/>
                <w:color w:val="00162F"/>
              </w:rPr>
              <w:t>Dilutive effect of certain PSP Warrants and Treasury Loan</w:t>
            </w:r>
          </w:p>
        </w:tc>
        <w:tc>
          <w:tcPr>
            <w:tcW w:w="340" w:type="dxa"/>
            <w:vAlign w:val="bottom"/>
            <w:shd w:val="clear" w:color="auto" w:fill="EDEDED"/>
          </w:tcPr>
          <w:p>
            <w:pPr>
              <w:spacing w:after="0"/>
              <w:rPr>
                <w:sz w:val="18"/>
                <w:szCs w:val="18"/>
                <w:color w:val="auto"/>
              </w:rPr>
            </w:pPr>
          </w:p>
        </w:tc>
        <w:tc>
          <w:tcPr>
            <w:tcW w:w="110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325</w:t>
            </w:r>
          </w:p>
        </w:tc>
        <w:tc>
          <w:tcPr>
            <w:tcW w:w="80" w:type="dxa"/>
            <w:vAlign w:val="bottom"/>
            <w:shd w:val="clear" w:color="auto" w:fill="EDEDED"/>
          </w:tcPr>
          <w:p>
            <w:pPr>
              <w:spacing w:after="0"/>
              <w:rPr>
                <w:sz w:val="18"/>
                <w:szCs w:val="18"/>
                <w:color w:val="auto"/>
              </w:rPr>
            </w:pPr>
          </w:p>
        </w:tc>
        <w:tc>
          <w:tcPr>
            <w:tcW w:w="340" w:type="dxa"/>
            <w:vAlign w:val="bottom"/>
            <w:shd w:val="clear" w:color="auto" w:fill="EDEDED"/>
          </w:tcPr>
          <w:p>
            <w:pPr>
              <w:spacing w:after="0"/>
              <w:rPr>
                <w:sz w:val="18"/>
                <w:szCs w:val="18"/>
                <w:color w:val="auto"/>
              </w:rPr>
            </w:pPr>
          </w:p>
        </w:tc>
        <w:tc>
          <w:tcPr>
            <w:tcW w:w="1100" w:type="dxa"/>
            <w:vAlign w:val="bottom"/>
            <w:vMerge w:val="restart"/>
            <w:shd w:val="clear" w:color="auto" w:fill="EDEDED"/>
          </w:tcPr>
          <w:p>
            <w:pPr>
              <w:jc w:val="right"/>
              <w:ind w:right="3"/>
              <w:spacing w:after="0"/>
              <w:rPr>
                <w:sz w:val="20"/>
                <w:szCs w:val="20"/>
                <w:color w:val="auto"/>
              </w:rPr>
            </w:pPr>
            <w:r>
              <w:rPr>
                <w:rFonts w:ascii="Arial" w:cs="Arial" w:eastAsia="Arial" w:hAnsi="Arial"/>
                <w:sz w:val="20"/>
                <w:szCs w:val="20"/>
                <w:color w:val="00162F"/>
              </w:rPr>
              <w:t>1,455</w:t>
            </w:r>
          </w:p>
        </w:tc>
        <w:tc>
          <w:tcPr>
            <w:tcW w:w="6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108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2,499</w:t>
            </w:r>
          </w:p>
        </w:tc>
        <w:tc>
          <w:tcPr>
            <w:tcW w:w="0" w:type="dxa"/>
            <w:vAlign w:val="bottom"/>
          </w:tcPr>
          <w:p>
            <w:pPr>
              <w:spacing w:after="0"/>
              <w:rPr>
                <w:sz w:val="1"/>
                <w:szCs w:val="1"/>
                <w:color w:val="auto"/>
              </w:rPr>
            </w:pPr>
          </w:p>
        </w:tc>
      </w:tr>
      <w:tr>
        <w:trPr>
          <w:trHeight w:val="269"/>
        </w:trPr>
        <w:tc>
          <w:tcPr>
            <w:tcW w:w="6220" w:type="dxa"/>
            <w:vAlign w:val="bottom"/>
            <w:shd w:val="clear" w:color="auto" w:fill="EDEDED"/>
          </w:tcPr>
          <w:p>
            <w:pPr>
              <w:ind w:left="360"/>
              <w:spacing w:after="0"/>
              <w:rPr>
                <w:sz w:val="20"/>
                <w:szCs w:val="20"/>
                <w:color w:val="auto"/>
              </w:rPr>
            </w:pPr>
            <w:r>
              <w:rPr>
                <w:rFonts w:ascii="Arial" w:cs="Arial" w:eastAsia="Arial" w:hAnsi="Arial"/>
                <w:sz w:val="20"/>
                <w:szCs w:val="20"/>
                <w:color w:val="00162F"/>
              </w:rPr>
              <w:t>Warrants</w:t>
            </w:r>
          </w:p>
        </w:tc>
        <w:tc>
          <w:tcPr>
            <w:tcW w:w="340" w:type="dxa"/>
            <w:vAlign w:val="bottom"/>
            <w:shd w:val="clear" w:color="auto" w:fill="EDEDED"/>
          </w:tcPr>
          <w:p>
            <w:pPr>
              <w:spacing w:after="0"/>
              <w:rPr>
                <w:sz w:val="23"/>
                <w:szCs w:val="23"/>
                <w:color w:val="auto"/>
              </w:rPr>
            </w:pPr>
          </w:p>
        </w:tc>
        <w:tc>
          <w:tcPr>
            <w:tcW w:w="1100" w:type="dxa"/>
            <w:vAlign w:val="bottom"/>
            <w:vMerge w:val="continue"/>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340" w:type="dxa"/>
            <w:vAlign w:val="bottom"/>
            <w:shd w:val="clear" w:color="auto" w:fill="EDEDED"/>
          </w:tcPr>
          <w:p>
            <w:pPr>
              <w:spacing w:after="0"/>
              <w:rPr>
                <w:sz w:val="23"/>
                <w:szCs w:val="23"/>
                <w:color w:val="auto"/>
              </w:rPr>
            </w:pPr>
          </w:p>
        </w:tc>
        <w:tc>
          <w:tcPr>
            <w:tcW w:w="1100" w:type="dxa"/>
            <w:vAlign w:val="bottom"/>
            <w:vMerge w:val="continue"/>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360" w:type="dxa"/>
            <w:vAlign w:val="bottom"/>
            <w:shd w:val="clear" w:color="auto" w:fill="EDEDED"/>
          </w:tcPr>
          <w:p>
            <w:pPr>
              <w:spacing w:after="0"/>
              <w:rPr>
                <w:sz w:val="23"/>
                <w:szCs w:val="23"/>
                <w:color w:val="auto"/>
              </w:rPr>
            </w:pPr>
          </w:p>
        </w:tc>
        <w:tc>
          <w:tcPr>
            <w:tcW w:w="1080" w:type="dxa"/>
            <w:vAlign w:val="bottom"/>
            <w:vMerge w:val="continue"/>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6220" w:type="dxa"/>
            <w:vAlign w:val="bottom"/>
            <w:tcBorders>
              <w:bottom w:val="single" w:sz="8" w:color="EDEDED"/>
            </w:tcBorders>
          </w:tcPr>
          <w:p>
            <w:pPr>
              <w:ind w:left="260"/>
              <w:spacing w:after="0"/>
              <w:rPr>
                <w:sz w:val="20"/>
                <w:szCs w:val="20"/>
                <w:color w:val="auto"/>
              </w:rPr>
            </w:pPr>
            <w:r>
              <w:rPr>
                <w:rFonts w:ascii="Arial" w:cs="Arial" w:eastAsia="Arial" w:hAnsi="Arial"/>
                <w:sz w:val="20"/>
                <w:szCs w:val="20"/>
                <w:color w:val="00162F"/>
              </w:rPr>
              <w:t>Assumed conversion of 6.50% convertible senior notes</w:t>
            </w: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3"/>
              <w:spacing w:after="0"/>
              <w:rPr>
                <w:sz w:val="20"/>
                <w:szCs w:val="20"/>
                <w:color w:val="auto"/>
              </w:rPr>
            </w:pPr>
            <w:r>
              <w:rPr>
                <w:rFonts w:ascii="Arial" w:cs="Arial" w:eastAsia="Arial" w:hAnsi="Arial"/>
                <w:sz w:val="20"/>
                <w:szCs w:val="20"/>
                <w:color w:val="00162F"/>
              </w:rPr>
              <w:t>61,728</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61,728</w:t>
            </w:r>
          </w:p>
        </w:tc>
        <w:tc>
          <w:tcPr>
            <w:tcW w:w="0" w:type="dxa"/>
            <w:vAlign w:val="bottom"/>
          </w:tcPr>
          <w:p>
            <w:pPr>
              <w:spacing w:after="0"/>
              <w:rPr>
                <w:sz w:val="1"/>
                <w:szCs w:val="1"/>
                <w:color w:val="auto"/>
              </w:rPr>
            </w:pPr>
          </w:p>
        </w:tc>
      </w:tr>
      <w:tr>
        <w:trPr>
          <w:trHeight w:val="277"/>
        </w:trPr>
        <w:tc>
          <w:tcPr>
            <w:tcW w:w="622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20"/>
                <w:szCs w:val="20"/>
                <w:color w:val="00162F"/>
              </w:rPr>
              <w:t>Diluted weighted average common shares outstanding</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661,052</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721,300</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719,669</w:t>
            </w:r>
          </w:p>
        </w:tc>
        <w:tc>
          <w:tcPr>
            <w:tcW w:w="0" w:type="dxa"/>
            <w:vAlign w:val="bottom"/>
          </w:tcPr>
          <w:p>
            <w:pPr>
              <w:spacing w:after="0"/>
              <w:rPr>
                <w:sz w:val="1"/>
                <w:szCs w:val="1"/>
                <w:color w:val="auto"/>
              </w:rPr>
            </w:pPr>
          </w:p>
        </w:tc>
      </w:tr>
      <w:tr>
        <w:trPr>
          <w:trHeight w:val="257"/>
        </w:trPr>
        <w:tc>
          <w:tcPr>
            <w:tcW w:w="6220" w:type="dxa"/>
            <w:vAlign w:val="bottom"/>
          </w:tcPr>
          <w:p>
            <w:pPr>
              <w:ind w:left="760"/>
              <w:spacing w:after="0"/>
              <w:rPr>
                <w:sz w:val="20"/>
                <w:szCs w:val="20"/>
                <w:color w:val="auto"/>
              </w:rPr>
            </w:pPr>
            <w:r>
              <w:rPr>
                <w:rFonts w:ascii="Arial" w:cs="Arial" w:eastAsia="Arial" w:hAnsi="Arial"/>
                <w:sz w:val="20"/>
                <w:szCs w:val="20"/>
                <w:color w:val="00162F"/>
              </w:rPr>
              <w:t>Diluted EPS</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0.17</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1.24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1.21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1080" w:type="dxa"/>
            <w:vAlign w:val="bottom"/>
            <w:tcBorders>
              <w:top w:val="single" w:sz="8" w:color="00162F"/>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-3170555</wp:posOffset>
            </wp:positionV>
            <wp:extent cx="2863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2">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-2604770</wp:posOffset>
            </wp:positionV>
            <wp:extent cx="19361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3">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-2428875</wp:posOffset>
            </wp:positionV>
            <wp:extent cx="286321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4">
                      <a:extLst>
                        <a:ext uri="{28A0092B-C50C-407E-A947-70E740481C1C}"/>
                      </a:extLst>
                    </a:blip>
                    <a:srcRect/>
                    <a:stretch>
                      <a:fillRect/>
                    </a:stretch>
                  </pic:blipFill>
                  <pic:spPr bwMode="auto">
                    <a:xfrm>
                      <a:off x="0" y="0"/>
                      <a:ext cx="2863215" cy="5080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-1661795</wp:posOffset>
            </wp:positionV>
            <wp:extent cx="19361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5">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-1485900</wp:posOffset>
            </wp:positionV>
            <wp:extent cx="286321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6">
                      <a:extLst>
                        <a:ext uri="{28A0092B-C50C-407E-A947-70E740481C1C}"/>
                      </a:extLst>
                    </a:blip>
                    <a:srcRect/>
                    <a:stretch>
                      <a:fillRect/>
                    </a:stretch>
                  </pic:blipFill>
                  <pic:spPr bwMode="auto">
                    <a:xfrm>
                      <a:off x="0" y="0"/>
                      <a:ext cx="2863215" cy="5080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-408305</wp:posOffset>
            </wp:positionV>
            <wp:extent cx="19361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7">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-219710</wp:posOffset>
            </wp:positionV>
            <wp:extent cx="19361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8">
                      <a:extLst>
                        <a:ext uri="{28A0092B-C50C-407E-A947-70E740481C1C}"/>
                      </a:extLst>
                    </a:blip>
                    <a:srcRect/>
                    <a:stretch>
                      <a:fillRect/>
                    </a:stretch>
                  </pic:blipFill>
                  <pic:spPr bwMode="auto">
                    <a:xfrm>
                      <a:off x="0" y="0"/>
                      <a:ext cx="1936115" cy="25400"/>
                    </a:xfrm>
                    <a:prstGeom prst="rect">
                      <a:avLst/>
                    </a:prstGeom>
                    <a:noFill/>
                  </pic:spPr>
                </pic:pic>
              </a:graphicData>
            </a:graphic>
          </wp:anchor>
        </w:drawing>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96</w:t>
      </w:r>
    </w:p>
    <w:p>
      <w:pPr>
        <w:sectPr>
          <w:pgSz w:w="11880" w:h="15480" w:orient="portrait"/>
          <w:cols w:equalWidth="0" w:num="1">
            <w:col w:w="10685"/>
          </w:cols>
          <w:pgMar w:left="595" w:top="487" w:right="600" w:bottom="0" w:gutter="0" w:footer="0" w:header="0"/>
          <w:type w:val="continuous"/>
        </w:sectPr>
      </w:pPr>
    </w:p>
    <w:bookmarkStart w:id="97" w:name="page98"/>
    <w:bookmarkEnd w:id="97"/>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ind w:left="5" w:firstLine="267"/>
        <w:spacing w:after="0" w:line="282" w:lineRule="auto"/>
        <w:rPr>
          <w:sz w:val="20"/>
          <w:szCs w:val="20"/>
          <w:color w:val="auto"/>
        </w:rPr>
      </w:pPr>
      <w:r>
        <w:rPr>
          <w:rFonts w:ascii="Arial" w:cs="Arial" w:eastAsia="Arial" w:hAnsi="Arial"/>
          <w:sz w:val="20"/>
          <w:szCs w:val="20"/>
          <w:color w:val="00162F"/>
        </w:rPr>
        <w:t>The following were excluded from the calculation of diluted EPS because inclusion of such shares would be antidilutive (in thousands):</w:t>
      </w:r>
    </w:p>
    <w:p>
      <w:pPr>
        <w:spacing w:after="0" w:line="118"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380" w:type="dxa"/>
            <w:vAlign w:val="bottom"/>
            <w:tcBorders>
              <w:bottom w:val="single" w:sz="8" w:color="00162F"/>
            </w:tcBorders>
            <w:gridSpan w:val="5"/>
          </w:tcPr>
          <w:p>
            <w:pPr>
              <w:ind w:left="126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1440" w:type="dxa"/>
            <w:vAlign w:val="bottom"/>
            <w:tcBorders>
              <w:bottom w:val="single" w:sz="8" w:color="00162F"/>
            </w:tcBorders>
          </w:tcPr>
          <w:p>
            <w:pPr>
              <w:jc w:val="right"/>
              <w:ind w:right="451"/>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1440" w:type="dxa"/>
            <w:vAlign w:val="bottom"/>
            <w:tcBorders>
              <w:bottom w:val="single" w:sz="8" w:color="00162F"/>
            </w:tcBorders>
          </w:tcPr>
          <w:p>
            <w:pPr>
              <w:jc w:val="right"/>
              <w:ind w:right="471"/>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8"/>
              <w:spacing w:after="0"/>
              <w:rPr>
                <w:sz w:val="20"/>
                <w:szCs w:val="20"/>
                <w:color w:val="auto"/>
              </w:rPr>
            </w:pPr>
            <w:r>
              <w:rPr>
                <w:rFonts w:ascii="Arial" w:cs="Arial" w:eastAsia="Arial" w:hAnsi="Arial"/>
                <w:sz w:val="16"/>
                <w:szCs w:val="16"/>
                <w:b w:val="1"/>
                <w:bCs w:val="1"/>
                <w:color w:val="00162F"/>
              </w:rPr>
              <w:t>2023</w:t>
            </w:r>
          </w:p>
        </w:tc>
      </w:tr>
      <w:tr>
        <w:trPr>
          <w:trHeight w:val="272"/>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xml:space="preserve">6.50% convertible senior notes </w:t>
            </w:r>
            <w:r>
              <w:rPr>
                <w:rFonts w:ascii="Arial" w:cs="Arial" w:eastAsia="Arial" w:hAnsi="Arial"/>
                <w:sz w:val="12"/>
                <w:szCs w:val="12"/>
                <w:color w:val="00162F"/>
              </w:rPr>
              <w:t>(1)</w:t>
            </w:r>
          </w:p>
        </w:tc>
        <w:tc>
          <w:tcPr>
            <w:tcW w:w="14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15,432</w:t>
            </w:r>
          </w:p>
        </w:tc>
        <w:tc>
          <w:tcPr>
            <w:tcW w:w="80" w:type="dxa"/>
            <w:vAlign w:val="bottom"/>
            <w:shd w:val="clear" w:color="auto" w:fill="EDEDED"/>
          </w:tcPr>
          <w:p>
            <w:pPr>
              <w:spacing w:after="0"/>
              <w:rPr>
                <w:sz w:val="23"/>
                <w:szCs w:val="23"/>
                <w:color w:val="auto"/>
              </w:rPr>
            </w:pPr>
          </w:p>
        </w:tc>
        <w:tc>
          <w:tcPr>
            <w:tcW w:w="1860" w:type="dxa"/>
            <w:vAlign w:val="bottom"/>
            <w:gridSpan w:val="3"/>
            <w:shd w:val="clear" w:color="auto" w:fill="EDEDED"/>
          </w:tcPr>
          <w:p>
            <w:pPr>
              <w:jc w:val="right"/>
              <w:ind w:right="52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75"/>
        </w:trPr>
        <w:tc>
          <w:tcPr>
            <w:tcW w:w="6220" w:type="dxa"/>
            <w:vAlign w:val="bottom"/>
          </w:tcPr>
          <w:p>
            <w:pPr>
              <w:ind w:left="40"/>
              <w:spacing w:after="0"/>
              <w:rPr>
                <w:sz w:val="20"/>
                <w:szCs w:val="20"/>
                <w:color w:val="auto"/>
              </w:rPr>
            </w:pPr>
            <w:r>
              <w:rPr>
                <w:rFonts w:ascii="Arial" w:cs="Arial" w:eastAsia="Arial" w:hAnsi="Arial"/>
                <w:sz w:val="20"/>
                <w:szCs w:val="20"/>
                <w:color w:val="00162F"/>
              </w:rPr>
              <w:t>Restricted stock unit awards</w:t>
            </w:r>
          </w:p>
        </w:tc>
        <w:tc>
          <w:tcPr>
            <w:tcW w:w="1440" w:type="dxa"/>
            <w:vAlign w:val="bottom"/>
          </w:tcPr>
          <w:p>
            <w:pPr>
              <w:jc w:val="right"/>
              <w:spacing w:after="0"/>
              <w:rPr>
                <w:sz w:val="20"/>
                <w:szCs w:val="20"/>
                <w:color w:val="auto"/>
              </w:rPr>
            </w:pPr>
            <w:r>
              <w:rPr>
                <w:rFonts w:ascii="Arial" w:cs="Arial" w:eastAsia="Arial" w:hAnsi="Arial"/>
                <w:sz w:val="20"/>
                <w:szCs w:val="20"/>
                <w:color w:val="00162F"/>
              </w:rPr>
              <w:t>1,188</w:t>
            </w:r>
          </w:p>
        </w:tc>
        <w:tc>
          <w:tcPr>
            <w:tcW w:w="1520" w:type="dxa"/>
            <w:vAlign w:val="bottom"/>
            <w:gridSpan w:val="2"/>
          </w:tcPr>
          <w:p>
            <w:pPr>
              <w:jc w:val="right"/>
              <w:ind w:right="11"/>
              <w:spacing w:after="0"/>
              <w:rPr>
                <w:sz w:val="20"/>
                <w:szCs w:val="20"/>
                <w:color w:val="auto"/>
              </w:rPr>
            </w:pPr>
            <w:r>
              <w:rPr>
                <w:rFonts w:ascii="Arial" w:cs="Arial" w:eastAsia="Arial" w:hAnsi="Arial"/>
                <w:sz w:val="20"/>
                <w:szCs w:val="20"/>
                <w:color w:val="00162F"/>
              </w:rPr>
              <w:t>2,350</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4,371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-365760</wp:posOffset>
            </wp:positionV>
            <wp:extent cx="2863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9">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wp:posOffset>
            </wp:positionV>
            <wp:extent cx="125412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0">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04" w:lineRule="exact"/>
        <w:rPr>
          <w:sz w:val="20"/>
          <w:szCs w:val="20"/>
          <w:color w:val="auto"/>
        </w:rPr>
      </w:pPr>
    </w:p>
    <w:p>
      <w:pPr>
        <w:jc w:val="both"/>
        <w:ind w:left="365" w:hanging="365"/>
        <w:spacing w:after="0" w:line="259" w:lineRule="auto"/>
        <w:tabs>
          <w:tab w:leader="none" w:pos="365" w:val="left"/>
        </w:tabs>
        <w:numPr>
          <w:ilvl w:val="0"/>
          <w:numId w:val="45"/>
        </w:numPr>
        <w:rPr>
          <w:rFonts w:ascii="Arial" w:cs="Arial" w:eastAsia="Arial" w:hAnsi="Arial"/>
          <w:sz w:val="13"/>
          <w:szCs w:val="13"/>
          <w:color w:val="00162F"/>
        </w:rPr>
      </w:pPr>
      <w:r>
        <w:rPr>
          <w:rFonts w:ascii="Arial" w:cs="Arial" w:eastAsia="Arial" w:hAnsi="Arial"/>
          <w:sz w:val="20"/>
          <w:szCs w:val="20"/>
          <w:color w:val="00162F"/>
        </w:rPr>
        <w:t>On March 27, 2025, we provided notice to the holders of our 6.50% convertible senior notes due 2025 (Convertible Notes) that we would settle our Convertible Notes at their maturity in cash on July 1, 2025. As a result, we have excluded the Convertible Notes from the calculation of diluted EPS for the quarterly periods ending after March 31, 2025.</w:t>
      </w:r>
    </w:p>
    <w:p>
      <w:pPr>
        <w:spacing w:after="0" w:line="136" w:lineRule="exact"/>
        <w:rPr>
          <w:sz w:val="20"/>
          <w:szCs w:val="20"/>
          <w:color w:val="auto"/>
        </w:rPr>
      </w:pPr>
    </w:p>
    <w:p>
      <w:pPr>
        <w:jc w:val="both"/>
        <w:ind w:left="5" w:firstLine="267"/>
        <w:spacing w:after="0" w:line="254" w:lineRule="auto"/>
        <w:rPr>
          <w:sz w:val="20"/>
          <w:szCs w:val="20"/>
          <w:color w:val="auto"/>
        </w:rPr>
      </w:pPr>
      <w:r>
        <w:rPr>
          <w:rFonts w:ascii="Arial" w:cs="Arial" w:eastAsia="Arial" w:hAnsi="Arial"/>
          <w:sz w:val="20"/>
          <w:szCs w:val="20"/>
          <w:color w:val="00162F"/>
        </w:rPr>
        <w:t>In addition, excluded from the calculation of diluted EPS because inclusion of such shares would be antidilutive, are certain shares underlying the warrants issued pursuant to (i) the payroll support program established under the Coronavirus Aid, Relief, and Economic Security Act (PSP1), (ii) the payroll support program established under the Subtitle A of Title IV of Division N of the Consolidated Appropriations Act, 2021 (PSP2), (iii) the payroll support program established under the American Rescue Plan Act of 2021 (PSP3, and together with PSP1 and PSP2, the PSP Warrants) and (iv) the Loan and Guarantee Agreement with the U.S. Department of Treasury (Treasury Loan Warrants).</w:t>
      </w:r>
    </w:p>
    <w:p>
      <w:pPr>
        <w:spacing w:after="0" w:line="143"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During the first quarter of 2025, all of the PSP1 Warrants and Treasury Loan Warrants, 14.0 million shares and 4.4 million shares, respectively, were exercised at an exercise price of $12.51 per share and net settled in cash for $79 million, reflected within other financing activities in the consolidated statement of cash flows.</w:t>
      </w:r>
    </w:p>
    <w:p>
      <w:pPr>
        <w:spacing w:after="0" w:line="129"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The table below provides a summary of the warrants outstanding as of December 31, 2025:</w:t>
      </w:r>
    </w:p>
    <w:p>
      <w:pPr>
        <w:spacing w:after="0" w:line="231"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3080" w:type="dxa"/>
            <w:vAlign w:val="bottom"/>
            <w:vMerge w:val="restart"/>
          </w:tcPr>
          <w:p>
            <w:pPr>
              <w:ind w:left="40"/>
              <w:spacing w:after="0"/>
              <w:rPr>
                <w:sz w:val="20"/>
                <w:szCs w:val="20"/>
                <w:color w:val="auto"/>
              </w:rPr>
            </w:pPr>
            <w:r>
              <w:rPr>
                <w:rFonts w:ascii="Arial" w:cs="Arial" w:eastAsia="Arial" w:hAnsi="Arial"/>
                <w:sz w:val="16"/>
                <w:szCs w:val="16"/>
                <w:b w:val="1"/>
                <w:bCs w:val="1"/>
                <w:color w:val="00162F"/>
              </w:rPr>
              <w:t>Warrants</w:t>
            </w:r>
          </w:p>
        </w:tc>
        <w:tc>
          <w:tcPr>
            <w:tcW w:w="60" w:type="dxa"/>
            <w:vAlign w:val="bottom"/>
          </w:tcPr>
          <w:p>
            <w:pPr>
              <w:spacing w:after="0"/>
              <w:rPr>
                <w:sz w:val="16"/>
                <w:szCs w:val="16"/>
                <w:color w:val="auto"/>
              </w:rPr>
            </w:pPr>
          </w:p>
        </w:tc>
        <w:tc>
          <w:tcPr>
            <w:tcW w:w="2000" w:type="dxa"/>
            <w:vAlign w:val="bottom"/>
          </w:tcPr>
          <w:p>
            <w:pPr>
              <w:jc w:val="right"/>
              <w:ind w:right="301"/>
              <w:spacing w:after="0"/>
              <w:rPr>
                <w:sz w:val="20"/>
                <w:szCs w:val="20"/>
                <w:color w:val="auto"/>
              </w:rPr>
            </w:pPr>
            <w:r>
              <w:rPr>
                <w:rFonts w:ascii="Arial" w:cs="Arial" w:eastAsia="Arial" w:hAnsi="Arial"/>
                <w:sz w:val="16"/>
                <w:szCs w:val="16"/>
                <w:b w:val="1"/>
                <w:bCs w:val="1"/>
                <w:color w:val="00162F"/>
              </w:rPr>
              <w:t>Warrants Issued</w:t>
            </w:r>
          </w:p>
        </w:tc>
        <w:tc>
          <w:tcPr>
            <w:tcW w:w="60" w:type="dxa"/>
            <w:vAlign w:val="bottom"/>
          </w:tcPr>
          <w:p>
            <w:pPr>
              <w:spacing w:after="0"/>
              <w:rPr>
                <w:sz w:val="16"/>
                <w:szCs w:val="16"/>
                <w:color w:val="auto"/>
              </w:rPr>
            </w:pPr>
          </w:p>
        </w:tc>
        <w:tc>
          <w:tcPr>
            <w:tcW w:w="196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00162F"/>
              </w:rPr>
              <w:t>Exercise Price ($)</w:t>
            </w:r>
          </w:p>
        </w:tc>
        <w:tc>
          <w:tcPr>
            <w:tcW w:w="60" w:type="dxa"/>
            <w:vAlign w:val="bottom"/>
          </w:tcPr>
          <w:p>
            <w:pPr>
              <w:spacing w:after="0"/>
              <w:rPr>
                <w:sz w:val="16"/>
                <w:szCs w:val="16"/>
                <w:color w:val="auto"/>
              </w:rPr>
            </w:pPr>
          </w:p>
        </w:tc>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00162F"/>
                <w:w w:val="99"/>
              </w:rPr>
              <w:t>Expiration</w:t>
            </w:r>
          </w:p>
        </w:tc>
        <w:tc>
          <w:tcPr>
            <w:tcW w:w="0" w:type="dxa"/>
            <w:vAlign w:val="bottom"/>
          </w:tcPr>
          <w:p>
            <w:pPr>
              <w:spacing w:after="0"/>
              <w:rPr>
                <w:sz w:val="1"/>
                <w:szCs w:val="1"/>
                <w:color w:val="auto"/>
              </w:rPr>
            </w:pPr>
          </w:p>
        </w:tc>
      </w:tr>
      <w:tr>
        <w:trPr>
          <w:trHeight w:val="211"/>
        </w:trPr>
        <w:tc>
          <w:tcPr>
            <w:tcW w:w="308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200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 xml:space="preserve">(shares, in thousands) </w:t>
            </w:r>
            <w:r>
              <w:rPr>
                <w:rFonts w:ascii="Arial" w:cs="Arial" w:eastAsia="Arial" w:hAnsi="Arial"/>
                <w:sz w:val="10"/>
                <w:szCs w:val="10"/>
                <w:b w:val="1"/>
                <w:bCs w:val="1"/>
                <w:color w:val="00162F"/>
              </w:rPr>
              <w:t>(1)</w:t>
            </w:r>
          </w:p>
        </w:tc>
        <w:tc>
          <w:tcPr>
            <w:tcW w:w="60" w:type="dxa"/>
            <w:vAlign w:val="bottom"/>
            <w:tcBorders>
              <w:bottom w:val="single" w:sz="8" w:color="EDEDED"/>
            </w:tcBorders>
          </w:tcPr>
          <w:p>
            <w:pPr>
              <w:spacing w:after="0"/>
              <w:rPr>
                <w:sz w:val="18"/>
                <w:szCs w:val="18"/>
                <w:color w:val="auto"/>
              </w:rPr>
            </w:pPr>
          </w:p>
        </w:tc>
        <w:tc>
          <w:tcPr>
            <w:tcW w:w="196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3460" w:type="dxa"/>
            <w:vAlign w:val="bottom"/>
            <w:tcBorders>
              <w:bottom w:val="single" w:sz="8" w:color="00162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08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PSP2 Warrants</w:t>
            </w:r>
          </w:p>
        </w:tc>
        <w:tc>
          <w:tcPr>
            <w:tcW w:w="206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6,576</w:t>
            </w:r>
          </w:p>
        </w:tc>
        <w:tc>
          <w:tcPr>
            <w:tcW w:w="20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15.66</w:t>
            </w:r>
          </w:p>
        </w:tc>
        <w:tc>
          <w:tcPr>
            <w:tcW w:w="60" w:type="dxa"/>
            <w:vAlign w:val="bottom"/>
            <w:shd w:val="clear" w:color="auto" w:fill="EDEDED"/>
          </w:tcPr>
          <w:p>
            <w:pPr>
              <w:spacing w:after="0"/>
              <w:rPr>
                <w:sz w:val="23"/>
                <w:szCs w:val="23"/>
                <w:color w:val="auto"/>
              </w:rPr>
            </w:pPr>
          </w:p>
        </w:tc>
        <w:tc>
          <w:tcPr>
            <w:tcW w:w="346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8"/>
              </w:rPr>
              <w:t xml:space="preserve">January 2026 </w:t>
            </w:r>
            <w:r>
              <w:rPr>
                <w:rFonts w:ascii="Arial" w:cs="Arial" w:eastAsia="Arial" w:hAnsi="Arial"/>
                <w:sz w:val="12"/>
                <w:szCs w:val="12"/>
                <w:color w:val="00162F"/>
                <w:w w:val="98"/>
              </w:rPr>
              <w:t>(2)</w:t>
            </w:r>
            <w:r>
              <w:rPr>
                <w:rFonts w:ascii="Arial" w:cs="Arial" w:eastAsia="Arial" w:hAnsi="Arial"/>
                <w:sz w:val="20"/>
                <w:szCs w:val="20"/>
                <w:color w:val="00162F"/>
                <w:w w:val="98"/>
              </w:rPr>
              <w:t xml:space="preserve"> to April 2026</w:t>
            </w:r>
          </w:p>
        </w:tc>
        <w:tc>
          <w:tcPr>
            <w:tcW w:w="0" w:type="dxa"/>
            <w:vAlign w:val="bottom"/>
          </w:tcPr>
          <w:p>
            <w:pPr>
              <w:spacing w:after="0"/>
              <w:rPr>
                <w:sz w:val="1"/>
                <w:szCs w:val="1"/>
                <w:color w:val="auto"/>
              </w:rPr>
            </w:pPr>
          </w:p>
        </w:tc>
      </w:tr>
      <w:tr>
        <w:trPr>
          <w:trHeight w:val="275"/>
        </w:trPr>
        <w:tc>
          <w:tcPr>
            <w:tcW w:w="3080" w:type="dxa"/>
            <w:vAlign w:val="bottom"/>
          </w:tcPr>
          <w:p>
            <w:pPr>
              <w:ind w:left="40"/>
              <w:spacing w:after="0"/>
              <w:rPr>
                <w:sz w:val="20"/>
                <w:szCs w:val="20"/>
                <w:color w:val="auto"/>
              </w:rPr>
            </w:pPr>
            <w:r>
              <w:rPr>
                <w:rFonts w:ascii="Arial" w:cs="Arial" w:eastAsia="Arial" w:hAnsi="Arial"/>
                <w:sz w:val="20"/>
                <w:szCs w:val="20"/>
                <w:color w:val="00162F"/>
              </w:rPr>
              <w:t>PSP3 Warrants</w:t>
            </w:r>
          </w:p>
        </w:tc>
        <w:tc>
          <w:tcPr>
            <w:tcW w:w="2060" w:type="dxa"/>
            <w:vAlign w:val="bottom"/>
            <w:gridSpan w:val="2"/>
          </w:tcPr>
          <w:p>
            <w:pPr>
              <w:jc w:val="right"/>
              <w:spacing w:after="0"/>
              <w:rPr>
                <w:sz w:val="20"/>
                <w:szCs w:val="20"/>
                <w:color w:val="auto"/>
              </w:rPr>
            </w:pPr>
            <w:r>
              <w:rPr>
                <w:rFonts w:ascii="Arial" w:cs="Arial" w:eastAsia="Arial" w:hAnsi="Arial"/>
                <w:sz w:val="20"/>
                <w:szCs w:val="20"/>
                <w:color w:val="00162F"/>
              </w:rPr>
              <w:t>4,407</w:t>
            </w:r>
          </w:p>
        </w:tc>
        <w:tc>
          <w:tcPr>
            <w:tcW w:w="2020" w:type="dxa"/>
            <w:vAlign w:val="bottom"/>
            <w:gridSpan w:val="2"/>
          </w:tcPr>
          <w:p>
            <w:pPr>
              <w:jc w:val="right"/>
              <w:ind w:right="1"/>
              <w:spacing w:after="0"/>
              <w:rPr>
                <w:sz w:val="20"/>
                <w:szCs w:val="20"/>
                <w:color w:val="auto"/>
              </w:rPr>
            </w:pPr>
            <w:r>
              <w:rPr>
                <w:rFonts w:ascii="Arial" w:cs="Arial" w:eastAsia="Arial" w:hAnsi="Arial"/>
                <w:sz w:val="20"/>
                <w:szCs w:val="20"/>
                <w:color w:val="00162F"/>
              </w:rPr>
              <w:t>21.75</w:t>
            </w:r>
          </w:p>
        </w:tc>
        <w:tc>
          <w:tcPr>
            <w:tcW w:w="60" w:type="dxa"/>
            <w:vAlign w:val="bottom"/>
          </w:tcPr>
          <w:p>
            <w:pPr>
              <w:spacing w:after="0"/>
              <w:rPr>
                <w:sz w:val="23"/>
                <w:szCs w:val="23"/>
                <w:color w:val="auto"/>
              </w:rPr>
            </w:pPr>
          </w:p>
        </w:tc>
        <w:tc>
          <w:tcPr>
            <w:tcW w:w="3460" w:type="dxa"/>
            <w:vAlign w:val="bottom"/>
          </w:tcPr>
          <w:p>
            <w:pPr>
              <w:jc w:val="center"/>
              <w:spacing w:after="0"/>
              <w:rPr>
                <w:sz w:val="20"/>
                <w:szCs w:val="20"/>
                <w:color w:val="auto"/>
              </w:rPr>
            </w:pPr>
            <w:r>
              <w:rPr>
                <w:rFonts w:ascii="Arial" w:cs="Arial" w:eastAsia="Arial" w:hAnsi="Arial"/>
                <w:sz w:val="20"/>
                <w:szCs w:val="20"/>
                <w:color w:val="00162F"/>
                <w:w w:val="98"/>
              </w:rPr>
              <w:t>April 2026 to June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8135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1">
                      <a:extLst>
                        <a:ext uri="{28A0092B-C50C-407E-A947-70E740481C1C}"/>
                      </a:extLst>
                    </a:blip>
                    <a:srcRect/>
                    <a:stretch>
                      <a:fillRect/>
                    </a:stretch>
                  </pic:blipFill>
                  <pic:spPr bwMode="auto">
                    <a:xfrm>
                      <a:off x="0" y="0"/>
                      <a:ext cx="681355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wp:posOffset>
            </wp:positionV>
            <wp:extent cx="125412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2">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04" w:lineRule="exact"/>
        <w:rPr>
          <w:sz w:val="20"/>
          <w:szCs w:val="20"/>
          <w:color w:val="auto"/>
        </w:rPr>
      </w:pPr>
    </w:p>
    <w:p>
      <w:pPr>
        <w:jc w:val="both"/>
        <w:ind w:left="365" w:hanging="365"/>
        <w:spacing w:after="0" w:line="256" w:lineRule="auto"/>
        <w:tabs>
          <w:tab w:leader="none" w:pos="365" w:val="left"/>
        </w:tabs>
        <w:numPr>
          <w:ilvl w:val="0"/>
          <w:numId w:val="46"/>
        </w:numPr>
        <w:rPr>
          <w:rFonts w:ascii="Arial" w:cs="Arial" w:eastAsia="Arial" w:hAnsi="Arial"/>
          <w:sz w:val="13"/>
          <w:szCs w:val="13"/>
          <w:color w:val="00162F"/>
        </w:rPr>
      </w:pPr>
      <w:r>
        <w:rPr>
          <w:rFonts w:ascii="Arial" w:cs="Arial" w:eastAsia="Arial" w:hAnsi="Arial"/>
          <w:sz w:val="20"/>
          <w:szCs w:val="20"/>
          <w:color w:val="00162F"/>
        </w:rPr>
        <w:t>The PSP2 Warrants and PSP3 Warrants are subject to certain anti-dilution provisions, do not have any voting rights and are freely transferable, with registration rights. Each warrant will be exercisable either through net share settlement or cash, at our option. The warrants were issued solely as compensation to the U.S. Government related to entry into the payroll support program agreements. No separate proceeds (apart from the financial assistance previously received in 2021) were received upon issuance of the warrants or will be received upon exercise thereof.</w:t>
      </w:r>
    </w:p>
    <w:p>
      <w:pPr>
        <w:spacing w:after="0" w:line="139"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46"/>
        </w:numPr>
        <w:rPr>
          <w:rFonts w:ascii="Arial" w:cs="Arial" w:eastAsia="Arial" w:hAnsi="Arial"/>
          <w:sz w:val="13"/>
          <w:szCs w:val="13"/>
          <w:color w:val="00162F"/>
        </w:rPr>
      </w:pPr>
      <w:r>
        <w:rPr>
          <w:rFonts w:ascii="Arial" w:cs="Arial" w:eastAsia="Arial" w:hAnsi="Arial"/>
          <w:sz w:val="20"/>
          <w:szCs w:val="20"/>
          <w:color w:val="00162F"/>
        </w:rPr>
        <w:t>In January 2026, 2.8 million shares of the PSP2 Warrants were exercised at an exercise price of $15.66 per share and net settled in cash for a nominal amount.</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97</w:t>
      </w:r>
    </w:p>
    <w:p>
      <w:pPr>
        <w:sectPr>
          <w:pgSz w:w="11880" w:h="15480" w:orient="portrait"/>
          <w:cols w:equalWidth="0" w:num="1">
            <w:col w:w="10685"/>
          </w:cols>
          <w:pgMar w:left="595" w:top="487" w:right="600" w:bottom="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4. Debt</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Debt included on our consolidated balance sheets consisted of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580" w:type="dxa"/>
            <w:vAlign w:val="bottom"/>
            <w:tcBorders>
              <w:bottom w:val="single" w:sz="8" w:color="00162F"/>
            </w:tcBorders>
            <w:gridSpan w:val="3"/>
          </w:tcPr>
          <w:p>
            <w:pPr>
              <w:jc w:val="right"/>
              <w:spacing w:after="0"/>
              <w:rPr>
                <w:sz w:val="20"/>
                <w:szCs w:val="20"/>
                <w:color w:val="auto"/>
              </w:rPr>
            </w:pPr>
            <w:r>
              <w:rPr>
                <w:rFonts w:ascii="Arial" w:cs="Arial" w:eastAsia="Arial" w:hAnsi="Arial"/>
                <w:sz w:val="16"/>
                <w:szCs w:val="16"/>
                <w:b w:val="1"/>
                <w:bCs w:val="1"/>
                <w:color w:val="00162F"/>
              </w:rPr>
              <w:t>December 31,</w:t>
            </w:r>
          </w:p>
        </w:tc>
        <w:tc>
          <w:tcPr>
            <w:tcW w:w="860" w:type="dxa"/>
            <w:vAlign w:val="bottom"/>
            <w:tcBorders>
              <w:bottom w:val="single" w:sz="8" w:color="00162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90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020" w:type="dxa"/>
            <w:vAlign w:val="bottom"/>
            <w:tcBorders>
              <w:bottom w:val="single" w:sz="8" w:color="00162F"/>
            </w:tcBorders>
          </w:tcPr>
          <w:p>
            <w:pPr>
              <w:jc w:val="right"/>
              <w:ind w:right="402"/>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480" w:type="dxa"/>
            <w:vAlign w:val="bottom"/>
            <w:tcBorders>
              <w:bottom w:val="single" w:sz="8" w:color="00162F"/>
            </w:tcBorders>
          </w:tcPr>
          <w:p>
            <w:pPr>
              <w:spacing w:after="0"/>
              <w:rPr>
                <w:sz w:val="20"/>
                <w:szCs w:val="20"/>
                <w:color w:val="auto"/>
              </w:rPr>
            </w:pPr>
          </w:p>
        </w:tc>
        <w:tc>
          <w:tcPr>
            <w:tcW w:w="860" w:type="dxa"/>
            <w:vAlign w:val="bottom"/>
            <w:tcBorders>
              <w:bottom w:val="single" w:sz="8" w:color="00162F"/>
            </w:tcBorders>
          </w:tcPr>
          <w:p>
            <w:pPr>
              <w:jc w:val="right"/>
              <w:ind w:right="402"/>
              <w:spacing w:after="0"/>
              <w:rPr>
                <w:sz w:val="20"/>
                <w:szCs w:val="20"/>
                <w:color w:val="auto"/>
              </w:rPr>
            </w:pPr>
            <w:r>
              <w:rPr>
                <w:rFonts w:ascii="Arial" w:cs="Arial" w:eastAsia="Arial" w:hAnsi="Arial"/>
                <w:sz w:val="16"/>
                <w:szCs w:val="16"/>
                <w:b w:val="1"/>
                <w:bCs w:val="1"/>
                <w:color w:val="00162F"/>
                <w:w w:val="95"/>
              </w:rPr>
              <w:t>2024</w:t>
            </w:r>
          </w:p>
        </w:tc>
        <w:tc>
          <w:tcPr>
            <w:tcW w:w="0" w:type="dxa"/>
            <w:vAlign w:val="bottom"/>
          </w:tcPr>
          <w:p>
            <w:pPr>
              <w:spacing w:after="0"/>
              <w:rPr>
                <w:sz w:val="1"/>
                <w:szCs w:val="1"/>
                <w:color w:val="auto"/>
              </w:rPr>
            </w:pPr>
          </w:p>
        </w:tc>
      </w:tr>
      <w:tr>
        <w:trPr>
          <w:trHeight w:val="252"/>
        </w:trPr>
        <w:tc>
          <w:tcPr>
            <w:tcW w:w="790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i w:val="1"/>
                <w:iCs w:val="1"/>
                <w:color w:val="00162F"/>
              </w:rPr>
              <w:t>Secured</w:t>
            </w:r>
          </w:p>
        </w:tc>
        <w:tc>
          <w:tcPr>
            <w:tcW w:w="340" w:type="dxa"/>
            <w:vAlign w:val="bottom"/>
            <w:tcBorders>
              <w:bottom w:val="single" w:sz="8" w:color="EDEDED"/>
            </w:tcBorders>
            <w:shd w:val="clear" w:color="auto" w:fill="EDEDED"/>
          </w:tcPr>
          <w:p>
            <w:pPr>
              <w:spacing w:after="0"/>
              <w:rPr>
                <w:sz w:val="21"/>
                <w:szCs w:val="21"/>
                <w:color w:val="auto"/>
              </w:rPr>
            </w:pPr>
          </w:p>
        </w:tc>
        <w:tc>
          <w:tcPr>
            <w:tcW w:w="1020" w:type="dxa"/>
            <w:vAlign w:val="bottom"/>
            <w:tcBorders>
              <w:bottom w:val="single" w:sz="8" w:color="EDEDED"/>
            </w:tcBorders>
            <w:shd w:val="clear" w:color="auto" w:fill="EDEDED"/>
          </w:tcPr>
          <w:p>
            <w:pPr>
              <w:spacing w:after="0"/>
              <w:rPr>
                <w:sz w:val="21"/>
                <w:szCs w:val="21"/>
                <w:color w:val="auto"/>
              </w:rPr>
            </w:pPr>
          </w:p>
        </w:tc>
        <w:tc>
          <w:tcPr>
            <w:tcW w:w="80" w:type="dxa"/>
            <w:vAlign w:val="bottom"/>
            <w:tcBorders>
              <w:bottom w:val="single" w:sz="8" w:color="EDEDED"/>
            </w:tcBorders>
            <w:shd w:val="clear" w:color="auto" w:fill="EDEDED"/>
          </w:tcPr>
          <w:p>
            <w:pPr>
              <w:spacing w:after="0"/>
              <w:rPr>
                <w:sz w:val="21"/>
                <w:szCs w:val="21"/>
                <w:color w:val="auto"/>
              </w:rPr>
            </w:pPr>
          </w:p>
        </w:tc>
        <w:tc>
          <w:tcPr>
            <w:tcW w:w="480" w:type="dxa"/>
            <w:vAlign w:val="bottom"/>
            <w:tcBorders>
              <w:bottom w:val="single" w:sz="8" w:color="EDEDED"/>
            </w:tcBorders>
            <w:shd w:val="clear" w:color="auto" w:fill="EDEDED"/>
          </w:tcPr>
          <w:p>
            <w:pPr>
              <w:spacing w:after="0"/>
              <w:rPr>
                <w:sz w:val="21"/>
                <w:szCs w:val="21"/>
                <w:color w:val="auto"/>
              </w:rPr>
            </w:pPr>
          </w:p>
        </w:tc>
        <w:tc>
          <w:tcPr>
            <w:tcW w:w="860" w:type="dxa"/>
            <w:vAlign w:val="bottom"/>
            <w:tcBorders>
              <w:bottom w:val="single" w:sz="8" w:color="EDEDED"/>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900" w:type="dxa"/>
            <w:vAlign w:val="bottom"/>
          </w:tcPr>
          <w:p>
            <w:pPr>
              <w:ind w:left="280"/>
              <w:spacing w:after="0" w:line="196" w:lineRule="exact"/>
              <w:rPr>
                <w:sz w:val="20"/>
                <w:szCs w:val="20"/>
                <w:color w:val="auto"/>
              </w:rPr>
            </w:pPr>
            <w:r>
              <w:rPr>
                <w:rFonts w:ascii="Arial" w:cs="Arial" w:eastAsia="Arial" w:hAnsi="Arial"/>
                <w:sz w:val="20"/>
                <w:szCs w:val="20"/>
                <w:color w:val="00162F"/>
              </w:rPr>
              <w:t>2013 Term Loan Facility, variable interest rate of 6.00%, installments until due in</w:t>
            </w:r>
          </w:p>
        </w:tc>
        <w:tc>
          <w:tcPr>
            <w:tcW w:w="340" w:type="dxa"/>
            <w:vAlign w:val="bottom"/>
            <w:vMerge w:val="restart"/>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970</w:t>
            </w:r>
          </w:p>
        </w:tc>
        <w:tc>
          <w:tcPr>
            <w:tcW w:w="560" w:type="dxa"/>
            <w:vAlign w:val="bottom"/>
            <w:gridSpan w:val="2"/>
            <w:vMerge w:val="restart"/>
          </w:tcPr>
          <w:p>
            <w:pPr>
              <w:jc w:val="right"/>
              <w:ind w:right="221"/>
              <w:spacing w:after="0"/>
              <w:rPr>
                <w:sz w:val="20"/>
                <w:szCs w:val="20"/>
                <w:color w:val="auto"/>
              </w:rPr>
            </w:pPr>
            <w:r>
              <w:rPr>
                <w:rFonts w:ascii="Arial" w:cs="Arial" w:eastAsia="Arial" w:hAnsi="Arial"/>
                <w:sz w:val="20"/>
                <w:szCs w:val="20"/>
                <w:color w:val="00162F"/>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980</w:t>
            </w:r>
          </w:p>
        </w:tc>
        <w:tc>
          <w:tcPr>
            <w:tcW w:w="0" w:type="dxa"/>
            <w:vAlign w:val="bottom"/>
          </w:tcPr>
          <w:p>
            <w:pPr>
              <w:spacing w:after="0"/>
              <w:rPr>
                <w:sz w:val="1"/>
                <w:szCs w:val="1"/>
                <w:color w:val="auto"/>
              </w:rPr>
            </w:pPr>
          </w:p>
        </w:tc>
      </w:tr>
      <w:tr>
        <w:trPr>
          <w:trHeight w:val="264"/>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February 2028 </w:t>
            </w:r>
            <w:r>
              <w:rPr>
                <w:rFonts w:ascii="Arial" w:cs="Arial" w:eastAsia="Arial" w:hAnsi="Arial"/>
                <w:sz w:val="12"/>
                <w:szCs w:val="12"/>
                <w:color w:val="00162F"/>
              </w:rPr>
              <w:t>(a)</w:t>
            </w:r>
          </w:p>
        </w:tc>
        <w:tc>
          <w:tcPr>
            <w:tcW w:w="34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5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EDEDED"/>
          </w:tcPr>
          <w:p>
            <w:pPr>
              <w:ind w:left="280"/>
              <w:spacing w:after="0" w:line="197" w:lineRule="exact"/>
              <w:rPr>
                <w:sz w:val="20"/>
                <w:szCs w:val="20"/>
                <w:color w:val="auto"/>
              </w:rPr>
            </w:pPr>
            <w:r>
              <w:rPr>
                <w:rFonts w:ascii="Arial" w:cs="Arial" w:eastAsia="Arial" w:hAnsi="Arial"/>
                <w:sz w:val="20"/>
                <w:szCs w:val="20"/>
                <w:color w:val="00162F"/>
              </w:rPr>
              <w:t>2014 Term Loan Facility, variable interest rate of 5.69%, installments until due in</w:t>
            </w:r>
          </w:p>
        </w:tc>
        <w:tc>
          <w:tcPr>
            <w:tcW w:w="340" w:type="dxa"/>
            <w:vAlign w:val="bottom"/>
            <w:shd w:val="clear" w:color="auto" w:fill="EDEDED"/>
          </w:tcPr>
          <w:p>
            <w:pPr>
              <w:spacing w:after="0"/>
              <w:rPr>
                <w:sz w:val="17"/>
                <w:szCs w:val="17"/>
                <w:color w:val="auto"/>
              </w:rPr>
            </w:pPr>
          </w:p>
        </w:tc>
        <w:tc>
          <w:tcPr>
            <w:tcW w:w="102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1,159</w:t>
            </w:r>
          </w:p>
        </w:tc>
        <w:tc>
          <w:tcPr>
            <w:tcW w:w="80" w:type="dxa"/>
            <w:vAlign w:val="bottom"/>
            <w:shd w:val="clear" w:color="auto" w:fill="EDEDED"/>
          </w:tcPr>
          <w:p>
            <w:pPr>
              <w:spacing w:after="0"/>
              <w:rPr>
                <w:sz w:val="17"/>
                <w:szCs w:val="17"/>
                <w:color w:val="auto"/>
              </w:rPr>
            </w:pPr>
          </w:p>
        </w:tc>
        <w:tc>
          <w:tcPr>
            <w:tcW w:w="480" w:type="dxa"/>
            <w:vAlign w:val="bottom"/>
            <w:shd w:val="clear" w:color="auto" w:fill="EDEDED"/>
          </w:tcPr>
          <w:p>
            <w:pPr>
              <w:spacing w:after="0"/>
              <w:rPr>
                <w:sz w:val="17"/>
                <w:szCs w:val="17"/>
                <w:color w:val="auto"/>
              </w:rPr>
            </w:pPr>
          </w:p>
        </w:tc>
        <w:tc>
          <w:tcPr>
            <w:tcW w:w="86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1,171</w:t>
            </w:r>
          </w:p>
        </w:tc>
        <w:tc>
          <w:tcPr>
            <w:tcW w:w="0" w:type="dxa"/>
            <w:vAlign w:val="bottom"/>
          </w:tcPr>
          <w:p>
            <w:pPr>
              <w:spacing w:after="0"/>
              <w:rPr>
                <w:sz w:val="1"/>
                <w:szCs w:val="1"/>
                <w:color w:val="auto"/>
              </w:rPr>
            </w:pPr>
          </w:p>
        </w:tc>
      </w:tr>
      <w:tr>
        <w:trPr>
          <w:trHeight w:val="264"/>
        </w:trPr>
        <w:tc>
          <w:tcPr>
            <w:tcW w:w="7900" w:type="dxa"/>
            <w:vAlign w:val="bottom"/>
            <w:shd w:val="clear" w:color="auto" w:fill="EDEDED"/>
          </w:tcPr>
          <w:p>
            <w:pPr>
              <w:ind w:left="460"/>
              <w:spacing w:after="0"/>
              <w:rPr>
                <w:sz w:val="20"/>
                <w:szCs w:val="20"/>
                <w:color w:val="auto"/>
              </w:rPr>
            </w:pPr>
            <w:r>
              <w:rPr>
                <w:rFonts w:ascii="Arial" w:cs="Arial" w:eastAsia="Arial" w:hAnsi="Arial"/>
                <w:sz w:val="20"/>
                <w:szCs w:val="20"/>
                <w:color w:val="00162F"/>
              </w:rPr>
              <w:t xml:space="preserve">January 2027 </w:t>
            </w:r>
            <w:r>
              <w:rPr>
                <w:rFonts w:ascii="Arial" w:cs="Arial" w:eastAsia="Arial" w:hAnsi="Arial"/>
                <w:sz w:val="12"/>
                <w:szCs w:val="12"/>
                <w:color w:val="00162F"/>
              </w:rPr>
              <w:t>(a)</w:t>
            </w:r>
          </w:p>
        </w:tc>
        <w:tc>
          <w:tcPr>
            <w:tcW w:w="340" w:type="dxa"/>
            <w:vAlign w:val="bottom"/>
            <w:shd w:val="clear" w:color="auto" w:fill="EDEDED"/>
          </w:tcPr>
          <w:p>
            <w:pPr>
              <w:spacing w:after="0"/>
              <w:rPr>
                <w:sz w:val="22"/>
                <w:szCs w:val="22"/>
                <w:color w:val="auto"/>
              </w:rPr>
            </w:pPr>
          </w:p>
        </w:tc>
        <w:tc>
          <w:tcPr>
            <w:tcW w:w="1020" w:type="dxa"/>
            <w:vAlign w:val="bottom"/>
            <w:vMerge w:val="continue"/>
            <w:shd w:val="clear" w:color="auto" w:fill="EDEDED"/>
          </w:tcPr>
          <w:p>
            <w:pPr>
              <w:spacing w:after="0"/>
              <w:rPr>
                <w:sz w:val="22"/>
                <w:szCs w:val="22"/>
                <w:color w:val="auto"/>
              </w:rPr>
            </w:pPr>
          </w:p>
        </w:tc>
        <w:tc>
          <w:tcPr>
            <w:tcW w:w="80" w:type="dxa"/>
            <w:vAlign w:val="bottom"/>
            <w:shd w:val="clear" w:color="auto" w:fill="EDEDED"/>
          </w:tcPr>
          <w:p>
            <w:pPr>
              <w:spacing w:after="0"/>
              <w:rPr>
                <w:sz w:val="22"/>
                <w:szCs w:val="22"/>
                <w:color w:val="auto"/>
              </w:rPr>
            </w:pPr>
          </w:p>
        </w:tc>
        <w:tc>
          <w:tcPr>
            <w:tcW w:w="480" w:type="dxa"/>
            <w:vAlign w:val="bottom"/>
            <w:shd w:val="clear" w:color="auto" w:fill="EDEDED"/>
          </w:tcPr>
          <w:p>
            <w:pPr>
              <w:spacing w:after="0"/>
              <w:rPr>
                <w:sz w:val="22"/>
                <w:szCs w:val="22"/>
                <w:color w:val="auto"/>
              </w:rPr>
            </w:pPr>
          </w:p>
        </w:tc>
        <w:tc>
          <w:tcPr>
            <w:tcW w:w="860" w:type="dxa"/>
            <w:vAlign w:val="bottom"/>
            <w:vMerge w:val="continue"/>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900" w:type="dxa"/>
            <w:vAlign w:val="bottom"/>
          </w:tcPr>
          <w:p>
            <w:pPr>
              <w:ind w:left="280"/>
              <w:spacing w:after="0" w:line="196" w:lineRule="exact"/>
              <w:rPr>
                <w:sz w:val="20"/>
                <w:szCs w:val="20"/>
                <w:color w:val="auto"/>
              </w:rPr>
            </w:pPr>
            <w:r>
              <w:rPr>
                <w:rFonts w:ascii="Arial" w:cs="Arial" w:eastAsia="Arial" w:hAnsi="Arial"/>
                <w:sz w:val="20"/>
                <w:szCs w:val="20"/>
                <w:color w:val="00162F"/>
              </w:rPr>
              <w:t>2023 Term Loan Facility, variable interest rate of 6.26%, installments until due in June</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1,078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1,089</w:t>
            </w:r>
          </w:p>
        </w:tc>
        <w:tc>
          <w:tcPr>
            <w:tcW w:w="0" w:type="dxa"/>
            <w:vAlign w:val="bottom"/>
          </w:tcPr>
          <w:p>
            <w:pPr>
              <w:spacing w:after="0"/>
              <w:rPr>
                <w:sz w:val="1"/>
                <w:szCs w:val="1"/>
                <w:color w:val="auto"/>
              </w:rPr>
            </w:pPr>
          </w:p>
        </w:tc>
      </w:tr>
      <w:tr>
        <w:trPr>
          <w:trHeight w:val="275"/>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2029 </w:t>
            </w:r>
            <w:r>
              <w:rPr>
                <w:rFonts w:ascii="Arial" w:cs="Arial" w:eastAsia="Arial" w:hAnsi="Arial"/>
                <w:sz w:val="12"/>
                <w:szCs w:val="12"/>
                <w:color w:val="00162F"/>
              </w:rPr>
              <w:t>(a)</w:t>
            </w:r>
          </w:p>
        </w:tc>
        <w:tc>
          <w:tcPr>
            <w:tcW w:w="3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7900" w:type="dxa"/>
            <w:vAlign w:val="bottom"/>
            <w:shd w:val="clear" w:color="auto" w:fill="EDEDED"/>
          </w:tcPr>
          <w:p>
            <w:pPr>
              <w:ind w:left="280"/>
              <w:spacing w:after="0"/>
              <w:rPr>
                <w:sz w:val="20"/>
                <w:szCs w:val="20"/>
                <w:color w:val="auto"/>
              </w:rPr>
            </w:pPr>
            <w:r>
              <w:rPr>
                <w:rFonts w:ascii="Arial" w:cs="Arial" w:eastAsia="Arial" w:hAnsi="Arial"/>
                <w:sz w:val="20"/>
                <w:szCs w:val="20"/>
                <w:color w:val="00162F"/>
              </w:rPr>
              <w:t xml:space="preserve">10.75% senior secured IP notes </w:t>
            </w:r>
            <w:r>
              <w:rPr>
                <w:rFonts w:ascii="Arial" w:cs="Arial" w:eastAsia="Arial" w:hAnsi="Arial"/>
                <w:sz w:val="12"/>
                <w:szCs w:val="12"/>
                <w:color w:val="00162F"/>
              </w:rPr>
              <w:t>(b)</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781</w:t>
            </w:r>
          </w:p>
        </w:tc>
        <w:tc>
          <w:tcPr>
            <w:tcW w:w="0" w:type="dxa"/>
            <w:vAlign w:val="bottom"/>
          </w:tcPr>
          <w:p>
            <w:pPr>
              <w:spacing w:after="0"/>
              <w:rPr>
                <w:sz w:val="1"/>
                <w:szCs w:val="1"/>
                <w:color w:val="auto"/>
              </w:rPr>
            </w:pPr>
          </w:p>
        </w:tc>
      </w:tr>
      <w:tr>
        <w:trPr>
          <w:trHeight w:val="278"/>
        </w:trPr>
        <w:tc>
          <w:tcPr>
            <w:tcW w:w="7900" w:type="dxa"/>
            <w:vAlign w:val="bottom"/>
          </w:tcPr>
          <w:p>
            <w:pPr>
              <w:ind w:left="280"/>
              <w:spacing w:after="0"/>
              <w:rPr>
                <w:sz w:val="20"/>
                <w:szCs w:val="20"/>
                <w:color w:val="auto"/>
              </w:rPr>
            </w:pPr>
            <w:r>
              <w:rPr>
                <w:rFonts w:ascii="Arial" w:cs="Arial" w:eastAsia="Arial" w:hAnsi="Arial"/>
                <w:sz w:val="20"/>
                <w:szCs w:val="20"/>
                <w:color w:val="00162F"/>
              </w:rPr>
              <w:t xml:space="preserve">10.75% senior secured LGA/DCA notes </w:t>
            </w:r>
            <w:r>
              <w:rPr>
                <w:rFonts w:ascii="Arial" w:cs="Arial" w:eastAsia="Arial" w:hAnsi="Arial"/>
                <w:sz w:val="12"/>
                <w:szCs w:val="12"/>
                <w:color w:val="00162F"/>
              </w:rPr>
              <w:t>(b)</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156</w:t>
            </w:r>
          </w:p>
        </w:tc>
        <w:tc>
          <w:tcPr>
            <w:tcW w:w="0" w:type="dxa"/>
            <w:vAlign w:val="bottom"/>
          </w:tcPr>
          <w:p>
            <w:pPr>
              <w:spacing w:after="0"/>
              <w:rPr>
                <w:sz w:val="1"/>
                <w:szCs w:val="1"/>
                <w:color w:val="auto"/>
              </w:rPr>
            </w:pPr>
          </w:p>
        </w:tc>
      </w:tr>
      <w:tr>
        <w:trPr>
          <w:trHeight w:val="286"/>
        </w:trPr>
        <w:tc>
          <w:tcPr>
            <w:tcW w:w="7900" w:type="dxa"/>
            <w:vAlign w:val="bottom"/>
            <w:shd w:val="clear" w:color="auto" w:fill="EDEDED"/>
          </w:tcPr>
          <w:p>
            <w:pPr>
              <w:ind w:left="280"/>
              <w:spacing w:after="0"/>
              <w:rPr>
                <w:sz w:val="20"/>
                <w:szCs w:val="20"/>
                <w:color w:val="auto"/>
              </w:rPr>
            </w:pPr>
            <w:r>
              <w:rPr>
                <w:rFonts w:ascii="Arial" w:cs="Arial" w:eastAsia="Arial" w:hAnsi="Arial"/>
                <w:sz w:val="20"/>
                <w:szCs w:val="20"/>
                <w:color w:val="00162F"/>
              </w:rPr>
              <w:t xml:space="preserve">7.25% senior secured notes, interest only payments until due in February 2028 </w:t>
            </w:r>
            <w:r>
              <w:rPr>
                <w:rFonts w:ascii="Arial" w:cs="Arial" w:eastAsia="Arial" w:hAnsi="Arial"/>
                <w:sz w:val="12"/>
                <w:szCs w:val="12"/>
                <w:color w:val="00162F"/>
              </w:rPr>
              <w:t>(b)</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750</w:t>
            </w: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750</w:t>
            </w:r>
          </w:p>
        </w:tc>
        <w:tc>
          <w:tcPr>
            <w:tcW w:w="0" w:type="dxa"/>
            <w:vAlign w:val="bottom"/>
          </w:tcPr>
          <w:p>
            <w:pPr>
              <w:spacing w:after="0"/>
              <w:rPr>
                <w:sz w:val="1"/>
                <w:szCs w:val="1"/>
                <w:color w:val="auto"/>
              </w:rPr>
            </w:pPr>
          </w:p>
        </w:tc>
      </w:tr>
      <w:tr>
        <w:trPr>
          <w:trHeight w:val="278"/>
        </w:trPr>
        <w:tc>
          <w:tcPr>
            <w:tcW w:w="7900" w:type="dxa"/>
            <w:vAlign w:val="bottom"/>
          </w:tcPr>
          <w:p>
            <w:pPr>
              <w:ind w:left="280"/>
              <w:spacing w:after="0"/>
              <w:rPr>
                <w:sz w:val="20"/>
                <w:szCs w:val="20"/>
                <w:color w:val="auto"/>
              </w:rPr>
            </w:pPr>
            <w:r>
              <w:rPr>
                <w:rFonts w:ascii="Arial" w:cs="Arial" w:eastAsia="Arial" w:hAnsi="Arial"/>
                <w:sz w:val="20"/>
                <w:szCs w:val="20"/>
                <w:color w:val="00162F"/>
              </w:rPr>
              <w:t xml:space="preserve">8.50% senior secured notes, interest only payments until due in May 2029 </w:t>
            </w:r>
            <w:r>
              <w:rPr>
                <w:rFonts w:ascii="Arial" w:cs="Arial" w:eastAsia="Arial" w:hAnsi="Arial"/>
                <w:sz w:val="12"/>
                <w:szCs w:val="12"/>
                <w:color w:val="00162F"/>
              </w:rPr>
              <w:t>(b)</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1,000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1,000</w:t>
            </w:r>
          </w:p>
        </w:tc>
        <w:tc>
          <w:tcPr>
            <w:tcW w:w="0" w:type="dxa"/>
            <w:vAlign w:val="bottom"/>
          </w:tcPr>
          <w:p>
            <w:pPr>
              <w:spacing w:after="0"/>
              <w:rPr>
                <w:sz w:val="1"/>
                <w:szCs w:val="1"/>
                <w:color w:val="auto"/>
              </w:rPr>
            </w:pPr>
          </w:p>
        </w:tc>
      </w:tr>
      <w:tr>
        <w:trPr>
          <w:trHeight w:val="286"/>
        </w:trPr>
        <w:tc>
          <w:tcPr>
            <w:tcW w:w="7900" w:type="dxa"/>
            <w:vAlign w:val="bottom"/>
            <w:shd w:val="clear" w:color="auto" w:fill="EDEDED"/>
          </w:tcPr>
          <w:p>
            <w:pPr>
              <w:ind w:left="280"/>
              <w:spacing w:after="0"/>
              <w:rPr>
                <w:sz w:val="20"/>
                <w:szCs w:val="20"/>
                <w:color w:val="auto"/>
              </w:rPr>
            </w:pPr>
            <w:r>
              <w:rPr>
                <w:rFonts w:ascii="Arial" w:cs="Arial" w:eastAsia="Arial" w:hAnsi="Arial"/>
                <w:sz w:val="20"/>
                <w:szCs w:val="20"/>
                <w:color w:val="00162F"/>
              </w:rPr>
              <w:t xml:space="preserve">5.50% senior secured notes, installments until due in April 2026 </w:t>
            </w:r>
            <w:r>
              <w:rPr>
                <w:rFonts w:ascii="Arial" w:cs="Arial" w:eastAsia="Arial" w:hAnsi="Arial"/>
                <w:sz w:val="12"/>
                <w:szCs w:val="12"/>
                <w:color w:val="00162F"/>
              </w:rPr>
              <w:t>(c)</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583</w:t>
            </w: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1,750</w:t>
            </w:r>
          </w:p>
        </w:tc>
        <w:tc>
          <w:tcPr>
            <w:tcW w:w="0" w:type="dxa"/>
            <w:vAlign w:val="bottom"/>
          </w:tcPr>
          <w:p>
            <w:pPr>
              <w:spacing w:after="0"/>
              <w:rPr>
                <w:sz w:val="1"/>
                <w:szCs w:val="1"/>
                <w:color w:val="auto"/>
              </w:rPr>
            </w:pPr>
          </w:p>
        </w:tc>
      </w:tr>
      <w:tr>
        <w:trPr>
          <w:trHeight w:val="196"/>
        </w:trPr>
        <w:tc>
          <w:tcPr>
            <w:tcW w:w="7900" w:type="dxa"/>
            <w:vAlign w:val="bottom"/>
          </w:tcPr>
          <w:p>
            <w:pPr>
              <w:ind w:left="280"/>
              <w:spacing w:after="0" w:line="196" w:lineRule="exact"/>
              <w:rPr>
                <w:sz w:val="20"/>
                <w:szCs w:val="20"/>
                <w:color w:val="auto"/>
              </w:rPr>
            </w:pPr>
            <w:r>
              <w:rPr>
                <w:rFonts w:ascii="Arial" w:cs="Arial" w:eastAsia="Arial" w:hAnsi="Arial"/>
                <w:sz w:val="20"/>
                <w:szCs w:val="20"/>
                <w:color w:val="00162F"/>
              </w:rPr>
              <w:t>5.75% senior secured notes, installments beginning in July 2026 until due in April</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3,000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3,000</w:t>
            </w:r>
          </w:p>
        </w:tc>
        <w:tc>
          <w:tcPr>
            <w:tcW w:w="0" w:type="dxa"/>
            <w:vAlign w:val="bottom"/>
          </w:tcPr>
          <w:p>
            <w:pPr>
              <w:spacing w:after="0"/>
              <w:rPr>
                <w:sz w:val="1"/>
                <w:szCs w:val="1"/>
                <w:color w:val="auto"/>
              </w:rPr>
            </w:pPr>
          </w:p>
        </w:tc>
      </w:tr>
      <w:tr>
        <w:trPr>
          <w:trHeight w:val="275"/>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2029 </w:t>
            </w:r>
            <w:r>
              <w:rPr>
                <w:rFonts w:ascii="Arial" w:cs="Arial" w:eastAsia="Arial" w:hAnsi="Arial"/>
                <w:sz w:val="12"/>
                <w:szCs w:val="12"/>
                <w:color w:val="00162F"/>
              </w:rPr>
              <w:t>(c)</w:t>
            </w:r>
          </w:p>
        </w:tc>
        <w:tc>
          <w:tcPr>
            <w:tcW w:w="3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7900" w:type="dxa"/>
            <w:vAlign w:val="bottom"/>
            <w:shd w:val="clear" w:color="auto" w:fill="EDEDED"/>
          </w:tcPr>
          <w:p>
            <w:pPr>
              <w:ind w:left="280"/>
              <w:spacing w:after="0" w:line="200" w:lineRule="exact"/>
              <w:rPr>
                <w:sz w:val="20"/>
                <w:szCs w:val="20"/>
                <w:color w:val="auto"/>
              </w:rPr>
            </w:pPr>
            <w:r>
              <w:rPr>
                <w:rFonts w:ascii="Arial" w:cs="Arial" w:eastAsia="Arial" w:hAnsi="Arial"/>
                <w:sz w:val="20"/>
                <w:szCs w:val="20"/>
                <w:color w:val="00162F"/>
                <w:w w:val="99"/>
              </w:rPr>
              <w:t>2021 AAdvantage Term Loan Facility, variable interest rate of 6.13%, installments until</w:t>
            </w:r>
          </w:p>
        </w:tc>
        <w:tc>
          <w:tcPr>
            <w:tcW w:w="340" w:type="dxa"/>
            <w:vAlign w:val="bottom"/>
            <w:shd w:val="clear" w:color="auto" w:fill="EDEDED"/>
          </w:tcPr>
          <w:p>
            <w:pPr>
              <w:spacing w:after="0"/>
              <w:rPr>
                <w:sz w:val="17"/>
                <w:szCs w:val="17"/>
                <w:color w:val="auto"/>
              </w:rPr>
            </w:pPr>
          </w:p>
        </w:tc>
        <w:tc>
          <w:tcPr>
            <w:tcW w:w="102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2,264</w:t>
            </w:r>
          </w:p>
        </w:tc>
        <w:tc>
          <w:tcPr>
            <w:tcW w:w="80" w:type="dxa"/>
            <w:vAlign w:val="bottom"/>
            <w:shd w:val="clear" w:color="auto" w:fill="EDEDED"/>
          </w:tcPr>
          <w:p>
            <w:pPr>
              <w:spacing w:after="0"/>
              <w:rPr>
                <w:sz w:val="17"/>
                <w:szCs w:val="17"/>
                <w:color w:val="auto"/>
              </w:rPr>
            </w:pPr>
          </w:p>
        </w:tc>
        <w:tc>
          <w:tcPr>
            <w:tcW w:w="480" w:type="dxa"/>
            <w:vAlign w:val="bottom"/>
            <w:shd w:val="clear" w:color="auto" w:fill="EDEDED"/>
          </w:tcPr>
          <w:p>
            <w:pPr>
              <w:spacing w:after="0"/>
              <w:rPr>
                <w:sz w:val="17"/>
                <w:szCs w:val="17"/>
                <w:color w:val="auto"/>
              </w:rPr>
            </w:pPr>
          </w:p>
        </w:tc>
        <w:tc>
          <w:tcPr>
            <w:tcW w:w="86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2,450</w:t>
            </w:r>
          </w:p>
        </w:tc>
        <w:tc>
          <w:tcPr>
            <w:tcW w:w="0" w:type="dxa"/>
            <w:vAlign w:val="bottom"/>
          </w:tcPr>
          <w:p>
            <w:pPr>
              <w:spacing w:after="0"/>
              <w:rPr>
                <w:sz w:val="1"/>
                <w:szCs w:val="1"/>
                <w:color w:val="auto"/>
              </w:rPr>
            </w:pPr>
          </w:p>
        </w:tc>
      </w:tr>
      <w:tr>
        <w:trPr>
          <w:trHeight w:val="279"/>
        </w:trPr>
        <w:tc>
          <w:tcPr>
            <w:tcW w:w="7900" w:type="dxa"/>
            <w:vAlign w:val="bottom"/>
            <w:shd w:val="clear" w:color="auto" w:fill="EDEDED"/>
          </w:tcPr>
          <w:p>
            <w:pPr>
              <w:ind w:left="460"/>
              <w:spacing w:after="0"/>
              <w:rPr>
                <w:sz w:val="20"/>
                <w:szCs w:val="20"/>
                <w:color w:val="auto"/>
              </w:rPr>
            </w:pPr>
            <w:r>
              <w:rPr>
                <w:rFonts w:ascii="Arial" w:cs="Arial" w:eastAsia="Arial" w:hAnsi="Arial"/>
                <w:sz w:val="20"/>
                <w:szCs w:val="20"/>
                <w:color w:val="00162F"/>
              </w:rPr>
              <w:t xml:space="preserve">due in April 2028 </w:t>
            </w:r>
            <w:r>
              <w:rPr>
                <w:rFonts w:ascii="Arial" w:cs="Arial" w:eastAsia="Arial" w:hAnsi="Arial"/>
                <w:sz w:val="12"/>
                <w:szCs w:val="12"/>
                <w:color w:val="00162F"/>
              </w:rPr>
              <w:t>(c)</w:t>
            </w:r>
          </w:p>
        </w:tc>
        <w:tc>
          <w:tcPr>
            <w:tcW w:w="340" w:type="dxa"/>
            <w:vAlign w:val="bottom"/>
            <w:shd w:val="clear" w:color="auto" w:fill="EDEDED"/>
          </w:tcPr>
          <w:p>
            <w:pPr>
              <w:spacing w:after="0"/>
              <w:rPr>
                <w:sz w:val="24"/>
                <w:szCs w:val="24"/>
                <w:color w:val="auto"/>
              </w:rPr>
            </w:pPr>
          </w:p>
        </w:tc>
        <w:tc>
          <w:tcPr>
            <w:tcW w:w="1020" w:type="dxa"/>
            <w:vAlign w:val="bottom"/>
            <w:vMerge w:val="continue"/>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vMerge w:val="continue"/>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900" w:type="dxa"/>
            <w:vAlign w:val="bottom"/>
          </w:tcPr>
          <w:p>
            <w:pPr>
              <w:ind w:left="280"/>
              <w:spacing w:after="0" w:line="196" w:lineRule="exact"/>
              <w:rPr>
                <w:sz w:val="20"/>
                <w:szCs w:val="20"/>
                <w:color w:val="auto"/>
              </w:rPr>
            </w:pPr>
            <w:r>
              <w:rPr>
                <w:rFonts w:ascii="Arial" w:cs="Arial" w:eastAsia="Arial" w:hAnsi="Arial"/>
                <w:sz w:val="20"/>
                <w:szCs w:val="20"/>
                <w:color w:val="00162F"/>
                <w:w w:val="99"/>
              </w:rPr>
              <w:t>2025 AAdvantage Term Loan Facility, variable interest rate of 7.13%, installments until</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995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w:t>
            </w:r>
          </w:p>
        </w:tc>
        <w:tc>
          <w:tcPr>
            <w:tcW w:w="0" w:type="dxa"/>
            <w:vAlign w:val="bottom"/>
          </w:tcPr>
          <w:p>
            <w:pPr>
              <w:spacing w:after="0"/>
              <w:rPr>
                <w:sz w:val="1"/>
                <w:szCs w:val="1"/>
                <w:color w:val="auto"/>
              </w:rPr>
            </w:pPr>
          </w:p>
        </w:tc>
      </w:tr>
      <w:tr>
        <w:trPr>
          <w:trHeight w:val="275"/>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due in May 2032 </w:t>
            </w:r>
            <w:r>
              <w:rPr>
                <w:rFonts w:ascii="Arial" w:cs="Arial" w:eastAsia="Arial" w:hAnsi="Arial"/>
                <w:sz w:val="12"/>
                <w:szCs w:val="12"/>
                <w:color w:val="00162F"/>
              </w:rPr>
              <w:t>(c)</w:t>
            </w:r>
          </w:p>
        </w:tc>
        <w:tc>
          <w:tcPr>
            <w:tcW w:w="3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7900" w:type="dxa"/>
            <w:vAlign w:val="bottom"/>
            <w:shd w:val="clear" w:color="auto" w:fill="EDEDED"/>
          </w:tcPr>
          <w:p>
            <w:pPr>
              <w:ind w:left="280"/>
              <w:spacing w:after="0" w:line="200" w:lineRule="exact"/>
              <w:rPr>
                <w:sz w:val="20"/>
                <w:szCs w:val="20"/>
                <w:color w:val="auto"/>
              </w:rPr>
            </w:pPr>
            <w:r>
              <w:rPr>
                <w:rFonts w:ascii="Arial" w:cs="Arial" w:eastAsia="Arial" w:hAnsi="Arial"/>
                <w:sz w:val="20"/>
                <w:szCs w:val="20"/>
                <w:color w:val="00162F"/>
              </w:rPr>
              <w:t>Enhanced equipment trust certificates (EETCs), fixed interest rates ranging from</w:t>
            </w:r>
          </w:p>
        </w:tc>
        <w:tc>
          <w:tcPr>
            <w:tcW w:w="340" w:type="dxa"/>
            <w:vAlign w:val="bottom"/>
            <w:shd w:val="clear" w:color="auto" w:fill="EDEDED"/>
          </w:tcPr>
          <w:p>
            <w:pPr>
              <w:spacing w:after="0"/>
              <w:rPr>
                <w:sz w:val="17"/>
                <w:szCs w:val="17"/>
                <w:color w:val="auto"/>
              </w:rPr>
            </w:pPr>
          </w:p>
        </w:tc>
        <w:tc>
          <w:tcPr>
            <w:tcW w:w="102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6,912</w:t>
            </w:r>
          </w:p>
        </w:tc>
        <w:tc>
          <w:tcPr>
            <w:tcW w:w="80" w:type="dxa"/>
            <w:vAlign w:val="bottom"/>
            <w:shd w:val="clear" w:color="auto" w:fill="EDEDED"/>
          </w:tcPr>
          <w:p>
            <w:pPr>
              <w:spacing w:after="0"/>
              <w:rPr>
                <w:sz w:val="17"/>
                <w:szCs w:val="17"/>
                <w:color w:val="auto"/>
              </w:rPr>
            </w:pPr>
          </w:p>
        </w:tc>
        <w:tc>
          <w:tcPr>
            <w:tcW w:w="480" w:type="dxa"/>
            <w:vAlign w:val="bottom"/>
            <w:shd w:val="clear" w:color="auto" w:fill="EDEDED"/>
          </w:tcPr>
          <w:p>
            <w:pPr>
              <w:spacing w:after="0"/>
              <w:rPr>
                <w:sz w:val="17"/>
                <w:szCs w:val="17"/>
                <w:color w:val="auto"/>
              </w:rPr>
            </w:pPr>
          </w:p>
        </w:tc>
        <w:tc>
          <w:tcPr>
            <w:tcW w:w="86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7,271</w:t>
            </w:r>
          </w:p>
        </w:tc>
        <w:tc>
          <w:tcPr>
            <w:tcW w:w="0" w:type="dxa"/>
            <w:vAlign w:val="bottom"/>
          </w:tcPr>
          <w:p>
            <w:pPr>
              <w:spacing w:after="0"/>
              <w:rPr>
                <w:sz w:val="1"/>
                <w:szCs w:val="1"/>
                <w:color w:val="auto"/>
              </w:rPr>
            </w:pPr>
          </w:p>
        </w:tc>
      </w:tr>
      <w:tr>
        <w:trPr>
          <w:trHeight w:val="279"/>
        </w:trPr>
        <w:tc>
          <w:tcPr>
            <w:tcW w:w="7900" w:type="dxa"/>
            <w:vAlign w:val="bottom"/>
            <w:shd w:val="clear" w:color="auto" w:fill="EDEDED"/>
          </w:tcPr>
          <w:p>
            <w:pPr>
              <w:ind w:left="460"/>
              <w:spacing w:after="0"/>
              <w:rPr>
                <w:sz w:val="20"/>
                <w:szCs w:val="20"/>
                <w:color w:val="auto"/>
              </w:rPr>
            </w:pPr>
            <w:r>
              <w:rPr>
                <w:rFonts w:ascii="Arial" w:cs="Arial" w:eastAsia="Arial" w:hAnsi="Arial"/>
                <w:sz w:val="20"/>
                <w:szCs w:val="20"/>
                <w:color w:val="00162F"/>
              </w:rPr>
              <w:t xml:space="preserve">2.88% to 7.15%, averaging 3.95%, maturing from 2026 to 2038 </w:t>
            </w:r>
            <w:r>
              <w:rPr>
                <w:rFonts w:ascii="Arial" w:cs="Arial" w:eastAsia="Arial" w:hAnsi="Arial"/>
                <w:sz w:val="12"/>
                <w:szCs w:val="12"/>
                <w:color w:val="00162F"/>
              </w:rPr>
              <w:t>(d)</w:t>
            </w:r>
          </w:p>
        </w:tc>
        <w:tc>
          <w:tcPr>
            <w:tcW w:w="340" w:type="dxa"/>
            <w:vAlign w:val="bottom"/>
            <w:shd w:val="clear" w:color="auto" w:fill="EDEDED"/>
          </w:tcPr>
          <w:p>
            <w:pPr>
              <w:spacing w:after="0"/>
              <w:rPr>
                <w:sz w:val="24"/>
                <w:szCs w:val="24"/>
                <w:color w:val="auto"/>
              </w:rPr>
            </w:pPr>
          </w:p>
        </w:tc>
        <w:tc>
          <w:tcPr>
            <w:tcW w:w="1020" w:type="dxa"/>
            <w:vAlign w:val="bottom"/>
            <w:vMerge w:val="continue"/>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vMerge w:val="continue"/>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900" w:type="dxa"/>
            <w:vAlign w:val="bottom"/>
          </w:tcPr>
          <w:p>
            <w:pPr>
              <w:ind w:left="280"/>
              <w:spacing w:after="0" w:line="196" w:lineRule="exact"/>
              <w:rPr>
                <w:sz w:val="20"/>
                <w:szCs w:val="20"/>
                <w:color w:val="auto"/>
              </w:rPr>
            </w:pPr>
            <w:r>
              <w:rPr>
                <w:rFonts w:ascii="Arial" w:cs="Arial" w:eastAsia="Arial" w:hAnsi="Arial"/>
                <w:sz w:val="20"/>
                <w:szCs w:val="20"/>
                <w:color w:val="00162F"/>
              </w:rPr>
              <w:t>Equipment loans and other notes payable, fixed and variable interest rates ranging</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4,719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4,094</w:t>
            </w:r>
          </w:p>
        </w:tc>
        <w:tc>
          <w:tcPr>
            <w:tcW w:w="0" w:type="dxa"/>
            <w:vAlign w:val="bottom"/>
          </w:tcPr>
          <w:p>
            <w:pPr>
              <w:spacing w:after="0"/>
              <w:rPr>
                <w:sz w:val="1"/>
                <w:szCs w:val="1"/>
                <w:color w:val="auto"/>
              </w:rPr>
            </w:pPr>
          </w:p>
        </w:tc>
      </w:tr>
      <w:tr>
        <w:trPr>
          <w:trHeight w:val="275"/>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from 2.55% to 6.56%, averaging 5.57%, maturing from 2026 to 2037 </w:t>
            </w:r>
            <w:r>
              <w:rPr>
                <w:rFonts w:ascii="Arial" w:cs="Arial" w:eastAsia="Arial" w:hAnsi="Arial"/>
                <w:sz w:val="12"/>
                <w:szCs w:val="12"/>
                <w:color w:val="00162F"/>
              </w:rPr>
              <w:t>(e)</w:t>
            </w:r>
          </w:p>
        </w:tc>
        <w:tc>
          <w:tcPr>
            <w:tcW w:w="3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7900" w:type="dxa"/>
            <w:vAlign w:val="bottom"/>
            <w:shd w:val="clear" w:color="auto" w:fill="EDEDED"/>
          </w:tcPr>
          <w:p>
            <w:pPr>
              <w:ind w:left="280"/>
              <w:spacing w:after="0" w:line="200" w:lineRule="exact"/>
              <w:rPr>
                <w:sz w:val="20"/>
                <w:szCs w:val="20"/>
                <w:color w:val="auto"/>
              </w:rPr>
            </w:pPr>
            <w:r>
              <w:rPr>
                <w:rFonts w:ascii="Arial" w:cs="Arial" w:eastAsia="Arial" w:hAnsi="Arial"/>
                <w:sz w:val="20"/>
                <w:szCs w:val="20"/>
                <w:color w:val="00162F"/>
              </w:rPr>
              <w:t>Special facility revenue bonds, fixed interest rates ranging from 2.25% to 5.38%,</w:t>
            </w:r>
          </w:p>
        </w:tc>
        <w:tc>
          <w:tcPr>
            <w:tcW w:w="340" w:type="dxa"/>
            <w:vAlign w:val="bottom"/>
            <w:shd w:val="clear" w:color="auto" w:fill="EDEDED"/>
          </w:tcPr>
          <w:p>
            <w:pPr>
              <w:spacing w:after="0"/>
              <w:rPr>
                <w:sz w:val="17"/>
                <w:szCs w:val="17"/>
                <w:color w:val="auto"/>
              </w:rPr>
            </w:pPr>
          </w:p>
        </w:tc>
        <w:tc>
          <w:tcPr>
            <w:tcW w:w="102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789</w:t>
            </w:r>
          </w:p>
        </w:tc>
        <w:tc>
          <w:tcPr>
            <w:tcW w:w="80" w:type="dxa"/>
            <w:vAlign w:val="bottom"/>
            <w:shd w:val="clear" w:color="auto" w:fill="EDEDED"/>
          </w:tcPr>
          <w:p>
            <w:pPr>
              <w:spacing w:after="0"/>
              <w:rPr>
                <w:sz w:val="17"/>
                <w:szCs w:val="17"/>
                <w:color w:val="auto"/>
              </w:rPr>
            </w:pPr>
          </w:p>
        </w:tc>
        <w:tc>
          <w:tcPr>
            <w:tcW w:w="480" w:type="dxa"/>
            <w:vAlign w:val="bottom"/>
            <w:shd w:val="clear" w:color="auto" w:fill="EDEDED"/>
          </w:tcPr>
          <w:p>
            <w:pPr>
              <w:spacing w:after="0"/>
              <w:rPr>
                <w:sz w:val="17"/>
                <w:szCs w:val="17"/>
                <w:color w:val="auto"/>
              </w:rPr>
            </w:pPr>
          </w:p>
        </w:tc>
        <w:tc>
          <w:tcPr>
            <w:tcW w:w="86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880</w:t>
            </w:r>
          </w:p>
        </w:tc>
        <w:tc>
          <w:tcPr>
            <w:tcW w:w="0" w:type="dxa"/>
            <w:vAlign w:val="bottom"/>
          </w:tcPr>
          <w:p>
            <w:pPr>
              <w:spacing w:after="0"/>
              <w:rPr>
                <w:sz w:val="1"/>
                <w:szCs w:val="1"/>
                <w:color w:val="auto"/>
              </w:rPr>
            </w:pPr>
          </w:p>
        </w:tc>
      </w:tr>
      <w:tr>
        <w:trPr>
          <w:trHeight w:val="269"/>
        </w:trPr>
        <w:tc>
          <w:tcPr>
            <w:tcW w:w="7900" w:type="dxa"/>
            <w:vAlign w:val="bottom"/>
            <w:tcBorders>
              <w:bottom w:val="single" w:sz="8" w:color="EDEDED"/>
            </w:tcBorders>
            <w:shd w:val="clear" w:color="auto" w:fill="EDEDED"/>
          </w:tcPr>
          <w:p>
            <w:pPr>
              <w:ind w:left="460"/>
              <w:spacing w:after="0"/>
              <w:rPr>
                <w:sz w:val="20"/>
                <w:szCs w:val="20"/>
                <w:color w:val="auto"/>
              </w:rPr>
            </w:pPr>
            <w:r>
              <w:rPr>
                <w:rFonts w:ascii="Arial" w:cs="Arial" w:eastAsia="Arial" w:hAnsi="Arial"/>
                <w:sz w:val="20"/>
                <w:szCs w:val="20"/>
                <w:color w:val="00162F"/>
              </w:rPr>
              <w:t>maturing from 2026 to 2036</w:t>
            </w:r>
          </w:p>
        </w:tc>
        <w:tc>
          <w:tcPr>
            <w:tcW w:w="340" w:type="dxa"/>
            <w:vAlign w:val="bottom"/>
            <w:tcBorders>
              <w:bottom w:val="single" w:sz="8" w:color="00162F"/>
            </w:tcBorders>
            <w:shd w:val="clear" w:color="auto" w:fill="EDEDED"/>
          </w:tcPr>
          <w:p>
            <w:pPr>
              <w:spacing w:after="0"/>
              <w:rPr>
                <w:sz w:val="23"/>
                <w:szCs w:val="23"/>
                <w:color w:val="auto"/>
              </w:rPr>
            </w:pPr>
          </w:p>
        </w:tc>
        <w:tc>
          <w:tcPr>
            <w:tcW w:w="1020" w:type="dxa"/>
            <w:vAlign w:val="bottom"/>
            <w:tcBorders>
              <w:bottom w:val="single" w:sz="8" w:color="00162F"/>
            </w:tcBorders>
            <w:vMerge w:val="continue"/>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480" w:type="dxa"/>
            <w:vAlign w:val="bottom"/>
            <w:tcBorders>
              <w:bottom w:val="single" w:sz="8" w:color="00162F"/>
            </w:tcBorders>
            <w:shd w:val="clear" w:color="auto" w:fill="EDEDED"/>
          </w:tcPr>
          <w:p>
            <w:pPr>
              <w:spacing w:after="0"/>
              <w:rPr>
                <w:sz w:val="23"/>
                <w:szCs w:val="23"/>
                <w:color w:val="auto"/>
              </w:rPr>
            </w:pPr>
          </w:p>
        </w:tc>
        <w:tc>
          <w:tcPr>
            <w:tcW w:w="860" w:type="dxa"/>
            <w:vAlign w:val="bottom"/>
            <w:tcBorders>
              <w:bottom w:val="single" w:sz="8" w:color="00162F"/>
            </w:tcBorders>
            <w:vMerge w:val="continue"/>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900" w:type="dxa"/>
            <w:vAlign w:val="bottom"/>
            <w:tcBorders>
              <w:bottom w:val="single" w:sz="8" w:color="EDEDED"/>
            </w:tcBorders>
          </w:tcPr>
          <w:p>
            <w:pPr>
              <w:spacing w:after="0"/>
              <w:rPr>
                <w:sz w:val="22"/>
                <w:szCs w:val="22"/>
                <w:color w:val="auto"/>
              </w:rPr>
            </w:pPr>
          </w:p>
        </w:tc>
        <w:tc>
          <w:tcPr>
            <w:tcW w:w="340" w:type="dxa"/>
            <w:vAlign w:val="bottom"/>
            <w:tcBorders>
              <w:bottom w:val="single" w:sz="8" w:color="00162F"/>
            </w:tcBorders>
          </w:tcPr>
          <w:p>
            <w:pPr>
              <w:spacing w:after="0"/>
              <w:rPr>
                <w:sz w:val="22"/>
                <w:szCs w:val="22"/>
                <w:color w:val="auto"/>
              </w:rPr>
            </w:pPr>
          </w:p>
        </w:tc>
        <w:tc>
          <w:tcPr>
            <w:tcW w:w="10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24,219</w:t>
            </w:r>
          </w:p>
        </w:tc>
        <w:tc>
          <w:tcPr>
            <w:tcW w:w="80" w:type="dxa"/>
            <w:vAlign w:val="bottom"/>
            <w:tcBorders>
              <w:bottom w:val="single" w:sz="8" w:color="EDEDED"/>
            </w:tcBorders>
          </w:tcPr>
          <w:p>
            <w:pPr>
              <w:spacing w:after="0"/>
              <w:rPr>
                <w:sz w:val="22"/>
                <w:szCs w:val="22"/>
                <w:color w:val="auto"/>
              </w:rPr>
            </w:pPr>
          </w:p>
        </w:tc>
        <w:tc>
          <w:tcPr>
            <w:tcW w:w="480" w:type="dxa"/>
            <w:vAlign w:val="bottom"/>
            <w:tcBorders>
              <w:bottom w:val="single" w:sz="8" w:color="00162F"/>
            </w:tcBorders>
          </w:tcPr>
          <w:p>
            <w:pPr>
              <w:spacing w:after="0"/>
              <w:rPr>
                <w:sz w:val="22"/>
                <w:szCs w:val="22"/>
                <w:color w:val="auto"/>
              </w:rPr>
            </w:pPr>
          </w:p>
        </w:tc>
        <w:tc>
          <w:tcPr>
            <w:tcW w:w="8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25,372</w:t>
            </w:r>
          </w:p>
        </w:tc>
        <w:tc>
          <w:tcPr>
            <w:tcW w:w="0" w:type="dxa"/>
            <w:vAlign w:val="bottom"/>
          </w:tcPr>
          <w:p>
            <w:pPr>
              <w:spacing w:after="0"/>
              <w:rPr>
                <w:sz w:val="1"/>
                <w:szCs w:val="1"/>
                <w:color w:val="auto"/>
              </w:rPr>
            </w:pPr>
          </w:p>
        </w:tc>
      </w:tr>
      <w:tr>
        <w:trPr>
          <w:trHeight w:val="252"/>
        </w:trPr>
        <w:tc>
          <w:tcPr>
            <w:tcW w:w="790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i w:val="1"/>
                <w:iCs w:val="1"/>
                <w:color w:val="00162F"/>
              </w:rPr>
              <w:t>Unsecured</w:t>
            </w:r>
          </w:p>
        </w:tc>
        <w:tc>
          <w:tcPr>
            <w:tcW w:w="340" w:type="dxa"/>
            <w:vAlign w:val="bottom"/>
            <w:tcBorders>
              <w:bottom w:val="single" w:sz="8" w:color="EDEDED"/>
            </w:tcBorders>
            <w:shd w:val="clear" w:color="auto" w:fill="EDEDED"/>
          </w:tcPr>
          <w:p>
            <w:pPr>
              <w:spacing w:after="0"/>
              <w:rPr>
                <w:sz w:val="21"/>
                <w:szCs w:val="21"/>
                <w:color w:val="auto"/>
              </w:rPr>
            </w:pPr>
          </w:p>
        </w:tc>
        <w:tc>
          <w:tcPr>
            <w:tcW w:w="1020" w:type="dxa"/>
            <w:vAlign w:val="bottom"/>
            <w:tcBorders>
              <w:bottom w:val="single" w:sz="8" w:color="EDEDED"/>
            </w:tcBorders>
            <w:shd w:val="clear" w:color="auto" w:fill="EDEDED"/>
          </w:tcPr>
          <w:p>
            <w:pPr>
              <w:spacing w:after="0"/>
              <w:rPr>
                <w:sz w:val="21"/>
                <w:szCs w:val="21"/>
                <w:color w:val="auto"/>
              </w:rPr>
            </w:pPr>
          </w:p>
        </w:tc>
        <w:tc>
          <w:tcPr>
            <w:tcW w:w="80" w:type="dxa"/>
            <w:vAlign w:val="bottom"/>
            <w:tcBorders>
              <w:bottom w:val="single" w:sz="8" w:color="EDEDED"/>
            </w:tcBorders>
            <w:shd w:val="clear" w:color="auto" w:fill="EDEDED"/>
          </w:tcPr>
          <w:p>
            <w:pPr>
              <w:spacing w:after="0"/>
              <w:rPr>
                <w:sz w:val="21"/>
                <w:szCs w:val="21"/>
                <w:color w:val="auto"/>
              </w:rPr>
            </w:pPr>
          </w:p>
        </w:tc>
        <w:tc>
          <w:tcPr>
            <w:tcW w:w="480" w:type="dxa"/>
            <w:vAlign w:val="bottom"/>
            <w:tcBorders>
              <w:bottom w:val="single" w:sz="8" w:color="EDEDED"/>
            </w:tcBorders>
            <w:shd w:val="clear" w:color="auto" w:fill="EDEDED"/>
          </w:tcPr>
          <w:p>
            <w:pPr>
              <w:spacing w:after="0"/>
              <w:rPr>
                <w:sz w:val="21"/>
                <w:szCs w:val="21"/>
                <w:color w:val="auto"/>
              </w:rPr>
            </w:pPr>
          </w:p>
        </w:tc>
        <w:tc>
          <w:tcPr>
            <w:tcW w:w="860" w:type="dxa"/>
            <w:vAlign w:val="bottom"/>
            <w:tcBorders>
              <w:bottom w:val="single" w:sz="8" w:color="EDEDED"/>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80"/>
              <w:spacing w:after="0" w:line="206" w:lineRule="exact"/>
              <w:rPr>
                <w:sz w:val="20"/>
                <w:szCs w:val="20"/>
                <w:color w:val="auto"/>
              </w:rPr>
            </w:pPr>
            <w:r>
              <w:rPr>
                <w:rFonts w:ascii="Arial" w:cs="Arial" w:eastAsia="Arial" w:hAnsi="Arial"/>
                <w:sz w:val="20"/>
                <w:szCs w:val="20"/>
                <w:color w:val="00162F"/>
              </w:rPr>
              <w:t>PSP1 Promissory Note, variable interest rate of 5.92%, interest only payments until</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1,757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1,757</w:t>
            </w:r>
          </w:p>
        </w:tc>
        <w:tc>
          <w:tcPr>
            <w:tcW w:w="0" w:type="dxa"/>
            <w:vAlign w:val="bottom"/>
          </w:tcPr>
          <w:p>
            <w:pPr>
              <w:spacing w:after="0"/>
              <w:rPr>
                <w:sz w:val="1"/>
                <w:szCs w:val="1"/>
                <w:color w:val="auto"/>
              </w:rPr>
            </w:pPr>
          </w:p>
        </w:tc>
      </w:tr>
      <w:tr>
        <w:trPr>
          <w:trHeight w:val="266"/>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due in April 2030 </w:t>
            </w:r>
            <w:r>
              <w:rPr>
                <w:rFonts w:ascii="Arial" w:cs="Arial" w:eastAsia="Arial" w:hAnsi="Arial"/>
                <w:sz w:val="12"/>
                <w:szCs w:val="12"/>
                <w:color w:val="00162F"/>
              </w:rPr>
              <w:t>(f)</w:t>
            </w:r>
          </w:p>
        </w:tc>
        <w:tc>
          <w:tcPr>
            <w:tcW w:w="3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900" w:type="dxa"/>
            <w:vAlign w:val="bottom"/>
            <w:shd w:val="clear" w:color="auto" w:fill="EDEDED"/>
          </w:tcPr>
          <w:p>
            <w:pPr>
              <w:ind w:left="280"/>
              <w:spacing w:after="0"/>
              <w:rPr>
                <w:sz w:val="20"/>
                <w:szCs w:val="20"/>
                <w:color w:val="auto"/>
              </w:rPr>
            </w:pPr>
            <w:r>
              <w:rPr>
                <w:rFonts w:ascii="Arial" w:cs="Arial" w:eastAsia="Arial" w:hAnsi="Arial"/>
                <w:sz w:val="20"/>
                <w:szCs w:val="20"/>
                <w:color w:val="00162F"/>
              </w:rPr>
              <w:t xml:space="preserve">PSP2 Promissory Note, interest only payments until due in January 2031 </w:t>
            </w:r>
            <w:r>
              <w:rPr>
                <w:rFonts w:ascii="Arial" w:cs="Arial" w:eastAsia="Arial" w:hAnsi="Arial"/>
                <w:sz w:val="12"/>
                <w:szCs w:val="12"/>
                <w:color w:val="00162F"/>
              </w:rPr>
              <w:t>(f)</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1,030</w:t>
            </w: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1,030</w:t>
            </w:r>
          </w:p>
        </w:tc>
        <w:tc>
          <w:tcPr>
            <w:tcW w:w="0" w:type="dxa"/>
            <w:vAlign w:val="bottom"/>
          </w:tcPr>
          <w:p>
            <w:pPr>
              <w:spacing w:after="0"/>
              <w:rPr>
                <w:sz w:val="1"/>
                <w:szCs w:val="1"/>
                <w:color w:val="auto"/>
              </w:rPr>
            </w:pPr>
          </w:p>
        </w:tc>
      </w:tr>
      <w:tr>
        <w:trPr>
          <w:trHeight w:val="278"/>
        </w:trPr>
        <w:tc>
          <w:tcPr>
            <w:tcW w:w="7900" w:type="dxa"/>
            <w:vAlign w:val="bottom"/>
          </w:tcPr>
          <w:p>
            <w:pPr>
              <w:ind w:left="280"/>
              <w:spacing w:after="0"/>
              <w:rPr>
                <w:sz w:val="20"/>
                <w:szCs w:val="20"/>
                <w:color w:val="auto"/>
              </w:rPr>
            </w:pPr>
            <w:r>
              <w:rPr>
                <w:rFonts w:ascii="Arial" w:cs="Arial" w:eastAsia="Arial" w:hAnsi="Arial"/>
                <w:sz w:val="20"/>
                <w:szCs w:val="20"/>
                <w:color w:val="00162F"/>
              </w:rPr>
              <w:t xml:space="preserve">PSP3 Promissory Note, interest only payments until due in April 2031 </w:t>
            </w:r>
            <w:r>
              <w:rPr>
                <w:rFonts w:ascii="Arial" w:cs="Arial" w:eastAsia="Arial" w:hAnsi="Arial"/>
                <w:sz w:val="12"/>
                <w:szCs w:val="12"/>
                <w:color w:val="00162F"/>
              </w:rPr>
              <w:t>(f)</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959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959</w:t>
            </w:r>
          </w:p>
        </w:tc>
        <w:tc>
          <w:tcPr>
            <w:tcW w:w="0" w:type="dxa"/>
            <w:vAlign w:val="bottom"/>
          </w:tcPr>
          <w:p>
            <w:pPr>
              <w:spacing w:after="0"/>
              <w:rPr>
                <w:sz w:val="1"/>
                <w:szCs w:val="1"/>
                <w:color w:val="auto"/>
              </w:rPr>
            </w:pPr>
          </w:p>
        </w:tc>
      </w:tr>
      <w:tr>
        <w:trPr>
          <w:trHeight w:val="286"/>
        </w:trPr>
        <w:tc>
          <w:tcPr>
            <w:tcW w:w="7900" w:type="dxa"/>
            <w:vAlign w:val="bottom"/>
            <w:shd w:val="clear" w:color="auto" w:fill="EDEDED"/>
          </w:tcPr>
          <w:p>
            <w:pPr>
              <w:ind w:left="280"/>
              <w:spacing w:after="0"/>
              <w:rPr>
                <w:sz w:val="20"/>
                <w:szCs w:val="20"/>
                <w:color w:val="auto"/>
              </w:rPr>
            </w:pPr>
            <w:r>
              <w:rPr>
                <w:rFonts w:ascii="Arial" w:cs="Arial" w:eastAsia="Arial" w:hAnsi="Arial"/>
                <w:sz w:val="20"/>
                <w:szCs w:val="20"/>
                <w:color w:val="00162F"/>
              </w:rPr>
              <w:t xml:space="preserve">6.50% convertible senior notes </w:t>
            </w:r>
            <w:r>
              <w:rPr>
                <w:rFonts w:ascii="Arial" w:cs="Arial" w:eastAsia="Arial" w:hAnsi="Arial"/>
                <w:sz w:val="12"/>
                <w:szCs w:val="12"/>
                <w:color w:val="00162F"/>
              </w:rPr>
              <w:t>(g)</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1,000</w:t>
            </w:r>
          </w:p>
        </w:tc>
        <w:tc>
          <w:tcPr>
            <w:tcW w:w="0" w:type="dxa"/>
            <w:vAlign w:val="bottom"/>
          </w:tcPr>
          <w:p>
            <w:pPr>
              <w:spacing w:after="0"/>
              <w:rPr>
                <w:sz w:val="1"/>
                <w:szCs w:val="1"/>
                <w:color w:val="auto"/>
              </w:rPr>
            </w:pPr>
          </w:p>
        </w:tc>
      </w:tr>
      <w:tr>
        <w:trPr>
          <w:trHeight w:val="206"/>
        </w:trPr>
        <w:tc>
          <w:tcPr>
            <w:tcW w:w="7900" w:type="dxa"/>
            <w:vAlign w:val="bottom"/>
          </w:tcPr>
          <w:p>
            <w:pPr>
              <w:ind w:left="280"/>
              <w:spacing w:after="0" w:line="206" w:lineRule="exact"/>
              <w:rPr>
                <w:sz w:val="20"/>
                <w:szCs w:val="20"/>
                <w:color w:val="auto"/>
              </w:rPr>
            </w:pPr>
            <w:r>
              <w:rPr>
                <w:rFonts w:ascii="Arial" w:cs="Arial" w:eastAsia="Arial" w:hAnsi="Arial"/>
                <w:sz w:val="20"/>
                <w:szCs w:val="20"/>
                <w:color w:val="00162F"/>
              </w:rPr>
              <w:t>Senior short-term term loan facility, variable interest rate of 6.11%, interest only</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629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w:t>
            </w:r>
          </w:p>
        </w:tc>
        <w:tc>
          <w:tcPr>
            <w:tcW w:w="0" w:type="dxa"/>
            <w:vAlign w:val="bottom"/>
          </w:tcPr>
          <w:p>
            <w:pPr>
              <w:spacing w:after="0"/>
              <w:rPr>
                <w:sz w:val="1"/>
                <w:szCs w:val="1"/>
                <w:color w:val="auto"/>
              </w:rPr>
            </w:pPr>
          </w:p>
        </w:tc>
      </w:tr>
      <w:tr>
        <w:trPr>
          <w:trHeight w:val="259"/>
        </w:trPr>
        <w:tc>
          <w:tcPr>
            <w:tcW w:w="7900" w:type="dxa"/>
            <w:vAlign w:val="bottom"/>
            <w:tcBorders>
              <w:bottom w:val="single" w:sz="8" w:color="EDEDED"/>
            </w:tcBorders>
          </w:tcPr>
          <w:p>
            <w:pPr>
              <w:ind w:left="460"/>
              <w:spacing w:after="0"/>
              <w:rPr>
                <w:sz w:val="20"/>
                <w:szCs w:val="20"/>
                <w:color w:val="auto"/>
              </w:rPr>
            </w:pPr>
            <w:r>
              <w:rPr>
                <w:rFonts w:ascii="Arial" w:cs="Arial" w:eastAsia="Arial" w:hAnsi="Arial"/>
                <w:sz w:val="20"/>
                <w:szCs w:val="20"/>
                <w:color w:val="00162F"/>
              </w:rPr>
              <w:t xml:space="preserve">payments until due in January 2026 </w:t>
            </w:r>
            <w:r>
              <w:rPr>
                <w:rFonts w:ascii="Arial" w:cs="Arial" w:eastAsia="Arial" w:hAnsi="Arial"/>
                <w:sz w:val="12"/>
                <w:szCs w:val="12"/>
                <w:color w:val="00162F"/>
              </w:rPr>
              <w:t>(h)</w:t>
            </w:r>
          </w:p>
        </w:tc>
        <w:tc>
          <w:tcPr>
            <w:tcW w:w="340" w:type="dxa"/>
            <w:vAlign w:val="bottom"/>
            <w:tcBorders>
              <w:bottom w:val="single" w:sz="8" w:color="00162F"/>
            </w:tcBorders>
          </w:tcPr>
          <w:p>
            <w:pPr>
              <w:spacing w:after="0"/>
              <w:rPr>
                <w:sz w:val="22"/>
                <w:szCs w:val="22"/>
                <w:color w:val="auto"/>
              </w:rPr>
            </w:pPr>
          </w:p>
        </w:tc>
        <w:tc>
          <w:tcPr>
            <w:tcW w:w="1020" w:type="dxa"/>
            <w:vAlign w:val="bottom"/>
            <w:tcBorders>
              <w:bottom w:val="single" w:sz="8" w:color="00162F"/>
            </w:tcBorders>
            <w:vMerge w:val="continue"/>
          </w:tcPr>
          <w:p>
            <w:pPr>
              <w:spacing w:after="0"/>
              <w:rPr>
                <w:sz w:val="22"/>
                <w:szCs w:val="22"/>
                <w:color w:val="auto"/>
              </w:rPr>
            </w:pPr>
          </w:p>
        </w:tc>
        <w:tc>
          <w:tcPr>
            <w:tcW w:w="80" w:type="dxa"/>
            <w:vAlign w:val="bottom"/>
            <w:tcBorders>
              <w:bottom w:val="single" w:sz="8" w:color="EDEDED"/>
            </w:tcBorders>
          </w:tcPr>
          <w:p>
            <w:pPr>
              <w:spacing w:after="0"/>
              <w:rPr>
                <w:sz w:val="22"/>
                <w:szCs w:val="22"/>
                <w:color w:val="auto"/>
              </w:rPr>
            </w:pPr>
          </w:p>
        </w:tc>
        <w:tc>
          <w:tcPr>
            <w:tcW w:w="480" w:type="dxa"/>
            <w:vAlign w:val="bottom"/>
            <w:tcBorders>
              <w:bottom w:val="single" w:sz="8" w:color="00162F"/>
            </w:tcBorders>
          </w:tcPr>
          <w:p>
            <w:pPr>
              <w:spacing w:after="0"/>
              <w:rPr>
                <w:sz w:val="22"/>
                <w:szCs w:val="22"/>
                <w:color w:val="auto"/>
              </w:rPr>
            </w:pPr>
          </w:p>
        </w:tc>
        <w:tc>
          <w:tcPr>
            <w:tcW w:w="860" w:type="dxa"/>
            <w:vAlign w:val="bottom"/>
            <w:tcBorders>
              <w:bottom w:val="single" w:sz="8" w:color="00162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90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4,375</w:t>
            </w:r>
          </w:p>
        </w:tc>
        <w:tc>
          <w:tcPr>
            <w:tcW w:w="80" w:type="dxa"/>
            <w:vAlign w:val="bottom"/>
            <w:tcBorders>
              <w:bottom w:val="single" w:sz="8" w:color="EDEDED"/>
            </w:tcBorders>
            <w:shd w:val="clear" w:color="auto" w:fill="EDEDED"/>
          </w:tcPr>
          <w:p>
            <w:pPr>
              <w:spacing w:after="0"/>
              <w:rPr>
                <w:sz w:val="24"/>
                <w:szCs w:val="24"/>
                <w:color w:val="auto"/>
              </w:rPr>
            </w:pPr>
          </w:p>
        </w:tc>
        <w:tc>
          <w:tcPr>
            <w:tcW w:w="480" w:type="dxa"/>
            <w:vAlign w:val="bottom"/>
            <w:tcBorders>
              <w:bottom w:val="single" w:sz="8" w:color="00162F"/>
            </w:tcBorders>
            <w:shd w:val="clear" w:color="auto" w:fill="EDEDED"/>
          </w:tcPr>
          <w:p>
            <w:pPr>
              <w:spacing w:after="0"/>
              <w:rPr>
                <w:sz w:val="24"/>
                <w:szCs w:val="24"/>
                <w:color w:val="auto"/>
              </w:rPr>
            </w:pPr>
          </w:p>
        </w:tc>
        <w:tc>
          <w:tcPr>
            <w:tcW w:w="8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4,746</w:t>
            </w:r>
          </w:p>
        </w:tc>
        <w:tc>
          <w:tcPr>
            <w:tcW w:w="0" w:type="dxa"/>
            <w:vAlign w:val="bottom"/>
          </w:tcPr>
          <w:p>
            <w:pPr>
              <w:spacing w:after="0"/>
              <w:rPr>
                <w:sz w:val="1"/>
                <w:szCs w:val="1"/>
                <w:color w:val="auto"/>
              </w:rPr>
            </w:pPr>
          </w:p>
        </w:tc>
      </w:tr>
      <w:tr>
        <w:trPr>
          <w:trHeight w:val="248"/>
        </w:trPr>
        <w:tc>
          <w:tcPr>
            <w:tcW w:w="7900" w:type="dxa"/>
            <w:vAlign w:val="bottom"/>
          </w:tcPr>
          <w:p>
            <w:pPr>
              <w:ind w:left="40"/>
              <w:spacing w:after="0"/>
              <w:rPr>
                <w:sz w:val="20"/>
                <w:szCs w:val="20"/>
                <w:color w:val="auto"/>
              </w:rPr>
            </w:pPr>
            <w:r>
              <w:rPr>
                <w:rFonts w:ascii="Arial" w:cs="Arial" w:eastAsia="Arial" w:hAnsi="Arial"/>
                <w:sz w:val="20"/>
                <w:szCs w:val="20"/>
                <w:color w:val="00162F"/>
              </w:rPr>
              <w:t>Total</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28,594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30,118</w:t>
            </w:r>
          </w:p>
        </w:tc>
        <w:tc>
          <w:tcPr>
            <w:tcW w:w="0" w:type="dxa"/>
            <w:vAlign w:val="bottom"/>
          </w:tcPr>
          <w:p>
            <w:pPr>
              <w:spacing w:after="0"/>
              <w:rPr>
                <w:sz w:val="1"/>
                <w:szCs w:val="1"/>
                <w:color w:val="auto"/>
              </w:rPr>
            </w:pPr>
          </w:p>
        </w:tc>
      </w:tr>
      <w:tr>
        <w:trPr>
          <w:trHeight w:val="286"/>
        </w:trPr>
        <w:tc>
          <w:tcPr>
            <w:tcW w:w="7900" w:type="dxa"/>
            <w:vAlign w:val="bottom"/>
            <w:shd w:val="clear" w:color="auto" w:fill="EDEDED"/>
          </w:tcPr>
          <w:p>
            <w:pPr>
              <w:ind w:left="260"/>
              <w:spacing w:after="0"/>
              <w:rPr>
                <w:sz w:val="20"/>
                <w:szCs w:val="20"/>
                <w:color w:val="auto"/>
              </w:rPr>
            </w:pPr>
            <w:r>
              <w:rPr>
                <w:rFonts w:ascii="Arial" w:cs="Arial" w:eastAsia="Arial" w:hAnsi="Arial"/>
                <w:sz w:val="20"/>
                <w:szCs w:val="20"/>
                <w:color w:val="00162F"/>
              </w:rPr>
              <w:t>Less: Total unamortized debt discount, premium and issuance costs</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314</w:t>
            </w: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305</w:t>
            </w:r>
          </w:p>
        </w:tc>
        <w:tc>
          <w:tcPr>
            <w:tcW w:w="0" w:type="dxa"/>
            <w:vAlign w:val="bottom"/>
          </w:tcPr>
          <w:p>
            <w:pPr>
              <w:spacing w:after="0"/>
              <w:rPr>
                <w:sz w:val="1"/>
                <w:szCs w:val="1"/>
                <w:color w:val="auto"/>
              </w:rPr>
            </w:pPr>
          </w:p>
        </w:tc>
      </w:tr>
      <w:tr>
        <w:trPr>
          <w:trHeight w:val="272"/>
        </w:trPr>
        <w:tc>
          <w:tcPr>
            <w:tcW w:w="7900" w:type="dxa"/>
            <w:vAlign w:val="bottom"/>
            <w:tcBorders>
              <w:bottom w:val="single" w:sz="8" w:color="EDEDED"/>
            </w:tcBorders>
          </w:tcPr>
          <w:p>
            <w:pPr>
              <w:ind w:left="260"/>
              <w:spacing w:after="0"/>
              <w:rPr>
                <w:sz w:val="20"/>
                <w:szCs w:val="20"/>
                <w:color w:val="auto"/>
              </w:rPr>
            </w:pPr>
            <w:r>
              <w:rPr>
                <w:rFonts w:ascii="Arial" w:cs="Arial" w:eastAsia="Arial" w:hAnsi="Arial"/>
                <w:sz w:val="20"/>
                <w:szCs w:val="20"/>
                <w:color w:val="00162F"/>
              </w:rPr>
              <w:t>Less: Current maturities</w:t>
            </w:r>
          </w:p>
        </w:tc>
        <w:tc>
          <w:tcPr>
            <w:tcW w:w="340" w:type="dxa"/>
            <w:vAlign w:val="bottom"/>
            <w:tcBorders>
              <w:bottom w:val="single" w:sz="8" w:color="00162F"/>
            </w:tcBorders>
          </w:tcPr>
          <w:p>
            <w:pPr>
              <w:spacing w:after="0"/>
              <w:rPr>
                <w:sz w:val="23"/>
                <w:szCs w:val="23"/>
                <w:color w:val="auto"/>
              </w:rPr>
            </w:pPr>
          </w:p>
        </w:tc>
        <w:tc>
          <w:tcPr>
            <w:tcW w:w="10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3,641</w:t>
            </w:r>
          </w:p>
        </w:tc>
        <w:tc>
          <w:tcPr>
            <w:tcW w:w="80" w:type="dxa"/>
            <w:vAlign w:val="bottom"/>
            <w:tcBorders>
              <w:bottom w:val="single" w:sz="8" w:color="EDEDED"/>
            </w:tcBorders>
          </w:tcPr>
          <w:p>
            <w:pPr>
              <w:spacing w:after="0"/>
              <w:rPr>
                <w:sz w:val="23"/>
                <w:szCs w:val="23"/>
                <w:color w:val="auto"/>
              </w:rPr>
            </w:pPr>
          </w:p>
        </w:tc>
        <w:tc>
          <w:tcPr>
            <w:tcW w:w="480" w:type="dxa"/>
            <w:vAlign w:val="bottom"/>
            <w:tcBorders>
              <w:bottom w:val="single" w:sz="8" w:color="00162F"/>
            </w:tcBorders>
          </w:tcPr>
          <w:p>
            <w:pPr>
              <w:spacing w:after="0"/>
              <w:rPr>
                <w:sz w:val="23"/>
                <w:szCs w:val="23"/>
                <w:color w:val="auto"/>
              </w:rPr>
            </w:pPr>
          </w:p>
        </w:tc>
        <w:tc>
          <w:tcPr>
            <w:tcW w:w="8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5,196</w:t>
            </w:r>
          </w:p>
        </w:tc>
        <w:tc>
          <w:tcPr>
            <w:tcW w:w="0" w:type="dxa"/>
            <w:vAlign w:val="bottom"/>
          </w:tcPr>
          <w:p>
            <w:pPr>
              <w:spacing w:after="0"/>
              <w:rPr>
                <w:sz w:val="1"/>
                <w:szCs w:val="1"/>
                <w:color w:val="auto"/>
              </w:rPr>
            </w:pPr>
          </w:p>
        </w:tc>
      </w:tr>
      <w:tr>
        <w:trPr>
          <w:trHeight w:val="282"/>
        </w:trPr>
        <w:tc>
          <w:tcPr>
            <w:tcW w:w="7900" w:type="dxa"/>
            <w:vAlign w:val="bottom"/>
            <w:tcBorders>
              <w:bottom w:val="single" w:sz="8" w:color="EDEDED"/>
            </w:tcBorders>
            <w:shd w:val="clear" w:color="auto" w:fill="EDEDED"/>
          </w:tcPr>
          <w:p>
            <w:pPr>
              <w:ind w:left="540"/>
              <w:spacing w:after="0"/>
              <w:rPr>
                <w:sz w:val="20"/>
                <w:szCs w:val="20"/>
                <w:color w:val="auto"/>
              </w:rPr>
            </w:pPr>
            <w:r>
              <w:rPr>
                <w:rFonts w:ascii="Arial" w:cs="Arial" w:eastAsia="Arial" w:hAnsi="Arial"/>
                <w:sz w:val="20"/>
                <w:szCs w:val="20"/>
                <w:color w:val="00162F"/>
              </w:rPr>
              <w:t>Long-term debt, net of current maturities</w:t>
            </w:r>
          </w:p>
        </w:tc>
        <w:tc>
          <w:tcPr>
            <w:tcW w:w="340" w:type="dxa"/>
            <w:vAlign w:val="bottom"/>
            <w:tcBorders>
              <w:bottom w:val="single" w:sz="8" w:color="00162F"/>
            </w:tcBorders>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24,639</w:t>
            </w:r>
          </w:p>
        </w:tc>
        <w:tc>
          <w:tcPr>
            <w:tcW w:w="80" w:type="dxa"/>
            <w:vAlign w:val="bottom"/>
            <w:tcBorders>
              <w:bottom w:val="single" w:sz="8" w:color="EDEDED"/>
            </w:tcBorders>
            <w:shd w:val="clear" w:color="auto" w:fill="EDEDED"/>
          </w:tcPr>
          <w:p>
            <w:pPr>
              <w:spacing w:after="0"/>
              <w:rPr>
                <w:sz w:val="24"/>
                <w:szCs w:val="24"/>
                <w:color w:val="auto"/>
              </w:rPr>
            </w:pPr>
          </w:p>
        </w:tc>
        <w:tc>
          <w:tcPr>
            <w:tcW w:w="480" w:type="dxa"/>
            <w:vAlign w:val="bottom"/>
            <w:tcBorders>
              <w:bottom w:val="single" w:sz="8" w:color="00162F"/>
            </w:tcBorders>
            <w:shd w:val="clear" w:color="auto" w:fill="EDEDED"/>
          </w:tcPr>
          <w:p>
            <w:pPr>
              <w:jc w:val="right"/>
              <w:ind w:right="221"/>
              <w:spacing w:after="0"/>
              <w:rPr>
                <w:sz w:val="20"/>
                <w:szCs w:val="20"/>
                <w:color w:val="auto"/>
              </w:rPr>
            </w:pPr>
            <w:r>
              <w:rPr>
                <w:rFonts w:ascii="Arial" w:cs="Arial" w:eastAsia="Arial" w:hAnsi="Arial"/>
                <w:sz w:val="20"/>
                <w:szCs w:val="20"/>
                <w:color w:val="00162F"/>
              </w:rPr>
              <w:t>$</w:t>
            </w:r>
          </w:p>
        </w:tc>
        <w:tc>
          <w:tcPr>
            <w:tcW w:w="8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24,617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-6196965</wp:posOffset>
            </wp:positionV>
            <wp:extent cx="178879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3">
                      <a:extLst>
                        <a:ext uri="{28A0092B-C50C-407E-A947-70E740481C1C}"/>
                      </a:extLst>
                    </a:blip>
                    <a:srcRect/>
                    <a:stretch>
                      <a:fillRect/>
                    </a:stretch>
                  </pic:blipFill>
                  <pic:spPr bwMode="auto">
                    <a:xfrm>
                      <a:off x="0" y="0"/>
                      <a:ext cx="1788795" cy="2540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-2425700</wp:posOffset>
            </wp:positionV>
            <wp:extent cx="91757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4">
                      <a:extLst>
                        <a:ext uri="{28A0092B-C50C-407E-A947-70E740481C1C}"/>
                      </a:extLst>
                    </a:blip>
                    <a:srcRect/>
                    <a:stretch>
                      <a:fillRect/>
                    </a:stretch>
                  </pic:blipFill>
                  <pic:spPr bwMode="auto">
                    <a:xfrm>
                      <a:off x="0" y="0"/>
                      <a:ext cx="917575" cy="2540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-2246630</wp:posOffset>
            </wp:positionV>
            <wp:extent cx="91757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5">
                      <a:extLst>
                        <a:ext uri="{28A0092B-C50C-407E-A947-70E740481C1C}"/>
                      </a:extLst>
                    </a:blip>
                    <a:srcRect/>
                    <a:stretch>
                      <a:fillRect/>
                    </a:stretch>
                  </pic:blipFill>
                  <pic:spPr bwMode="auto">
                    <a:xfrm>
                      <a:off x="0" y="0"/>
                      <a:ext cx="917575" cy="2540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-926465</wp:posOffset>
            </wp:positionV>
            <wp:extent cx="91757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6">
                      <a:extLst>
                        <a:ext uri="{28A0092B-C50C-407E-A947-70E740481C1C}"/>
                      </a:extLst>
                    </a:blip>
                    <a:srcRect/>
                    <a:stretch>
                      <a:fillRect/>
                    </a:stretch>
                  </pic:blipFill>
                  <pic:spPr bwMode="auto">
                    <a:xfrm>
                      <a:off x="0" y="0"/>
                      <a:ext cx="917575" cy="2540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-747395</wp:posOffset>
            </wp:positionV>
            <wp:extent cx="91757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7">
                      <a:extLst>
                        <a:ext uri="{28A0092B-C50C-407E-A947-70E740481C1C}"/>
                      </a:extLst>
                    </a:blip>
                    <a:srcRect/>
                    <a:stretch>
                      <a:fillRect/>
                    </a:stretch>
                  </pic:blipFill>
                  <pic:spPr bwMode="auto">
                    <a:xfrm>
                      <a:off x="0" y="0"/>
                      <a:ext cx="917575" cy="2540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-210185</wp:posOffset>
            </wp:positionV>
            <wp:extent cx="91757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8">
                      <a:extLst>
                        <a:ext uri="{28A0092B-C50C-407E-A947-70E740481C1C}"/>
                      </a:extLst>
                    </a:blip>
                    <a:srcRect/>
                    <a:stretch>
                      <a:fillRect/>
                    </a:stretch>
                  </pic:blipFill>
                  <pic:spPr bwMode="auto">
                    <a:xfrm>
                      <a:off x="0" y="0"/>
                      <a:ext cx="917575" cy="2540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-43815</wp:posOffset>
            </wp:positionV>
            <wp:extent cx="178879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9">
                      <a:extLst>
                        <a:ext uri="{28A0092B-C50C-407E-A947-70E740481C1C}"/>
                      </a:extLst>
                    </a:blip>
                    <a:srcRect/>
                    <a:stretch>
                      <a:fillRect/>
                    </a:stretch>
                  </pic:blipFill>
                  <pic:spPr bwMode="auto">
                    <a:xfrm>
                      <a:off x="0" y="0"/>
                      <a:ext cx="1788795" cy="50800"/>
                    </a:xfrm>
                    <a:prstGeom prst="rect">
                      <a:avLst/>
                    </a:prstGeom>
                    <a:noFill/>
                  </pic:spPr>
                </pic:pic>
              </a:graphicData>
            </a:graphic>
          </wp:anchor>
        </w:drawing>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162F"/>
        </w:rPr>
        <w:t>98</w:t>
      </w:r>
    </w:p>
    <w:p>
      <w:pPr>
        <w:sectPr>
          <w:pgSz w:w="11880" w:h="15480" w:orient="portrait"/>
          <w:cols w:equalWidth="0" w:num="1">
            <w:col w:w="10680"/>
          </w:cols>
          <w:pgMar w:left="600" w:top="487" w:right="600" w:bottom="0" w:gutter="0" w:footer="0" w:header="0"/>
          <w:type w:val="continuous"/>
        </w:sectPr>
      </w:pPr>
    </w:p>
    <w:bookmarkStart w:id="99" w:name="page100"/>
    <w:bookmarkEnd w:id="99"/>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ind w:left="5" w:firstLine="267"/>
        <w:spacing w:after="0" w:line="282" w:lineRule="auto"/>
        <w:rPr>
          <w:sz w:val="20"/>
          <w:szCs w:val="20"/>
          <w:color w:val="auto"/>
        </w:rPr>
      </w:pPr>
      <w:r>
        <w:rPr>
          <w:rFonts w:ascii="Arial" w:cs="Arial" w:eastAsia="Arial" w:hAnsi="Arial"/>
          <w:sz w:val="20"/>
          <w:szCs w:val="20"/>
          <w:color w:val="00162F"/>
        </w:rPr>
        <w:t>As of December 31, 2025, the maximum availability under our revolving credit and other facilities is as follows (in millions):</w:t>
      </w:r>
    </w:p>
    <w:p>
      <w:pPr>
        <w:spacing w:after="0" w:line="168" w:lineRule="exact"/>
        <w:rPr>
          <w:sz w:val="20"/>
          <w:szCs w:val="20"/>
          <w:color w:val="auto"/>
        </w:rPr>
      </w:pPr>
    </w:p>
    <w:tbl>
      <w:tblPr>
        <w:tblLayout w:type="fixed"/>
        <w:tblInd w:w="5" w:type="dxa"/>
        <w:tblCellMar>
          <w:top w:w="0" w:type="dxa"/>
          <w:left w:w="0" w:type="dxa"/>
          <w:bottom w:w="0" w:type="dxa"/>
          <w:right w:w="0" w:type="dxa"/>
        </w:tblCellMar>
      </w:tblPr>
      <w:tr>
        <w:trPr>
          <w:trHeight w:val="297"/>
        </w:trPr>
        <w:tc>
          <w:tcPr>
            <w:tcW w:w="9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2013 Revolving Facility </w:t>
            </w:r>
            <w:r>
              <w:rPr>
                <w:rFonts w:ascii="Arial" w:cs="Arial" w:eastAsia="Arial" w:hAnsi="Arial"/>
                <w:sz w:val="12"/>
                <w:szCs w:val="12"/>
                <w:color w:val="00162F"/>
              </w:rPr>
              <w:t>(1)</w:t>
            </w:r>
          </w:p>
        </w:tc>
        <w:tc>
          <w:tcPr>
            <w:tcW w:w="640" w:type="dxa"/>
            <w:vAlign w:val="bottom"/>
            <w:shd w:val="clear" w:color="auto" w:fill="EDEDED"/>
          </w:tcPr>
          <w:p>
            <w:pPr>
              <w:jc w:val="right"/>
              <w:ind w:right="381"/>
              <w:spacing w:after="0"/>
              <w:rPr>
                <w:sz w:val="20"/>
                <w:szCs w:val="20"/>
                <w:color w:val="auto"/>
              </w:rPr>
            </w:pPr>
            <w:r>
              <w:rPr>
                <w:rFonts w:ascii="Arial" w:cs="Arial" w:eastAsia="Arial" w:hAnsi="Arial"/>
                <w:sz w:val="20"/>
                <w:szCs w:val="20"/>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519</w:t>
            </w:r>
          </w:p>
        </w:tc>
      </w:tr>
      <w:tr>
        <w:trPr>
          <w:trHeight w:val="293"/>
        </w:trPr>
        <w:tc>
          <w:tcPr>
            <w:tcW w:w="9000" w:type="dxa"/>
            <w:vAlign w:val="bottom"/>
            <w:gridSpan w:val="2"/>
          </w:tcPr>
          <w:p>
            <w:pPr>
              <w:ind w:left="40"/>
              <w:spacing w:after="0"/>
              <w:rPr>
                <w:sz w:val="20"/>
                <w:szCs w:val="20"/>
                <w:color w:val="auto"/>
              </w:rPr>
            </w:pPr>
            <w:r>
              <w:rPr>
                <w:rFonts w:ascii="Arial" w:cs="Arial" w:eastAsia="Arial" w:hAnsi="Arial"/>
                <w:sz w:val="20"/>
                <w:szCs w:val="20"/>
                <w:color w:val="00162F"/>
              </w:rPr>
              <w:t xml:space="preserve">2014 Revolving Facility </w:t>
            </w:r>
            <w:r>
              <w:rPr>
                <w:rFonts w:ascii="Arial" w:cs="Arial" w:eastAsia="Arial" w:hAnsi="Arial"/>
                <w:sz w:val="12"/>
                <w:szCs w:val="12"/>
                <w:color w:val="00162F"/>
              </w:rPr>
              <w:t>(1)</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1,557</w:t>
            </w:r>
          </w:p>
        </w:tc>
      </w:tr>
      <w:tr>
        <w:trPr>
          <w:trHeight w:val="301"/>
        </w:trPr>
        <w:tc>
          <w:tcPr>
            <w:tcW w:w="9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2023 Revolving Facility </w:t>
            </w:r>
            <w:r>
              <w:rPr>
                <w:rFonts w:ascii="Arial" w:cs="Arial" w:eastAsia="Arial" w:hAnsi="Arial"/>
                <w:sz w:val="12"/>
                <w:szCs w:val="12"/>
                <w:color w:val="00162F"/>
              </w:rPr>
              <w:t>(1)</w:t>
            </w:r>
          </w:p>
        </w:tc>
        <w:tc>
          <w:tcPr>
            <w:tcW w:w="64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924</w:t>
            </w:r>
          </w:p>
        </w:tc>
      </w:tr>
      <w:tr>
        <w:trPr>
          <w:trHeight w:val="287"/>
        </w:trPr>
        <w:tc>
          <w:tcPr>
            <w:tcW w:w="9000" w:type="dxa"/>
            <w:vAlign w:val="bottom"/>
            <w:tcBorders>
              <w:bottom w:val="single" w:sz="8" w:color="EDEDED"/>
            </w:tcBorders>
            <w:gridSpan w:val="2"/>
          </w:tcPr>
          <w:p>
            <w:pPr>
              <w:ind w:left="40"/>
              <w:spacing w:after="0"/>
              <w:rPr>
                <w:sz w:val="20"/>
                <w:szCs w:val="20"/>
                <w:color w:val="auto"/>
              </w:rPr>
            </w:pPr>
            <w:r>
              <w:rPr>
                <w:rFonts w:ascii="Arial" w:cs="Arial" w:eastAsia="Arial" w:hAnsi="Arial"/>
                <w:sz w:val="20"/>
                <w:szCs w:val="20"/>
                <w:color w:val="00162F"/>
              </w:rPr>
              <w:t xml:space="preserve">Other facilities </w:t>
            </w:r>
            <w:r>
              <w:rPr>
                <w:rFonts w:ascii="Arial" w:cs="Arial" w:eastAsia="Arial" w:hAnsi="Arial"/>
                <w:sz w:val="12"/>
                <w:szCs w:val="12"/>
                <w:color w:val="00162F"/>
              </w:rPr>
              <w:t>(2)</w:t>
            </w:r>
          </w:p>
        </w:tc>
        <w:tc>
          <w:tcPr>
            <w:tcW w:w="640" w:type="dxa"/>
            <w:vAlign w:val="bottom"/>
            <w:tcBorders>
              <w:bottom w:val="single" w:sz="8" w:color="00162F"/>
            </w:tcBorders>
          </w:tcPr>
          <w:p>
            <w:pPr>
              <w:spacing w:after="0"/>
              <w:rPr>
                <w:sz w:val="24"/>
                <w:szCs w:val="24"/>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397</w:t>
            </w:r>
          </w:p>
        </w:tc>
      </w:tr>
      <w:tr>
        <w:trPr>
          <w:trHeight w:val="297"/>
        </w:trPr>
        <w:tc>
          <w:tcPr>
            <w:tcW w:w="9000" w:type="dxa"/>
            <w:vAlign w:val="bottom"/>
            <w:tcBorders>
              <w:bottom w:val="single" w:sz="8" w:color="EDEDED"/>
            </w:tcBorders>
            <w:gridSpan w:val="2"/>
            <w:shd w:val="clear" w:color="auto" w:fill="EDEDED"/>
          </w:tcPr>
          <w:p>
            <w:pPr>
              <w:ind w:left="180"/>
              <w:spacing w:after="0"/>
              <w:rPr>
                <w:sz w:val="20"/>
                <w:szCs w:val="20"/>
                <w:color w:val="auto"/>
              </w:rPr>
            </w:pPr>
            <w:r>
              <w:rPr>
                <w:rFonts w:ascii="Arial" w:cs="Arial" w:eastAsia="Arial" w:hAnsi="Arial"/>
                <w:sz w:val="20"/>
                <w:szCs w:val="20"/>
                <w:color w:val="00162F"/>
              </w:rPr>
              <w:t>Total</w:t>
            </w:r>
          </w:p>
        </w:tc>
        <w:tc>
          <w:tcPr>
            <w:tcW w:w="640" w:type="dxa"/>
            <w:vAlign w:val="bottom"/>
            <w:tcBorders>
              <w:bottom w:val="single" w:sz="8" w:color="00162F"/>
            </w:tcBorders>
            <w:shd w:val="clear" w:color="auto" w:fill="EDEDED"/>
          </w:tcPr>
          <w:p>
            <w:pPr>
              <w:jc w:val="right"/>
              <w:ind w:right="381"/>
              <w:spacing w:after="0"/>
              <w:rPr>
                <w:sz w:val="20"/>
                <w:szCs w:val="20"/>
                <w:color w:val="auto"/>
              </w:rPr>
            </w:pPr>
            <w:r>
              <w:rPr>
                <w:rFonts w:ascii="Arial" w:cs="Arial" w:eastAsia="Arial" w:hAnsi="Arial"/>
                <w:sz w:val="20"/>
                <w:szCs w:val="20"/>
                <w:color w:val="00162F"/>
              </w:rPr>
              <w:t>$</w:t>
            </w: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3,397</w:t>
            </w:r>
          </w:p>
        </w:tc>
      </w:tr>
      <w:tr>
        <w:trPr>
          <w:trHeight w:val="133"/>
        </w:trPr>
        <w:tc>
          <w:tcPr>
            <w:tcW w:w="1960" w:type="dxa"/>
            <w:vAlign w:val="bottom"/>
            <w:tcBorders>
              <w:bottom w:val="single" w:sz="8" w:color="00162F"/>
            </w:tcBorders>
          </w:tcPr>
          <w:p>
            <w:pPr>
              <w:spacing w:after="0"/>
              <w:rPr>
                <w:sz w:val="11"/>
                <w:szCs w:val="11"/>
                <w:color w:val="auto"/>
              </w:rPr>
            </w:pPr>
          </w:p>
        </w:tc>
        <w:tc>
          <w:tcPr>
            <w:tcW w:w="7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5709920</wp:posOffset>
            </wp:positionH>
            <wp:positionV relativeFrom="paragraph">
              <wp:posOffset>-140970</wp:posOffset>
            </wp:positionV>
            <wp:extent cx="1090930"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0">
                      <a:extLst>
                        <a:ext uri="{28A0092B-C50C-407E-A947-70E740481C1C}"/>
                      </a:extLst>
                    </a:blip>
                    <a:srcRect/>
                    <a:stretch>
                      <a:fillRect/>
                    </a:stretch>
                  </pic:blipFill>
                  <pic:spPr bwMode="auto">
                    <a:xfrm>
                      <a:off x="0" y="0"/>
                      <a:ext cx="1090930" cy="50800"/>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65" w:lineRule="auto"/>
        <w:tabs>
          <w:tab w:leader="none" w:pos="365" w:val="left"/>
        </w:tabs>
        <w:numPr>
          <w:ilvl w:val="0"/>
          <w:numId w:val="47"/>
        </w:numPr>
        <w:rPr>
          <w:rFonts w:ascii="Arial" w:cs="Arial" w:eastAsia="Arial" w:hAnsi="Arial"/>
          <w:sz w:val="13"/>
          <w:szCs w:val="13"/>
          <w:color w:val="00162F"/>
        </w:rPr>
      </w:pPr>
      <w:r>
        <w:rPr>
          <w:rFonts w:ascii="Arial" w:cs="Arial" w:eastAsia="Arial" w:hAnsi="Arial"/>
          <w:sz w:val="20"/>
          <w:szCs w:val="20"/>
          <w:color w:val="00162F"/>
        </w:rPr>
        <w:t>On April 21, 2025, the aggregate revolving commitments under the 2013, 2014 and 2023 Revolving Facilities were increased from approximately $2.9 billion to $3.0 billion upon the upsize of commitments by certain existing lenders. No other terms were changed and there are no borrowings outstanding under the facilities.</w:t>
      </w:r>
    </w:p>
    <w:p>
      <w:pPr>
        <w:spacing w:after="0" w:line="129" w:lineRule="exact"/>
        <w:rPr>
          <w:rFonts w:ascii="Arial" w:cs="Arial" w:eastAsia="Arial" w:hAnsi="Arial"/>
          <w:sz w:val="13"/>
          <w:szCs w:val="13"/>
          <w:color w:val="00162F"/>
        </w:rPr>
      </w:pPr>
    </w:p>
    <w:p>
      <w:pPr>
        <w:jc w:val="both"/>
        <w:ind w:left="365" w:hanging="365"/>
        <w:spacing w:after="0" w:line="259" w:lineRule="auto"/>
        <w:tabs>
          <w:tab w:leader="none" w:pos="365" w:val="left"/>
        </w:tabs>
        <w:numPr>
          <w:ilvl w:val="0"/>
          <w:numId w:val="47"/>
        </w:numPr>
        <w:rPr>
          <w:rFonts w:ascii="Arial" w:cs="Arial" w:eastAsia="Arial" w:hAnsi="Arial"/>
          <w:sz w:val="13"/>
          <w:szCs w:val="13"/>
          <w:color w:val="00162F"/>
        </w:rPr>
      </w:pPr>
      <w:r>
        <w:rPr>
          <w:rFonts w:ascii="Arial" w:cs="Arial" w:eastAsia="Arial" w:hAnsi="Arial"/>
          <w:sz w:val="20"/>
          <w:szCs w:val="20"/>
          <w:color w:val="00162F"/>
        </w:rPr>
        <w:t>Includes a revolving credit facility that provides for borrowing capacity of up to $350 million, maturing in March 2027 with an option to extend for an additional year. Additionally, American currently has $47 million of available borrowing base under a cargo receivables facility that is scheduled to expire in December 2026. There are no amounts drawn under these facilities.</w:t>
      </w:r>
    </w:p>
    <w:p>
      <w:pPr>
        <w:spacing w:after="0" w:line="136"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129" w:lineRule="exact"/>
        <w:rPr>
          <w:sz w:val="20"/>
          <w:szCs w:val="20"/>
          <w:color w:val="auto"/>
        </w:rPr>
      </w:pPr>
    </w:p>
    <w:tbl>
      <w:tblPr>
        <w:tblLayout w:type="fixed"/>
        <w:tblInd w:w="5" w:type="dxa"/>
        <w:tblCellMar>
          <w:top w:w="0" w:type="dxa"/>
          <w:left w:w="0" w:type="dxa"/>
          <w:bottom w:w="0" w:type="dxa"/>
          <w:right w:w="0" w:type="dxa"/>
        </w:tblCellMar>
      </w:tblPr>
      <w:tr>
        <w:trPr>
          <w:trHeight w:val="263"/>
        </w:trPr>
        <w:tc>
          <w:tcPr>
            <w:tcW w:w="9000" w:type="dxa"/>
            <w:vAlign w:val="bottom"/>
          </w:tcPr>
          <w:p>
            <w:pPr>
              <w:ind w:left="260"/>
              <w:spacing w:after="0"/>
              <w:rPr>
                <w:sz w:val="20"/>
                <w:szCs w:val="20"/>
                <w:color w:val="auto"/>
              </w:rPr>
            </w:pPr>
            <w:r>
              <w:rPr>
                <w:rFonts w:ascii="Arial" w:cs="Arial" w:eastAsia="Arial" w:hAnsi="Arial"/>
                <w:sz w:val="20"/>
                <w:szCs w:val="20"/>
                <w:color w:val="00162F"/>
              </w:rPr>
              <w:t>At December 31, 2025, the maturities of long-term debt are as follows (in millions):</w:t>
            </w: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8"/>
        </w:trPr>
        <w:tc>
          <w:tcPr>
            <w:tcW w:w="9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2"/>
        </w:trPr>
        <w:tc>
          <w:tcPr>
            <w:tcW w:w="9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2026</w:t>
            </w:r>
          </w:p>
        </w:tc>
        <w:tc>
          <w:tcPr>
            <w:tcW w:w="580" w:type="dxa"/>
            <w:vAlign w:val="bottom"/>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3,641</w:t>
            </w:r>
          </w:p>
        </w:tc>
      </w:tr>
      <w:tr>
        <w:trPr>
          <w:trHeight w:val="278"/>
        </w:trPr>
        <w:tc>
          <w:tcPr>
            <w:tcW w:w="9000" w:type="dxa"/>
            <w:vAlign w:val="bottom"/>
          </w:tcPr>
          <w:p>
            <w:pPr>
              <w:ind w:left="40"/>
              <w:spacing w:after="0"/>
              <w:rPr>
                <w:sz w:val="20"/>
                <w:szCs w:val="20"/>
                <w:color w:val="auto"/>
              </w:rPr>
            </w:pPr>
            <w:r>
              <w:rPr>
                <w:rFonts w:ascii="Arial" w:cs="Arial" w:eastAsia="Arial" w:hAnsi="Arial"/>
                <w:sz w:val="20"/>
                <w:szCs w:val="20"/>
                <w:color w:val="00162F"/>
              </w:rPr>
              <w:t>2027</w:t>
            </w: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4,455</w:t>
            </w:r>
          </w:p>
        </w:tc>
      </w:tr>
      <w:tr>
        <w:trPr>
          <w:trHeight w:val="286"/>
        </w:trPr>
        <w:tc>
          <w:tcPr>
            <w:tcW w:w="9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2028</w:t>
            </w: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7,324</w:t>
            </w:r>
          </w:p>
        </w:tc>
      </w:tr>
      <w:tr>
        <w:trPr>
          <w:trHeight w:val="278"/>
        </w:trPr>
        <w:tc>
          <w:tcPr>
            <w:tcW w:w="9000" w:type="dxa"/>
            <w:vAlign w:val="bottom"/>
          </w:tcPr>
          <w:p>
            <w:pPr>
              <w:ind w:left="40"/>
              <w:spacing w:after="0"/>
              <w:rPr>
                <w:sz w:val="20"/>
                <w:szCs w:val="20"/>
                <w:color w:val="auto"/>
              </w:rPr>
            </w:pPr>
            <w:r>
              <w:rPr>
                <w:rFonts w:ascii="Arial" w:cs="Arial" w:eastAsia="Arial" w:hAnsi="Arial"/>
                <w:sz w:val="20"/>
                <w:szCs w:val="20"/>
                <w:color w:val="00162F"/>
              </w:rPr>
              <w:t>2029</w:t>
            </w: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4,045</w:t>
            </w:r>
          </w:p>
        </w:tc>
      </w:tr>
      <w:tr>
        <w:trPr>
          <w:trHeight w:val="286"/>
        </w:trPr>
        <w:tc>
          <w:tcPr>
            <w:tcW w:w="9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2030</w:t>
            </w: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2,487</w:t>
            </w:r>
          </w:p>
        </w:tc>
      </w:tr>
      <w:tr>
        <w:trPr>
          <w:trHeight w:val="272"/>
        </w:trPr>
        <w:tc>
          <w:tcPr>
            <w:tcW w:w="900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2031 and thereafter</w:t>
            </w:r>
          </w:p>
        </w:tc>
        <w:tc>
          <w:tcPr>
            <w:tcW w:w="580" w:type="dxa"/>
            <w:vAlign w:val="bottom"/>
            <w:tcBorders>
              <w:bottom w:val="single" w:sz="8" w:color="00162F"/>
            </w:tcBorders>
          </w:tcPr>
          <w:p>
            <w:pPr>
              <w:spacing w:after="0"/>
              <w:rPr>
                <w:sz w:val="23"/>
                <w:szCs w:val="23"/>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6,642</w:t>
            </w:r>
          </w:p>
        </w:tc>
      </w:tr>
      <w:tr>
        <w:trPr>
          <w:trHeight w:val="282"/>
        </w:trPr>
        <w:tc>
          <w:tcPr>
            <w:tcW w:w="900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Total</w:t>
            </w:r>
          </w:p>
        </w:tc>
        <w:tc>
          <w:tcPr>
            <w:tcW w:w="580" w:type="dxa"/>
            <w:vAlign w:val="bottom"/>
            <w:tcBorders>
              <w:bottom w:val="single" w:sz="8" w:color="00162F"/>
            </w:tcBorders>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28,594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5709920</wp:posOffset>
            </wp:positionH>
            <wp:positionV relativeFrom="paragraph">
              <wp:posOffset>-43815</wp:posOffset>
            </wp:positionV>
            <wp:extent cx="1090930"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1">
                      <a:extLst>
                        <a:ext uri="{28A0092B-C50C-407E-A947-70E740481C1C}"/>
                      </a:extLst>
                    </a:blip>
                    <a:srcRect/>
                    <a:stretch>
                      <a:fillRect/>
                    </a:stretch>
                  </pic:blipFill>
                  <pic:spPr bwMode="auto">
                    <a:xfrm>
                      <a:off x="0" y="0"/>
                      <a:ext cx="1090930" cy="50800"/>
                    </a:xfrm>
                    <a:prstGeom prst="rect">
                      <a:avLst/>
                    </a:prstGeom>
                    <a:noFill/>
                  </pic:spPr>
                </pic:pic>
              </a:graphicData>
            </a:graphic>
          </wp:anchor>
        </w:drawing>
      </w:r>
    </w:p>
    <w:p>
      <w:pPr>
        <w:spacing w:after="0" w:line="263" w:lineRule="exact"/>
        <w:rPr>
          <w:sz w:val="20"/>
          <w:szCs w:val="20"/>
          <w:color w:val="auto"/>
        </w:rPr>
      </w:pPr>
    </w:p>
    <w:p>
      <w:pPr>
        <w:ind w:left="265" w:right="6700" w:firstLine="2"/>
        <w:spacing w:after="0" w:line="340" w:lineRule="auto"/>
        <w:tabs>
          <w:tab w:leader="none" w:pos="562" w:val="left"/>
        </w:tabs>
        <w:numPr>
          <w:ilvl w:val="0"/>
          <w:numId w:val="48"/>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 xml:space="preserve">2013, 2014 and 2023 Credit Facilities </w:t>
      </w:r>
      <w:r>
        <w:rPr>
          <w:rFonts w:ascii="Arial" w:cs="Arial" w:eastAsia="Arial" w:hAnsi="Arial"/>
          <w:sz w:val="20"/>
          <w:szCs w:val="20"/>
          <w:i w:val="1"/>
          <w:iCs w:val="1"/>
          <w:u w:val="single" w:color="auto"/>
          <w:color w:val="00162F"/>
        </w:rPr>
        <w:t>2013 Credit Facilities</w:t>
      </w:r>
    </w:p>
    <w:p>
      <w:pPr>
        <w:jc w:val="both"/>
        <w:ind w:left="5" w:firstLine="267"/>
        <w:spacing w:after="0" w:line="252" w:lineRule="auto"/>
        <w:rPr>
          <w:sz w:val="20"/>
          <w:szCs w:val="20"/>
          <w:color w:val="auto"/>
        </w:rPr>
      </w:pPr>
      <w:r>
        <w:rPr>
          <w:rFonts w:ascii="Arial" w:cs="Arial" w:eastAsia="Arial" w:hAnsi="Arial"/>
          <w:sz w:val="20"/>
          <w:szCs w:val="20"/>
          <w:color w:val="00162F"/>
        </w:rPr>
        <w:t>The Amended and Restated Credit and Guaranty Agreement dated as of May 21, 2015, as amended (the 2013 Credit Agreement), includes a revolving credit facility (the 2013 Revolving Facility) and term loan facility (the 2013 Term Loan Facility), collectively referred to as the 2013 Credit Facilities. The 2013 Term Loan Facility matures in February 2028 and bears interest at a base rate (subject to a floor of 1.00%) plus an applicable margin of 1.25% per annum or, at American’s option, the SOFR rate for a tenor of one, three or six months, depending on the interest period selected by American (subject to a floor of 0.00%), plus an applicable margin of 2.25% per annum. SOFR borrowings under the 2013 Term Loan Facility are not subject to a credit spread adjustment. As of December 31, 2025, the margin elected was 2.25% per annum.</w:t>
      </w:r>
    </w:p>
    <w:p>
      <w:pPr>
        <w:spacing w:after="0" w:line="147" w:lineRule="exact"/>
        <w:rPr>
          <w:sz w:val="20"/>
          <w:szCs w:val="20"/>
          <w:color w:val="auto"/>
        </w:rPr>
      </w:pPr>
    </w:p>
    <w:p>
      <w:pPr>
        <w:jc w:val="both"/>
        <w:ind w:left="5" w:firstLine="267"/>
        <w:spacing w:after="0" w:line="252" w:lineRule="auto"/>
        <w:rPr>
          <w:sz w:val="20"/>
          <w:szCs w:val="20"/>
          <w:color w:val="auto"/>
        </w:rPr>
      </w:pPr>
      <w:r>
        <w:rPr>
          <w:rFonts w:ascii="Arial" w:cs="Arial" w:eastAsia="Arial" w:hAnsi="Arial"/>
          <w:sz w:val="20"/>
          <w:szCs w:val="20"/>
          <w:color w:val="00162F"/>
        </w:rPr>
        <w:t>The 2013 Revolving Facility matures in June 2029 and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SOFR borrowings under the 2013 Revolving Facility are not subject to a credit spread adjustment. The 2013 Revolving Facility has aggregate commitments of $519 million, with the ability to issue letters of credit up to an aggregate amount of $100 million. As of December 31, 2025, there were no borrowings or letters of credit outstanding under the 2013 Revolving Facility.</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00162F"/>
        </w:rPr>
        <w:t>99</w:t>
      </w:r>
    </w:p>
    <w:p>
      <w:pPr>
        <w:sectPr>
          <w:pgSz w:w="11880" w:h="15480" w:orient="portrait"/>
          <w:cols w:equalWidth="0" w:num="1">
            <w:col w:w="10685"/>
          </w:cols>
          <w:pgMar w:left="595" w:top="487" w:right="600" w:bottom="0" w:gutter="0" w:footer="0" w:header="0"/>
          <w:type w:val="continuous"/>
        </w:sectPr>
      </w:pPr>
    </w:p>
    <w:bookmarkStart w:id="100" w:name="page101"/>
    <w:bookmarkEnd w:id="100"/>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2014 Credit Facilities</w:t>
      </w:r>
    </w:p>
    <w:p>
      <w:pPr>
        <w:spacing w:after="0" w:line="95" w:lineRule="exact"/>
        <w:rPr>
          <w:sz w:val="20"/>
          <w:szCs w:val="20"/>
          <w:color w:val="auto"/>
        </w:rPr>
      </w:pPr>
    </w:p>
    <w:p>
      <w:pPr>
        <w:jc w:val="both"/>
        <w:ind w:firstLine="267"/>
        <w:spacing w:after="0" w:line="269" w:lineRule="auto"/>
        <w:rPr>
          <w:sz w:val="20"/>
          <w:szCs w:val="20"/>
          <w:color w:val="auto"/>
        </w:rPr>
      </w:pPr>
      <w:r>
        <w:rPr>
          <w:rFonts w:ascii="Arial" w:cs="Arial" w:eastAsia="Arial" w:hAnsi="Arial"/>
          <w:sz w:val="19"/>
          <w:szCs w:val="19"/>
          <w:color w:val="00162F"/>
        </w:rPr>
        <w:t>The Amended and Restated Credit and Guaranty Agreement, dated as of April 20, 2015, as amended (the 2014 Credit Agreement), includes a revolving credit facility (the 2014 Revolving Facility) and term loan facility (the 2014 Term Loan Facility), collectively referred to as the 2014 Credit Facilities. The 2014 Term Loan Facility matures in January 2027 and bears interest at a base rate (subject to a floor of 1.00%) plus an applicable margin of 0.75% or, at American’s option, the SOFR rate for a tenor of one, three or six months, depending on the interest period selected by American, plus the SOFR adjustment applicable to such interest period (with such SOFR rate plus SOFR adjustment being subject to a floor of 0.00%) plus an applicable margin of 1.75%. As of December 31, 2025, the margin elected was 1.75% per annum.</w:t>
      </w:r>
    </w:p>
    <w:p>
      <w:pPr>
        <w:spacing w:after="0" w:line="127"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The 2014 Revolving Facility matures in June 2029 and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 plus an applicable margin of 3.00%, 3.25% or 3.50%, depending on AAG’s public corporate credit rating. SOFR borrowings under the 2014 Revolving Facility are not subject to a credit spread adjustment. The 2014 Revolving Facility has aggregate commitments of $1.6 billion, with the ability to issue letters of credit up to an aggregate amount of $200 million. As of December 31, 2025, there were no borrowings or letters of credit outstanding under the 2014 Revolving Facility.</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2023 Credit Facilities</w:t>
      </w:r>
    </w:p>
    <w:p>
      <w:pPr>
        <w:spacing w:after="0" w:line="95" w:lineRule="exact"/>
        <w:rPr>
          <w:sz w:val="20"/>
          <w:szCs w:val="20"/>
          <w:color w:val="auto"/>
        </w:rPr>
      </w:pPr>
    </w:p>
    <w:p>
      <w:pPr>
        <w:jc w:val="both"/>
        <w:ind w:firstLine="267"/>
        <w:spacing w:after="0" w:line="269" w:lineRule="auto"/>
        <w:rPr>
          <w:sz w:val="20"/>
          <w:szCs w:val="20"/>
          <w:color w:val="auto"/>
        </w:rPr>
      </w:pPr>
      <w:r>
        <w:rPr>
          <w:rFonts w:ascii="Arial" w:cs="Arial" w:eastAsia="Arial" w:hAnsi="Arial"/>
          <w:sz w:val="19"/>
          <w:szCs w:val="19"/>
          <w:color w:val="00162F"/>
        </w:rPr>
        <w:t>The Credit and Guaranty Agreement, dated as of December 4, 2023, as amended (the 2023 Credit Agreement), includes a revolving credit facility (the 2023 Revolving Facility) and term loan facility (the 2023 Term Loan Facility), collectively referred to as the 2023 Credit Facilities. The 2023 Term Loan Facility matures in June 2029 and bears interest at a base rate (subject to a floor of 1.00%) plus an applicable margin of 1.25% per annum or, at American’s option, the SOFR rate for a tenor of one, three or six months, depending on the interest period selected by American (subject to a floor of 0.00%), plus an applicable margin of 2.25% per annum. SOFR borrowings under the 2023 Term Loan Facility are not subject to a credit spread adjustment. As of December 31, 2025, the margin elected was 2.25% per annum.</w:t>
      </w:r>
    </w:p>
    <w:p>
      <w:pPr>
        <w:spacing w:after="0" w:line="127"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The 2023 Revolving Facility matures in June 2029 and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SOFR borrowings under the 2023 Revolving Facility are not subject to a credit spread adjustment. The 2023 Revolving Facility has aggregate commitments of $924 million. As of December 31, 2025, there were no borrowings outstanding under the 2023 Revolving Facility.</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Other Terms of the 2013, 2014 and 2023 Credit Facilities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term loans under the 2013, 2014 and 2023 Credit Facilities (collectively referred to as the Credit Facilities) are repayable in annual installments, in an amount equal to 1.00% of the aggregate principal amount issued, with any unpaid balance due on the respective maturity dates. Voluntary prepayments may be made by American at any time.</w:t>
      </w:r>
    </w:p>
    <w:p>
      <w:pPr>
        <w:spacing w:after="0" w:line="129" w:lineRule="exact"/>
        <w:rPr>
          <w:sz w:val="20"/>
          <w:szCs w:val="20"/>
          <w:color w:val="auto"/>
        </w:rPr>
      </w:pPr>
    </w:p>
    <w:p>
      <w:pPr>
        <w:jc w:val="both"/>
        <w:ind w:firstLine="267"/>
        <w:spacing w:after="0" w:line="310" w:lineRule="auto"/>
        <w:rPr>
          <w:sz w:val="20"/>
          <w:szCs w:val="20"/>
          <w:color w:val="auto"/>
        </w:rPr>
      </w:pPr>
      <w:r>
        <w:rPr>
          <w:rFonts w:ascii="Arial" w:cs="Arial" w:eastAsia="Arial" w:hAnsi="Arial"/>
          <w:sz w:val="19"/>
          <w:szCs w:val="19"/>
          <w:color w:val="00162F"/>
        </w:rPr>
        <w:t>The 2013, 2014 and 2023 Revolving Facilities provide that American may from time to time borrow, repay and reborrow loans thereunder. The 2013, 2014 and 2023 Revolving Facilities are each subject to an undrawn annual fee of 0.75%.</w:t>
      </w:r>
    </w:p>
    <w:p>
      <w:pPr>
        <w:spacing w:after="0" w:line="89"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Subject to certain limitations and exceptions, the Credit Facilities are secured by collateral, including certain slots, route authorities, simulators and leasehold rights. American has the ability to make modifications to the collateral pledged, subject to certain restrictions. American’s obligations under the Credit Facilities are guaranteed by AAG, and such guarantee is AAG’s senior unsecured obligations (all of the collateral is owned by American, and AAG has not granted a security interest in any assets to secure any of the foregoing obligations). The Credit Facilities contain events of default customary for similar financings, including cross default and cross-acceleration to other material indebtedness.</w:t>
      </w:r>
    </w:p>
    <w:p>
      <w:pPr>
        <w:spacing w:after="0" w:line="233" w:lineRule="exact"/>
        <w:rPr>
          <w:sz w:val="20"/>
          <w:szCs w:val="20"/>
          <w:color w:val="auto"/>
        </w:rPr>
      </w:pPr>
    </w:p>
    <w:p>
      <w:pPr>
        <w:ind w:left="560" w:hanging="298"/>
        <w:spacing w:after="0"/>
        <w:tabs>
          <w:tab w:leader="none" w:pos="560" w:val="left"/>
        </w:tabs>
        <w:numPr>
          <w:ilvl w:val="0"/>
          <w:numId w:val="49"/>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Senior Secured Notes</w:t>
      </w:r>
    </w:p>
    <w:p>
      <w:pPr>
        <w:spacing w:after="0" w:line="97" w:lineRule="exact"/>
        <w:rPr>
          <w:rFonts w:ascii="Arial" w:cs="Arial" w:eastAsia="Arial" w:hAnsi="Arial"/>
          <w:sz w:val="20"/>
          <w:szCs w:val="20"/>
          <w:b w:val="1"/>
          <w:bCs w:val="1"/>
          <w:i w:val="1"/>
          <w:iCs w:val="1"/>
          <w:color w:val="00162F"/>
        </w:rPr>
      </w:pPr>
    </w:p>
    <w:p>
      <w:pPr>
        <w:ind w:left="260"/>
        <w:spacing w:after="0"/>
        <w:rPr>
          <w:rFonts w:ascii="Arial" w:cs="Arial" w:eastAsia="Arial" w:hAnsi="Arial"/>
          <w:sz w:val="20"/>
          <w:szCs w:val="20"/>
          <w:b w:val="1"/>
          <w:bCs w:val="1"/>
          <w:i w:val="1"/>
          <w:iCs w:val="1"/>
          <w:color w:val="00162F"/>
        </w:rPr>
      </w:pPr>
      <w:r>
        <w:rPr>
          <w:rFonts w:ascii="Arial" w:cs="Arial" w:eastAsia="Arial" w:hAnsi="Arial"/>
          <w:sz w:val="20"/>
          <w:szCs w:val="20"/>
          <w:i w:val="1"/>
          <w:iCs w:val="1"/>
          <w:u w:val="single" w:color="auto"/>
          <w:color w:val="00162F"/>
        </w:rPr>
        <w:t>10.75% Senior Secured Notes</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On September 25, 2020 (the 10.75% Senior Secured Notes Closing Date), American issued $1.0 billion in initial principal amount of senior secured IP notes (the IP Notes) and $200 million in initial principal amount of senior secured LGA/DCA notes (the LGA/DCA Notes and together with the IP Notes, the 10.75% Senior Secured Notes). In February 2025, American prepaid $308 million toward portions of the outstanding principal amounts of the 10.75% Senior Secured</w:t>
      </w:r>
    </w:p>
    <w:p>
      <w:pPr>
        <w:sectPr>
          <w:pgSz w:w="11880" w:h="15480" w:orient="portrait"/>
          <w:cols w:equalWidth="0" w:num="1">
            <w:col w:w="10680"/>
          </w:cols>
          <w:pgMar w:left="600" w:top="487" w:right="600" w:bottom="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100</w:t>
      </w:r>
    </w:p>
    <w:p>
      <w:pPr>
        <w:sectPr>
          <w:pgSz w:w="11880" w:h="15480" w:orient="portrait"/>
          <w:cols w:equalWidth="0" w:num="1">
            <w:col w:w="10680"/>
          </w:cols>
          <w:pgMar w:left="600" w:top="487" w:right="600"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00162F"/>
        </w:rPr>
        <w:t>Notes. In October 2025, American redeemed in full the $629 million in aggregate principal amount of 10.75% Senior Secured Notes in advance of maturity at par, plus accrued and unpaid interest thereon, using amounts borrowed under a senior unsecured short-term term loan facility, described further below.</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7.25% Senior Secured Notes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On February 15, 2023, American issued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which began on August 15, 2023. The 7.25% Senior Secured Notes will mature on February 15, 2028. The obligations of American under the 7.25% Senior Secured Notes are fully and unconditionally guaranteed on a senior unsecured basis by AAG.</w:t>
      </w:r>
    </w:p>
    <w:p>
      <w:pPr>
        <w:spacing w:after="0" w:line="144"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certain countries in South America and New Zealand (collectively, the 7.25% Senior Secured Notes Collateral). The 7.25% Senior Secured Notes Collateral also secures, on a first lien, pari passu basis with the 7.25% Senior Secured Notes, the 2013 Credit Facilities.</w:t>
      </w:r>
    </w:p>
    <w:p>
      <w:pPr>
        <w:spacing w:after="0" w:line="14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American may redeem the 7.25% Senior Secured Notes, in whole or in part, at the redemption prices described in the 7.25% Senior Secured Notes Indenture, plus any accrued and unpaid interest thereon to but excluding the date of redemption.</w:t>
      </w:r>
    </w:p>
    <w:p>
      <w:pPr>
        <w:spacing w:after="0" w:line="129"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2.00% per annum of the principal amount of the 7.25% Senior Secured Notes until the 7.25% Senior Secured Notes Collateral Coverage Ratio is established to be at least 1.6 to 1.0.</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8.50% Senior Secured Notes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On December 4, 2023, American issued $1.0 billion aggregate principal amount of 8.50% senior secured notes due 2029 (the 8.50% Senior Secured Notes) in a private offering. The 8.50% Senior Secured Notes were issued at par and bear interest at a rate of 8.50% per annum (subject to increase if the collateral coverage ratio described below is not met). Interest on the 8.50% Senior Secured Notes is payable semiannually in arrears on May 15 and November 15 of each year, which began on May 15, 2024. The 8.50% Senior Secured Notes will mature on May 15, 2029. The obligations of American under the 8.50% Senior Secured Notes are fully and unconditionally guaranteed on a senior unsecured basis by AAG.</w:t>
      </w:r>
    </w:p>
    <w:p>
      <w:pPr>
        <w:spacing w:after="0" w:line="144"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The 8.50% Senior Secured Notes were issued pursuant to an indenture, dated as of December 4, 2023 (the 8.50% Senior Secured Notes Indenture), by and among American, AAG and Wilmington Trust, National Association, as trustee and collateral agent. The 8.50%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certain airports in Australia, Canada, the Caribbean, Central America, China, Hong Kong, Japan, Mexico, South Korea and Switzerland (collectively, the 8.50% Senior Secured Notes Collateral) . The 8.50% Senior Secured Notes Collateral also secures, on a first lien, pari passu basis with the 8.50% Senior Secured Notes, the 2023 Term Loan Facility.</w:t>
      </w:r>
    </w:p>
    <w:p>
      <w:pPr>
        <w:spacing w:after="0" w:line="14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American may redeem the 8.50% Senior Secured Notes, in whole or in part, at the redemption prices described in the 8.50% Senior Secured Notes Indenture, plus any accrued and unpaid interest thereon to but excluding the date of redemption.</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101</w:t>
      </w:r>
    </w:p>
    <w:p>
      <w:pPr>
        <w:sectPr>
          <w:pgSz w:w="11880" w:h="15480" w:orient="portrait"/>
          <w:cols w:equalWidth="0" w:num="1">
            <w:col w:w="10680"/>
          </w:cols>
          <w:pgMar w:left="600" w:top="487" w:right="600" w:bottom="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Twice per year, American is required to deliver an appraisal of the 8.50% Senior Secured Notes Collateral and an officer’s certificate demonstrating the calculation of a collateral coverage ratio in relation to the 8.50% Senior Secured Notes Collateral (the 8.50% Senior Secured Notes Collateral Coverage Ratio) as of the date of delivery of the appraisal for the applicable period. If the 8.50% Senior Secured Notes Collateral Coverage Ratio is less than 1.6 to 1.0 as of the date of delivery of the appraisal for the applicable period, then, subject to a cure period in which additional collateral can be provided or debt repaid such that American meets the required 8.50% Senior Secured Notes Collateral Coverage Ratio, American will be required to pay special interest in an additional amount equal to 2.00% per annum of the principal amount of the 8.50% Senior Secured Notes until the 8.50% Senior Secured Notes Collateral Coverage Ratio is established to be at least 1.6 to 1.0.</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(c) AAdvantage Financing</w:t>
      </w:r>
    </w:p>
    <w:p>
      <w:pPr>
        <w:spacing w:after="0" w:line="95" w:lineRule="exact"/>
        <w:rPr>
          <w:sz w:val="20"/>
          <w:szCs w:val="20"/>
          <w:color w:val="auto"/>
        </w:rPr>
      </w:pPr>
    </w:p>
    <w:p>
      <w:pPr>
        <w:jc w:val="both"/>
        <w:ind w:firstLine="267"/>
        <w:spacing w:after="0" w:line="269" w:lineRule="auto"/>
        <w:rPr>
          <w:sz w:val="20"/>
          <w:szCs w:val="20"/>
          <w:color w:val="auto"/>
        </w:rPr>
      </w:pPr>
      <w:r>
        <w:rPr>
          <w:rFonts w:ascii="Arial" w:cs="Arial" w:eastAsia="Arial" w:hAnsi="Arial"/>
          <w:sz w:val="19"/>
          <w:szCs w:val="19"/>
          <w:color w:val="00162F"/>
        </w:rPr>
        <w:t>On March 24, 2021 (the 2021 AAdvantage Financing Closing Date), American and AAdvantage Loyalty IP Ltd., a Cayman Islands exempted company incorporated with limited liability and an indirect wholly-owned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(the AAdvantage Note Guarantees) by an indirect, wholly-owned subsidiary of American, and other wholly-owned subsidiaries (together, the SPV Guarantors) and AAG.</w:t>
      </w:r>
    </w:p>
    <w:p>
      <w:pPr>
        <w:spacing w:after="0" w:line="127"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Concurrent with the issuance of the AAdvantage Notes, the AAdvantage Issuers, as co-borrowers, entered into a term loan credit and guaranty agreement, dated March 24, 2021, as amended, providing for a $3.5 billion term loan facility (the 2021 AAdvantage Term Loan Facility). On March 24, 2025, the AAdvantage Issuers entered into a second amendment to the term loan credit and guaranty agreement dated March 24, 2021 (the Second Amendment). As a result of the Second Amendment, the term loans outstanding with a principal amount of approximately $2.3 billion were replaced with new term loans in the same principal amount. The terms of the new term loans are substantially similar to the prior term loans; however, the new term loans bear interest at a base rate (subject to a floor of 0.00%) plus an applicable margin of 1.25% per annum or, at the AAdvantage Issuers’ option, the SOFR rate for a tenor of three months (subject to a floor of 0.00%), plus an applicable margin of 2.25% per annum. Additionally, the scheduled quarterly principal amortization amount was reduced to 0.25% of the principal amount of term loans outstanding as of March 24, 2025 (approximately $6 million each quarter), which began in July 2025, and the remaining balance is due at maturity in April 2028. Pursuant to the Second Amendment, the new term loans are not subject to a cost spread adjustment. As of December 31, 2025, the margin elected for the 2021 AAdvantage Term Loan Facility was 2.25%.</w:t>
      </w:r>
    </w:p>
    <w:p>
      <w:pPr>
        <w:spacing w:after="0" w:line="152"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On May 28, 2025, the AAdvantage Issuers entered into a third amendment to the term loan credit and guaranty agreement dated March 24, 2021 (the Third Amendment). As a result of the Third Amendment, the AAdvantage Issuers incurred $1.0 billion of incremental term loans (the 2025 AAdvantage Term Loan Facility) due on May 28, 2032. The terms of the 2025 AAdvantage Term Loan Facility are substantially similar to the 2021 AAdvantage Term Loan Facility; however, the 2025 AAdvantage Term Loan Facility bears interest at a base rate (subject to a floor of 0.00%) plus an applicable margin of 2.25% per annum or, at the AAdvantage Issuers’ option, the SOFR rate for a tenor of three months (subject to a floor of 0.00%), plus an applicable margin of 3.25% per annum. Additionally, the scheduled quarterly principal amortization amount is equal to 0.25% of the original aggregate principal amount of the 2025 AAdvantage Term Loan Facility (approximately $3 million each quarter), which began in July 2025, and the remaining balance is due at maturity in May 2032. Pursuant to the Third Amendment, the 2025 AAdvantage Term Loan Facility is not subject to a cost spread adjustment. The net proceeds from the 2025 AAdvantage Term Loan Facility were used, in part, to repay the Convertible Notes described further below. As of December 31, 2025, the margin elected for the 2025 AAdvantage Term Loan Facility was 3.25%.</w:t>
      </w:r>
    </w:p>
    <w:p>
      <w:pPr>
        <w:spacing w:after="0" w:line="152"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9"/>
          <w:szCs w:val="19"/>
          <w:color w:val="00162F"/>
        </w:rPr>
        <w:t>The AAdvantage Notes, 2021 AAdvantage Term Loan Facility and 2025 AAdvantage Term Loan Facility are collectively referred to as the AAdvantage Financing. The term loans drawn under the 2021 AAdvantage Term Loan Facility and 2025 AAdvantage Term Loan Facility (collectively, the AAdvantage Loans) are fully and unconditionally guaranteed (together with the AAdvantage Note Guarantees, the AAdvantage Guarantees) by the SPV Guarantors and AAG.</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102</w:t>
      </w:r>
    </w:p>
    <w:p>
      <w:pPr>
        <w:sectPr>
          <w:pgSz w:w="11880" w:h="15480" w:orient="portrait"/>
          <w:cols w:equalWidth="0" w:num="1">
            <w:col w:w="10680"/>
          </w:cols>
          <w:pgMar w:left="600" w:top="487" w:right="600" w:bottom="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Subject to certain permitted liens and other exceptions, the AAdvantage Notes, AAdvantage Loans and AAdvantage Guarantees provided by the SPV Guarantors are secured by a first-priority security interest in, and pledge of, various agreements with respect to the AAdvantage program (the AAdvantage Agreements) (including all payments thereunder) and certain intellectual property licenses, certain deposit accounts that will receive cash under the AAdvantage Agreements, certain reserve accounts, the equity of each of Loyalty Issuer and the SPV Guarantors and substantially all other assets of Loyalty Issuer and the SPV Guarantors, including American’s rights to certain data and other intellectual property used in the AAdvantage program (subject to certain exceptions) (collectively, the AAdvantage Collateral).</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Payment Terms of the AAdvantage Financing</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Interest on the AAdvantage Notes is payable in cash, quarterly in arrears on the 20th day of each January, April, July and October (each, an AAdvantage Payment Date), which began on July 20, 2021. The 2026 Notes will mature on April 20, 2026, and the 2029 Notes will mature on April 20, 2029. The outstanding principal on the 2026 Notes are repaid in quarterly installments of $292 million on each AAdvantage Payment Date, which began in July 2023. The outstanding principal on the 2029 Notes will be repaid in quarterly installments of $250 million on each AAdvantage Payment Date, beginning on July 20, 2026.</w:t>
      </w:r>
    </w:p>
    <w:p>
      <w:pPr>
        <w:spacing w:after="0" w:line="14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AAdvantage Issuers may redeem the AAdvantage Notes, at their option, in whole or in part, at a redemption price equal to 100% of the principal amount of the AAdvantage Notes redeemed plus a “make-whole” premium, together with accrued and unpaid interest to the date of redemption.</w:t>
      </w:r>
    </w:p>
    <w:p>
      <w:pPr>
        <w:spacing w:after="0" w:line="129"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The scheduled maturity date of the term loans under the 2021 AAdvantage Term Loan Facility is April 20, 2028. The outstanding principal on the loans due under such facility will be repaid in quarterly installments of approximately $6 million, on each AAdvantage Payment Date. The scheduled maturity date of the term loans under the 2025 AAdvantage Term Loan Facility is May 28, 2032. The outstanding principal on the loans due under such facility will be repaid in quarterly installments of approximately $3 million, on each AAdvantage Payment Date.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44"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Prepayment of some or all of the outstanding amounts under the AAdvantage Loans is permitted, although payment of an applicable premium is required as specified in the term loans of the AAdvantage Loans.</w:t>
      </w:r>
    </w:p>
    <w:p>
      <w:pPr>
        <w:spacing w:after="0" w:line="113"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The AAdvantage Indenture and the AAdvantage Loans contain mandatory prepayment provisions triggered upon (i) the issuance or incurrence by Loyalty Issuer or the SPV Guarantors of certain indebtedness or (ii) the receipt by American or its subsidiaries of net proceeds from pre-paid frequent flyer (i.e., AAdvantage) mileage credit sales exceeding $505 million.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Loans, respectively.</w:t>
      </w:r>
    </w:p>
    <w:p>
      <w:pPr>
        <w:spacing w:after="0" w:line="234" w:lineRule="exact"/>
        <w:rPr>
          <w:sz w:val="20"/>
          <w:szCs w:val="20"/>
          <w:color w:val="auto"/>
        </w:rPr>
      </w:pPr>
    </w:p>
    <w:p>
      <w:pPr>
        <w:ind w:left="260" w:right="8060" w:firstLine="2"/>
        <w:spacing w:after="0" w:line="358" w:lineRule="auto"/>
        <w:tabs>
          <w:tab w:leader="none" w:pos="567" w:val="left"/>
        </w:tabs>
        <w:numPr>
          <w:ilvl w:val="0"/>
          <w:numId w:val="50"/>
        </w:numPr>
        <w:rPr>
          <w:rFonts w:ascii="Arial" w:cs="Arial" w:eastAsia="Arial" w:hAnsi="Arial"/>
          <w:sz w:val="19"/>
          <w:szCs w:val="19"/>
          <w:b w:val="1"/>
          <w:bCs w:val="1"/>
          <w:i w:val="1"/>
          <w:iCs w:val="1"/>
          <w:color w:val="00162F"/>
        </w:rPr>
      </w:pPr>
      <w:r>
        <w:rPr>
          <w:rFonts w:ascii="Arial" w:cs="Arial" w:eastAsia="Arial" w:hAnsi="Arial"/>
          <w:sz w:val="19"/>
          <w:szCs w:val="19"/>
          <w:b w:val="1"/>
          <w:bCs w:val="1"/>
          <w:i w:val="1"/>
          <w:iCs w:val="1"/>
          <w:color w:val="00162F"/>
        </w:rPr>
        <w:t xml:space="preserve">EETCs issued in 2025 </w:t>
      </w:r>
      <w:r>
        <w:rPr>
          <w:rFonts w:ascii="Arial" w:cs="Arial" w:eastAsia="Arial" w:hAnsi="Arial"/>
          <w:sz w:val="19"/>
          <w:szCs w:val="19"/>
          <w:i w:val="1"/>
          <w:iCs w:val="1"/>
          <w:u w:val="single" w:color="auto"/>
          <w:color w:val="00162F"/>
        </w:rPr>
        <w:t>2025-1 Aircraft EETCs</w:t>
      </w:r>
    </w:p>
    <w:p>
      <w:pPr>
        <w:jc w:val="both"/>
        <w:ind w:firstLine="267"/>
        <w:spacing w:after="0" w:line="250" w:lineRule="auto"/>
        <w:rPr>
          <w:sz w:val="20"/>
          <w:szCs w:val="20"/>
          <w:color w:val="auto"/>
        </w:rPr>
      </w:pPr>
      <w:r>
        <w:rPr>
          <w:rFonts w:ascii="Arial" w:cs="Arial" w:eastAsia="Arial" w:hAnsi="Arial"/>
          <w:sz w:val="20"/>
          <w:szCs w:val="20"/>
          <w:color w:val="00162F"/>
        </w:rPr>
        <w:t>In November 2025, American created two pass-through trusts which issued approximately $1.1 billion aggregate face amount of Series 2025-1 Class A and Class B EETCs (the 2025-1 Aircraft EETCs) in connection with the financing of 25 aircraft delivered or to be delivered to American from October 2025 through March 2026 (the 2025-1 Aircraft). As of December 31, 2025, approximately $978 million of the proceeds had been used to purchase equipment notes issued by American in connection with the financing of 21 aircraft under the 2025-1 Aircraft EETCs. Interest and principal payments on equipment notes issued in connection with the 2025-1 Aircraft EETCs are payable semi-annually in May and November each year, with interest payments scheduled to begin in May 2026 and principal payments scheduled to begin in November 2026. The remaining proceeds of approximately $127 million as of December 31, 2025 were being held in escrow with a depositary for the benefit of the holders of the 2025-1 Aircraft EETCs until such time as American issues additional equipment notes with respect to the remaining 2025-1 Aircraft to the pass-through trusts, which will purchase such additional equipment notes with the escrowed funds. These escrowed funds are not guaranteed by American and are not reported as debt on its consolidated balance sheet because the proceeds held by the depositary for the benefit of the holders of the 2025-1 Aircraft EETCs are not American’s assets.</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103</w:t>
      </w:r>
    </w:p>
    <w:p>
      <w:pPr>
        <w:sectPr>
          <w:pgSz w:w="11880" w:h="15480" w:orient="portrait"/>
          <w:cols w:equalWidth="0" w:num="1">
            <w:col w:w="10680"/>
          </w:cols>
          <w:pgMar w:left="600" w:top="487" w:right="600" w:bottom="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Certain information regarding the 2025-1 Aircraft EETC equipment notes, as of December 31, 2025, is set forth in the table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3400" w:type="dxa"/>
            <w:vAlign w:val="bottom"/>
            <w:tcBorders>
              <w:bottom w:val="single" w:sz="8" w:color="00162F"/>
            </w:tcBorders>
            <w:gridSpan w:val="3"/>
          </w:tcPr>
          <w:p>
            <w:pPr>
              <w:ind w:left="880"/>
              <w:spacing w:after="0"/>
              <w:rPr>
                <w:sz w:val="20"/>
                <w:szCs w:val="20"/>
                <w:color w:val="auto"/>
              </w:rPr>
            </w:pPr>
            <w:r>
              <w:rPr>
                <w:rFonts w:ascii="Arial" w:cs="Arial" w:eastAsia="Arial" w:hAnsi="Arial"/>
                <w:sz w:val="16"/>
                <w:szCs w:val="16"/>
                <w:b w:val="1"/>
                <w:bCs w:val="1"/>
                <w:color w:val="00162F"/>
              </w:rPr>
              <w:t>2025-1 Aircraft EETCs</w:t>
            </w:r>
          </w:p>
        </w:tc>
      </w:tr>
      <w:tr>
        <w:trPr>
          <w:trHeight w:val="232"/>
        </w:trPr>
        <w:tc>
          <w:tcPr>
            <w:tcW w:w="7280" w:type="dxa"/>
            <w:vAlign w:val="bottom"/>
            <w:tcBorders>
              <w:bottom w:val="single" w:sz="8" w:color="EDEDED"/>
            </w:tcBorders>
          </w:tcPr>
          <w:p>
            <w:pPr>
              <w:spacing w:after="0"/>
              <w:rPr>
                <w:sz w:val="20"/>
                <w:szCs w:val="20"/>
                <w:color w:val="auto"/>
              </w:rPr>
            </w:pPr>
          </w:p>
        </w:tc>
        <w:tc>
          <w:tcPr>
            <w:tcW w:w="166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9"/>
              </w:rPr>
              <w:t>Series A</w:t>
            </w:r>
          </w:p>
        </w:tc>
        <w:tc>
          <w:tcPr>
            <w:tcW w:w="80" w:type="dxa"/>
            <w:vAlign w:val="bottom"/>
            <w:tcBorders>
              <w:bottom w:val="single" w:sz="8" w:color="EDEDED"/>
            </w:tcBorders>
          </w:tcPr>
          <w:p>
            <w:pPr>
              <w:spacing w:after="0"/>
              <w:rPr>
                <w:sz w:val="20"/>
                <w:szCs w:val="20"/>
                <w:color w:val="auto"/>
              </w:rPr>
            </w:pPr>
          </w:p>
        </w:tc>
        <w:tc>
          <w:tcPr>
            <w:tcW w:w="166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9"/>
              </w:rPr>
              <w:t>Series B</w:t>
            </w:r>
          </w:p>
        </w:tc>
      </w:tr>
      <w:tr>
        <w:trPr>
          <w:trHeight w:val="272"/>
        </w:trPr>
        <w:tc>
          <w:tcPr>
            <w:tcW w:w="728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Aggregate principal issued</w:t>
            </w:r>
          </w:p>
        </w:tc>
        <w:tc>
          <w:tcPr>
            <w:tcW w:w="166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$884 million</w:t>
            </w:r>
          </w:p>
        </w:tc>
        <w:tc>
          <w:tcPr>
            <w:tcW w:w="80" w:type="dxa"/>
            <w:vAlign w:val="bottom"/>
            <w:shd w:val="clear" w:color="auto" w:fill="EDEDED"/>
          </w:tcPr>
          <w:p>
            <w:pPr>
              <w:spacing w:after="0"/>
              <w:rPr>
                <w:sz w:val="23"/>
                <w:szCs w:val="23"/>
                <w:color w:val="auto"/>
              </w:rPr>
            </w:pPr>
          </w:p>
        </w:tc>
        <w:tc>
          <w:tcPr>
            <w:tcW w:w="166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$221 million</w:t>
            </w:r>
          </w:p>
        </w:tc>
      </w:tr>
      <w:tr>
        <w:trPr>
          <w:trHeight w:val="275"/>
        </w:trPr>
        <w:tc>
          <w:tcPr>
            <w:tcW w:w="7280" w:type="dxa"/>
            <w:vAlign w:val="bottom"/>
          </w:tcPr>
          <w:p>
            <w:pPr>
              <w:ind w:left="40"/>
              <w:spacing w:after="0"/>
              <w:rPr>
                <w:sz w:val="20"/>
                <w:szCs w:val="20"/>
                <w:color w:val="auto"/>
              </w:rPr>
            </w:pPr>
            <w:r>
              <w:rPr>
                <w:rFonts w:ascii="Arial" w:cs="Arial" w:eastAsia="Arial" w:hAnsi="Arial"/>
                <w:sz w:val="20"/>
                <w:szCs w:val="20"/>
                <w:color w:val="00162F"/>
              </w:rPr>
              <w:t>Remaining escrowed proceeds</w:t>
            </w:r>
          </w:p>
        </w:tc>
        <w:tc>
          <w:tcPr>
            <w:tcW w:w="1660" w:type="dxa"/>
            <w:vAlign w:val="bottom"/>
          </w:tcPr>
          <w:p>
            <w:pPr>
              <w:jc w:val="center"/>
              <w:spacing w:after="0"/>
              <w:rPr>
                <w:sz w:val="20"/>
                <w:szCs w:val="20"/>
                <w:color w:val="auto"/>
              </w:rPr>
            </w:pPr>
            <w:r>
              <w:rPr>
                <w:rFonts w:ascii="Arial" w:cs="Arial" w:eastAsia="Arial" w:hAnsi="Arial"/>
                <w:sz w:val="20"/>
                <w:szCs w:val="20"/>
                <w:color w:val="00162F"/>
                <w:w w:val="99"/>
              </w:rPr>
              <w:t>$102 million</w:t>
            </w:r>
          </w:p>
        </w:tc>
        <w:tc>
          <w:tcPr>
            <w:tcW w:w="8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00162F"/>
                <w:w w:val="98"/>
              </w:rPr>
              <w:t>$25 million</w:t>
            </w:r>
          </w:p>
        </w:tc>
      </w:tr>
      <w:tr>
        <w:trPr>
          <w:trHeight w:val="289"/>
        </w:trPr>
        <w:tc>
          <w:tcPr>
            <w:tcW w:w="728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Fixed interest rate per annum</w:t>
            </w:r>
          </w:p>
        </w:tc>
        <w:tc>
          <w:tcPr>
            <w:tcW w:w="166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8"/>
              </w:rPr>
              <w:t>4.90%</w:t>
            </w:r>
          </w:p>
        </w:tc>
        <w:tc>
          <w:tcPr>
            <w:tcW w:w="1740" w:type="dxa"/>
            <w:vAlign w:val="bottom"/>
            <w:gridSpan w:val="2"/>
            <w:shd w:val="clear" w:color="auto" w:fill="EDEDED"/>
          </w:tcPr>
          <w:p>
            <w:pPr>
              <w:jc w:val="center"/>
              <w:ind w:left="41"/>
              <w:spacing w:after="0"/>
              <w:rPr>
                <w:sz w:val="20"/>
                <w:szCs w:val="20"/>
                <w:color w:val="auto"/>
              </w:rPr>
            </w:pPr>
            <w:r>
              <w:rPr>
                <w:rFonts w:ascii="Arial" w:cs="Arial" w:eastAsia="Arial" w:hAnsi="Arial"/>
                <w:sz w:val="20"/>
                <w:szCs w:val="20"/>
                <w:color w:val="00162F"/>
                <w:w w:val="98"/>
              </w:rPr>
              <w:t>5.65%</w:t>
            </w:r>
          </w:p>
        </w:tc>
      </w:tr>
      <w:tr>
        <w:trPr>
          <w:trHeight w:val="268"/>
        </w:trPr>
        <w:tc>
          <w:tcPr>
            <w:tcW w:w="7280" w:type="dxa"/>
            <w:vAlign w:val="bottom"/>
          </w:tcPr>
          <w:p>
            <w:pPr>
              <w:ind w:left="40"/>
              <w:spacing w:after="0"/>
              <w:rPr>
                <w:sz w:val="20"/>
                <w:szCs w:val="20"/>
                <w:color w:val="auto"/>
              </w:rPr>
            </w:pPr>
            <w:r>
              <w:rPr>
                <w:rFonts w:ascii="Arial" w:cs="Arial" w:eastAsia="Arial" w:hAnsi="Arial"/>
                <w:sz w:val="20"/>
                <w:szCs w:val="20"/>
                <w:color w:val="00162F"/>
              </w:rPr>
              <w:t>Maturity date</w:t>
            </w:r>
          </w:p>
        </w:tc>
        <w:tc>
          <w:tcPr>
            <w:tcW w:w="1660" w:type="dxa"/>
            <w:vAlign w:val="bottom"/>
          </w:tcPr>
          <w:p>
            <w:pPr>
              <w:jc w:val="center"/>
              <w:spacing w:after="0"/>
              <w:rPr>
                <w:sz w:val="20"/>
                <w:szCs w:val="20"/>
                <w:color w:val="auto"/>
              </w:rPr>
            </w:pPr>
            <w:r>
              <w:rPr>
                <w:rFonts w:ascii="Arial" w:cs="Arial" w:eastAsia="Arial" w:hAnsi="Arial"/>
                <w:sz w:val="20"/>
                <w:szCs w:val="20"/>
                <w:color w:val="00162F"/>
              </w:rPr>
              <w:t>May 2038</w:t>
            </w:r>
          </w:p>
        </w:tc>
        <w:tc>
          <w:tcPr>
            <w:tcW w:w="8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00162F"/>
                <w:w w:val="99"/>
              </w:rPr>
              <w:t>November 2034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4613275</wp:posOffset>
            </wp:positionH>
            <wp:positionV relativeFrom="paragraph">
              <wp:posOffset>-719455</wp:posOffset>
            </wp:positionV>
            <wp:extent cx="218440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2">
                      <a:extLst>
                        <a:ext uri="{28A0092B-C50C-407E-A947-70E740481C1C}"/>
                      </a:extLst>
                    </a:blip>
                    <a:srcRect/>
                    <a:stretch>
                      <a:fillRect/>
                    </a:stretch>
                  </pic:blipFill>
                  <pic:spPr bwMode="auto">
                    <a:xfrm>
                      <a:off x="0" y="0"/>
                      <a:ext cx="2184400" cy="25400"/>
                    </a:xfrm>
                    <a:prstGeom prst="rect">
                      <a:avLst/>
                    </a:prstGeom>
                    <a:noFill/>
                  </pic:spPr>
                </pic:pic>
              </a:graphicData>
            </a:graphic>
          </wp:anchor>
        </w:drawing>
      </w:r>
    </w:p>
    <w:p>
      <w:pPr>
        <w:spacing w:after="0" w:line="30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(e) Equipment Loans and Other Notes Payable Issued in 2025</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In 2025, American entered into agreements under which it borrowed $1.2 billion in connection with the financing of certain aircraft. Debt incurred under these agreements matures in 2036 through 2037 and bears interest at variable rates (comprised of SOFR plus an applicable margin) averaging 5.72% as of December 31, 2025.</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(f) PSP Promissory Notes</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As partial compensation to the U.S. Government for the provision of financial assistance under the various payroll support program agreements, AAG issued promissory notes to Treasury (PSP1 Promissory Note, PSP2 Promissory Note and PSP3 Promissory Note, collectively the PSP Promissory Notes), in the aggregate principal amount of $3.7 billion which provides for the guarantee of our obligations under the PSP Promissory Notes by AAG’s subsidiaries American, Envoy Air Inc., Piedmont and PSA (together, the Subsidiaries).</w:t>
      </w:r>
    </w:p>
    <w:p>
      <w:pPr>
        <w:spacing w:after="0" w:line="139"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The PSP1 Promissory Note bears interest at 2.00% plus an interest rate based on SOFR. The PSP2 Promissory Note and PSP3 Promissory Note bear interest at a fixed interest rate of 1.00% until the first and second quarters of 2026, respectively. Thereafter, the notes bear interest at 2.00% plus an interest rate based on SOFR. Interest accrued thereon is payable in arrears on the last business day of March and September of each year. The aggregate principal amount outstanding under the PSP Promissory Notes, together with all accrued and unpaid interest thereon and all other amounts payable under the PSP Promissory Notes, will be due and payable on the applicable maturity date.</w:t>
      </w:r>
    </w:p>
    <w:p>
      <w:pPr>
        <w:spacing w:after="0" w:line="143"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PSP Promissory Notes are our senior unsecured obligation and each guarantee of the PSP Promissory Notes is the senior unsecured obligation of each of the Subsidiaries, respectively.</w:t>
      </w:r>
    </w:p>
    <w:p>
      <w:pPr>
        <w:spacing w:after="0" w:line="113"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We may, at any time and from time to time, voluntarily prepay amounts outstanding under the PSP Promissory Notes, in whole or in part, without penalty or premium. Within 30 days of the occurrence of certain change of control triggering events, we are required to prepay the aggregate outstanding principal amount of the PSP Promissory Notes at such time, together with any accrued interest or other amounts owing under the PSP Promissory Notes at such time.</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(g) 6.50% Convertible Senior Notes</w:t>
      </w:r>
    </w:p>
    <w:p>
      <w:pPr>
        <w:spacing w:after="0" w:line="95"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In June 2020, AAG completed the public offering of $1.0 billion aggregate principal amount of AAG’s 6.50% convertible senior notes due 2025 (the Convertible Notes). On March 27, 2025, we provided notice to the holders of our Convertible Notes that we would settle our Convertible Notes at their maturity in cash (including any conversions up to a price per share of AAG common stock of approximately $22.00) if the volume-weighted average price per share of AAG common stock did not exceed approximately $22.00 on any trading day of the 20-trading day “observation period” over which the consideration due upon conversion is calculated and determined. On July 1, 2025, the volume-weighted average price per share of AAG common stock did not exceed $22.00 on any trading day of the 20-trading day “observation period” and therefore the Convertible Notes were settled at their maturity in cash for $1.0 billion.</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(h) Short-Term Term Loan Facility</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In October 2025, American borrowed $629 million under a senior unsecured short-term term loan facility to refinance in full the $629 million outstanding principal amount of the 10.75% Senior Secured Notes, described above. Term loans under the facility were scheduled to mature on January 21, 2026 and bore interest at SOFR for a tenor of one month plus an applicable margin of 2.375% per annum, payable monthly. The term loans were fully and unconditionally guaranteed by AAG. On January 2, 2026, American voluntarily prepaid the remaining outstanding principal amount of the short-term term loan facility.</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104</w:t>
      </w:r>
    </w:p>
    <w:p>
      <w:pPr>
        <w:sectPr>
          <w:pgSz w:w="11880" w:h="15480" w:orient="portrait"/>
          <w:cols w:equalWidth="0" w:num="1">
            <w:col w:w="10680"/>
          </w:cols>
          <w:pgMar w:left="600" w:top="487" w:right="600" w:bottom="0" w:gutter="0" w:footer="0" w:header="0"/>
          <w:type w:val="continuous"/>
        </w:sectPr>
      </w:pPr>
    </w:p>
    <w:bookmarkStart w:id="105" w:name="page106"/>
    <w:bookmarkEnd w:id="105"/>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Other Financing Activities</w:t>
      </w:r>
    </w:p>
    <w:p>
      <w:pPr>
        <w:spacing w:after="0" w:line="95"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In 2025, American prepaid $487 million of the outstanding principal amounts of certain equipment notes issued under EETCs, and these amounts were applied to repay the related trust certificates.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Guarantees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As of December 31, 2025, AAG had issued guarantees covering approximately $14.1 billion of American’s debt (and interest thereon), including the Credit Facilities, the AAdvantage Financing, senior secured notes, certain equipment loans and special facility revenue bonds.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Certain Covenants</w:t>
      </w:r>
    </w:p>
    <w:p>
      <w:pPr>
        <w:spacing w:after="0" w:line="95"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Our debt agreements contain customary terms and conditions as well as various affirmative, negative and financial covenants that, among other things, may restrict our ability and that of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peak debt service coverage ratio, pursuant to which failure to comply with a certain threshold may result in early repayment, in whole or in part, of the AAdvantage Financing.</w:t>
      </w:r>
    </w:p>
    <w:p>
      <w:pPr>
        <w:spacing w:after="0" w:line="148"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Specifically, we are required to meet certain collateral coverage tests for our Credit Facilities, 7.25% Senior Secured Notes and 8.50% Senior Secured Notes, as described below:</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00162F"/>
        </w:rPr>
        <w:t>LTV Requirement</w:t>
      </w:r>
    </w:p>
    <w:p>
      <w:pPr>
        <w:spacing w:after="0" w:line="153" w:lineRule="exact"/>
        <w:rPr>
          <w:sz w:val="20"/>
          <w:szCs w:val="20"/>
          <w:color w:val="auto"/>
        </w:rPr>
      </w:pPr>
    </w:p>
    <w:p>
      <w:pPr>
        <w:ind w:left="140" w:hanging="88"/>
        <w:spacing w:after="0" w:line="239" w:lineRule="auto"/>
        <w:rPr>
          <w:sz w:val="20"/>
          <w:szCs w:val="20"/>
          <w:color w:val="auto"/>
        </w:rPr>
      </w:pPr>
      <w:r>
        <w:rPr>
          <w:rFonts w:ascii="Arial" w:cs="Arial" w:eastAsia="Arial" w:hAnsi="Arial"/>
          <w:sz w:val="16"/>
          <w:szCs w:val="16"/>
          <w:color w:val="00162F"/>
        </w:rPr>
        <w:t>LTV as of Last Measurement Date</w:t>
      </w:r>
    </w:p>
    <w:p>
      <w:pPr>
        <w:spacing w:after="0" w:line="168" w:lineRule="exact"/>
        <w:rPr>
          <w:sz w:val="20"/>
          <w:szCs w:val="20"/>
          <w:color w:val="auto"/>
        </w:rPr>
      </w:pPr>
    </w:p>
    <w:p>
      <w:pPr>
        <w:ind w:left="140" w:right="140" w:hanging="88"/>
        <w:spacing w:after="0" w:line="239" w:lineRule="auto"/>
        <w:rPr>
          <w:sz w:val="20"/>
          <w:szCs w:val="20"/>
          <w:color w:val="auto"/>
        </w:rPr>
      </w:pPr>
      <w:r>
        <w:rPr>
          <w:rFonts w:ascii="Arial" w:cs="Arial" w:eastAsia="Arial" w:hAnsi="Arial"/>
          <w:sz w:val="16"/>
          <w:szCs w:val="16"/>
          <w:color w:val="00162F"/>
        </w:rPr>
        <w:t>Frequency of Appraisals of Appraised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6"/>
          <w:szCs w:val="16"/>
          <w:color w:val="00162F"/>
        </w:rPr>
        <w:t>Collateral Description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80"/>
        <w:spacing w:after="0"/>
        <w:tabs>
          <w:tab w:leader="none" w:pos="1900" w:val="left"/>
          <w:tab w:leader="none" w:pos="3620" w:val="left"/>
          <w:tab w:leader="none" w:pos="5320" w:val="left"/>
          <w:tab w:leader="none" w:pos="6920" w:val="left"/>
        </w:tabs>
        <w:rPr>
          <w:sz w:val="20"/>
          <w:szCs w:val="20"/>
          <w:color w:val="auto"/>
        </w:rPr>
      </w:pPr>
      <w:r>
        <w:rPr>
          <w:rFonts w:ascii="Arial" w:cs="Arial" w:eastAsia="Arial" w:hAnsi="Arial"/>
          <w:sz w:val="16"/>
          <w:szCs w:val="16"/>
          <w:b w:val="1"/>
          <w:bCs w:val="1"/>
          <w:color w:val="00162F"/>
        </w:rPr>
        <w:t>2013 Credit</w:t>
      </w:r>
      <w:r>
        <w:rPr>
          <w:sz w:val="20"/>
          <w:szCs w:val="20"/>
          <w:color w:val="auto"/>
        </w:rPr>
        <w:tab/>
      </w:r>
      <w:r>
        <w:rPr>
          <w:rFonts w:ascii="Arial" w:cs="Arial" w:eastAsia="Arial" w:hAnsi="Arial"/>
          <w:sz w:val="16"/>
          <w:szCs w:val="16"/>
          <w:b w:val="1"/>
          <w:bCs w:val="1"/>
          <w:color w:val="00162F"/>
        </w:rPr>
        <w:t>7.25% Senior</w:t>
      </w:r>
      <w:r>
        <w:rPr>
          <w:sz w:val="20"/>
          <w:szCs w:val="20"/>
          <w:color w:val="auto"/>
        </w:rPr>
        <w:tab/>
      </w:r>
      <w:r>
        <w:rPr>
          <w:rFonts w:ascii="Arial" w:cs="Arial" w:eastAsia="Arial" w:hAnsi="Arial"/>
          <w:sz w:val="16"/>
          <w:szCs w:val="16"/>
          <w:b w:val="1"/>
          <w:bCs w:val="1"/>
          <w:color w:val="00162F"/>
        </w:rPr>
        <w:t>2014 Credit</w:t>
      </w:r>
      <w:r>
        <w:rPr>
          <w:sz w:val="20"/>
          <w:szCs w:val="20"/>
          <w:color w:val="auto"/>
        </w:rPr>
        <w:tab/>
      </w:r>
      <w:r>
        <w:rPr>
          <w:rFonts w:ascii="Arial" w:cs="Arial" w:eastAsia="Arial" w:hAnsi="Arial"/>
          <w:sz w:val="16"/>
          <w:szCs w:val="16"/>
          <w:b w:val="1"/>
          <w:bCs w:val="1"/>
          <w:color w:val="00162F"/>
        </w:rPr>
        <w:t>2023 Credit</w:t>
      </w:r>
      <w:r>
        <w:rPr>
          <w:sz w:val="20"/>
          <w:szCs w:val="20"/>
          <w:color w:val="auto"/>
        </w:rPr>
        <w:tab/>
      </w:r>
      <w:r>
        <w:rPr>
          <w:rFonts w:ascii="Arial" w:cs="Arial" w:eastAsia="Arial" w:hAnsi="Arial"/>
          <w:sz w:val="15"/>
          <w:szCs w:val="15"/>
          <w:b w:val="1"/>
          <w:bCs w:val="1"/>
          <w:color w:val="00162F"/>
        </w:rPr>
        <w:t>8.50% Senior</w:t>
      </w:r>
    </w:p>
    <w:p>
      <w:pPr>
        <w:ind w:left="380"/>
        <w:spacing w:after="0"/>
        <w:tabs>
          <w:tab w:leader="none" w:pos="1820" w:val="left"/>
          <w:tab w:leader="none" w:pos="3720" w:val="left"/>
          <w:tab w:leader="none" w:pos="5400" w:val="left"/>
          <w:tab w:leader="none" w:pos="6860" w:val="left"/>
        </w:tabs>
        <w:rPr>
          <w:sz w:val="20"/>
          <w:szCs w:val="20"/>
          <w:color w:val="auto"/>
        </w:rPr>
      </w:pPr>
      <w:r>
        <w:rPr>
          <w:rFonts w:ascii="Arial" w:cs="Arial" w:eastAsia="Arial" w:hAnsi="Arial"/>
          <w:sz w:val="16"/>
          <w:szCs w:val="16"/>
          <w:b w:val="1"/>
          <w:bCs w:val="1"/>
          <w:color w:val="00162F"/>
        </w:rPr>
        <w:t>Facilities</w:t>
      </w:r>
      <w:r>
        <w:rPr>
          <w:sz w:val="20"/>
          <w:szCs w:val="20"/>
          <w:color w:val="auto"/>
        </w:rPr>
        <w:tab/>
      </w:r>
      <w:r>
        <w:rPr>
          <w:rFonts w:ascii="Arial" w:cs="Arial" w:eastAsia="Arial" w:hAnsi="Arial"/>
          <w:sz w:val="16"/>
          <w:szCs w:val="16"/>
          <w:b w:val="1"/>
          <w:bCs w:val="1"/>
          <w:color w:val="00162F"/>
        </w:rPr>
        <w:t>Secured Notes</w:t>
      </w:r>
      <w:r>
        <w:rPr>
          <w:sz w:val="20"/>
          <w:szCs w:val="20"/>
          <w:color w:val="auto"/>
        </w:rPr>
        <w:tab/>
      </w:r>
      <w:r>
        <w:rPr>
          <w:rFonts w:ascii="Arial" w:cs="Arial" w:eastAsia="Arial" w:hAnsi="Arial"/>
          <w:sz w:val="16"/>
          <w:szCs w:val="16"/>
          <w:b w:val="1"/>
          <w:bCs w:val="1"/>
          <w:color w:val="00162F"/>
        </w:rPr>
        <w:t>Facilities</w:t>
      </w:r>
      <w:r>
        <w:rPr>
          <w:sz w:val="20"/>
          <w:szCs w:val="20"/>
          <w:color w:val="auto"/>
        </w:rPr>
        <w:tab/>
      </w:r>
      <w:r>
        <w:rPr>
          <w:rFonts w:ascii="Arial" w:cs="Arial" w:eastAsia="Arial" w:hAnsi="Arial"/>
          <w:sz w:val="16"/>
          <w:szCs w:val="16"/>
          <w:b w:val="1"/>
          <w:bCs w:val="1"/>
          <w:color w:val="00162F"/>
        </w:rPr>
        <w:t>Facilities</w:t>
      </w:r>
      <w:r>
        <w:rPr>
          <w:sz w:val="20"/>
          <w:szCs w:val="20"/>
          <w:color w:val="auto"/>
        </w:rPr>
        <w:tab/>
      </w:r>
      <w:r>
        <w:rPr>
          <w:rFonts w:ascii="Arial" w:cs="Arial" w:eastAsia="Arial" w:hAnsi="Arial"/>
          <w:sz w:val="15"/>
          <w:szCs w:val="15"/>
          <w:b w:val="1"/>
          <w:bCs w:val="1"/>
          <w:color w:val="00162F"/>
        </w:rPr>
        <w:t>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12065</wp:posOffset>
            </wp:positionV>
            <wp:extent cx="6800850" cy="2012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3">
                      <a:extLst>
                        <a:ext uri="{28A0092B-C50C-407E-A947-70E740481C1C}"/>
                      </a:extLst>
                    </a:blip>
                    <a:srcRect/>
                    <a:stretch>
                      <a:fillRect/>
                    </a:stretch>
                  </pic:blipFill>
                  <pic:spPr bwMode="auto">
                    <a:xfrm>
                      <a:off x="0" y="0"/>
                      <a:ext cx="6800850" cy="201295"/>
                    </a:xfrm>
                    <a:prstGeom prst="rect">
                      <a:avLst/>
                    </a:prstGeom>
                    <a:noFill/>
                  </pic:spPr>
                </pic:pic>
              </a:graphicData>
            </a:graphic>
          </wp:anchor>
        </w:drawing>
      </w:r>
    </w:p>
    <w:p>
      <w:pPr>
        <w:spacing w:after="0" w:line="60" w:lineRule="exact"/>
        <w:rPr>
          <w:sz w:val="20"/>
          <w:szCs w:val="20"/>
          <w:color w:val="auto"/>
        </w:rPr>
      </w:pPr>
    </w:p>
    <w:p>
      <w:pPr>
        <w:ind w:left="1700"/>
        <w:spacing w:after="0"/>
        <w:rPr>
          <w:sz w:val="20"/>
          <w:szCs w:val="20"/>
          <w:color w:val="auto"/>
        </w:rPr>
      </w:pPr>
      <w:r>
        <w:rPr>
          <w:rFonts w:ascii="Arial" w:cs="Arial" w:eastAsia="Arial" w:hAnsi="Arial"/>
          <w:sz w:val="16"/>
          <w:szCs w:val="16"/>
          <w:color w:val="00162F"/>
        </w:rPr>
        <w:t>1.6x Collateral valuation to amount of debt outstanding (62.5% LTV)</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tcPr>
          <w:p>
            <w:pPr>
              <w:jc w:val="center"/>
              <w:ind w:right="1"/>
              <w:spacing w:after="0"/>
              <w:rPr>
                <w:sz w:val="20"/>
                <w:szCs w:val="20"/>
                <w:color w:val="auto"/>
              </w:rPr>
            </w:pPr>
            <w:r>
              <w:rPr>
                <w:rFonts w:ascii="Arial" w:cs="Arial" w:eastAsia="Arial" w:hAnsi="Arial"/>
                <w:sz w:val="16"/>
                <w:szCs w:val="16"/>
                <w:color w:val="00162F"/>
                <w:w w:val="96"/>
              </w:rPr>
              <w:t>38.4%</w:t>
            </w:r>
          </w:p>
        </w:tc>
        <w:tc>
          <w:tcPr>
            <w:tcW w:w="1700" w:type="dxa"/>
            <w:vAlign w:val="bottom"/>
          </w:tcPr>
          <w:p>
            <w:pPr>
              <w:jc w:val="center"/>
              <w:spacing w:after="0"/>
              <w:rPr>
                <w:sz w:val="20"/>
                <w:szCs w:val="20"/>
                <w:color w:val="auto"/>
              </w:rPr>
            </w:pPr>
            <w:r>
              <w:rPr>
                <w:rFonts w:ascii="Arial" w:cs="Arial" w:eastAsia="Arial" w:hAnsi="Arial"/>
                <w:sz w:val="16"/>
                <w:szCs w:val="16"/>
                <w:color w:val="00162F"/>
                <w:w w:val="96"/>
              </w:rPr>
              <w:t>15.3%</w:t>
            </w:r>
          </w:p>
        </w:tc>
        <w:tc>
          <w:tcPr>
            <w:tcW w:w="3220" w:type="dxa"/>
            <w:vAlign w:val="bottom"/>
          </w:tcPr>
          <w:p>
            <w:pPr>
              <w:jc w:val="center"/>
              <w:ind w:left="61"/>
              <w:spacing w:after="0"/>
              <w:rPr>
                <w:sz w:val="20"/>
                <w:szCs w:val="20"/>
                <w:color w:val="auto"/>
              </w:rPr>
            </w:pPr>
            <w:r>
              <w:rPr>
                <w:rFonts w:ascii="Arial" w:cs="Arial" w:eastAsia="Arial" w:hAnsi="Arial"/>
                <w:sz w:val="16"/>
                <w:szCs w:val="16"/>
                <w:color w:val="00162F"/>
                <w:w w:val="96"/>
              </w:rPr>
              <w:t>25.4%</w:t>
            </w:r>
          </w:p>
        </w:tc>
        <w:tc>
          <w:tcPr>
            <w:tcW w:w="0" w:type="dxa"/>
            <w:vAlign w:val="bottom"/>
          </w:tcPr>
          <w:p>
            <w:pPr>
              <w:spacing w:after="0"/>
              <w:rPr>
                <w:sz w:val="1"/>
                <w:szCs w:val="1"/>
                <w:color w:val="auto"/>
              </w:rPr>
            </w:pPr>
          </w:p>
        </w:tc>
      </w:tr>
      <w:tr>
        <w:trPr>
          <w:trHeight w:val="534"/>
        </w:trPr>
        <w:tc>
          <w:tcPr>
            <w:tcW w:w="3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00162F"/>
              </w:rPr>
              <w:t>Semi-Annual</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00162F"/>
                <w:w w:val="98"/>
              </w:rPr>
              <w:t>Generally, certain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7"/>
              </w:rPr>
              <w:t>slots, route</w:t>
            </w:r>
          </w:p>
        </w:tc>
        <w:tc>
          <w:tcPr>
            <w:tcW w:w="3220" w:type="dxa"/>
            <w:vAlign w:val="bottom"/>
            <w:vMerge w:val="restart"/>
          </w:tcPr>
          <w:p>
            <w:pPr>
              <w:jc w:val="center"/>
              <w:ind w:left="21"/>
              <w:spacing w:after="0"/>
              <w:rPr>
                <w:sz w:val="20"/>
                <w:szCs w:val="20"/>
                <w:color w:val="auto"/>
              </w:rPr>
            </w:pPr>
            <w:r>
              <w:rPr>
                <w:rFonts w:ascii="Arial" w:cs="Arial" w:eastAsia="Arial" w:hAnsi="Arial"/>
                <w:sz w:val="16"/>
                <w:szCs w:val="16"/>
                <w:color w:val="00162F"/>
                <w:w w:val="98"/>
              </w:rPr>
              <w:t>Generally, certain slots, route authorities and</w:t>
            </w:r>
          </w:p>
        </w:tc>
        <w:tc>
          <w:tcPr>
            <w:tcW w:w="0" w:type="dxa"/>
            <w:vAlign w:val="bottom"/>
          </w:tcPr>
          <w:p>
            <w:pPr>
              <w:spacing w:after="0"/>
              <w:rPr>
                <w:sz w:val="1"/>
                <w:szCs w:val="1"/>
                <w:color w:val="auto"/>
              </w:rPr>
            </w:pPr>
          </w:p>
        </w:tc>
      </w:tr>
      <w:tr>
        <w:trPr>
          <w:trHeight w:val="158"/>
        </w:trPr>
        <w:tc>
          <w:tcPr>
            <w:tcW w:w="3240" w:type="dxa"/>
            <w:vAlign w:val="bottom"/>
            <w:vMerge w:val="restart"/>
          </w:tcPr>
          <w:p>
            <w:pPr>
              <w:jc w:val="center"/>
              <w:ind w:right="41"/>
              <w:spacing w:after="0"/>
              <w:rPr>
                <w:sz w:val="20"/>
                <w:szCs w:val="20"/>
                <w:color w:val="auto"/>
              </w:rPr>
            </w:pPr>
            <w:r>
              <w:rPr>
                <w:rFonts w:ascii="Arial" w:cs="Arial" w:eastAsia="Arial" w:hAnsi="Arial"/>
                <w:sz w:val="16"/>
                <w:szCs w:val="16"/>
                <w:color w:val="00162F"/>
                <w:w w:val="98"/>
              </w:rPr>
              <w:t>Generally, certain slots, route authorities and</w:t>
            </w: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9"/>
              </w:rPr>
              <w:t>authorities and</w:t>
            </w:r>
          </w:p>
        </w:tc>
        <w:tc>
          <w:tcPr>
            <w:tcW w:w="3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40" w:type="dxa"/>
            <w:vAlign w:val="bottom"/>
            <w:vMerge w:val="continue"/>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8"/>
              </w:rPr>
              <w:t>airport gate</w:t>
            </w:r>
          </w:p>
        </w:tc>
        <w:tc>
          <w:tcPr>
            <w:tcW w:w="3220" w:type="dxa"/>
            <w:vAlign w:val="bottom"/>
          </w:tcPr>
          <w:p>
            <w:pPr>
              <w:jc w:val="center"/>
              <w:ind w:left="21"/>
              <w:spacing w:after="0" w:line="158" w:lineRule="exact"/>
              <w:rPr>
                <w:sz w:val="20"/>
                <w:szCs w:val="20"/>
                <w:color w:val="auto"/>
              </w:rPr>
            </w:pPr>
            <w:r>
              <w:rPr>
                <w:rFonts w:ascii="Arial" w:cs="Arial" w:eastAsia="Arial" w:hAnsi="Arial"/>
                <w:sz w:val="16"/>
                <w:szCs w:val="16"/>
                <w:color w:val="00162F"/>
                <w:w w:val="99"/>
              </w:rPr>
              <w:t>airport gate leasehold rights used by</w:t>
            </w:r>
          </w:p>
        </w:tc>
        <w:tc>
          <w:tcPr>
            <w:tcW w:w="0" w:type="dxa"/>
            <w:vAlign w:val="bottom"/>
          </w:tcPr>
          <w:p>
            <w:pPr>
              <w:spacing w:after="0"/>
              <w:rPr>
                <w:sz w:val="1"/>
                <w:szCs w:val="1"/>
                <w:color w:val="auto"/>
              </w:rPr>
            </w:pPr>
          </w:p>
        </w:tc>
      </w:tr>
      <w:tr>
        <w:trPr>
          <w:trHeight w:val="158"/>
        </w:trPr>
        <w:tc>
          <w:tcPr>
            <w:tcW w:w="3240" w:type="dxa"/>
            <w:vAlign w:val="bottom"/>
          </w:tcPr>
          <w:p>
            <w:pPr>
              <w:jc w:val="center"/>
              <w:ind w:right="41"/>
              <w:spacing w:after="0" w:line="158" w:lineRule="exact"/>
              <w:rPr>
                <w:sz w:val="20"/>
                <w:szCs w:val="20"/>
                <w:color w:val="auto"/>
              </w:rPr>
            </w:pPr>
            <w:r>
              <w:rPr>
                <w:rFonts w:ascii="Arial" w:cs="Arial" w:eastAsia="Arial" w:hAnsi="Arial"/>
                <w:sz w:val="16"/>
                <w:szCs w:val="16"/>
                <w:color w:val="00162F"/>
                <w:w w:val="99"/>
              </w:rPr>
              <w:t>airport gate leasehold rights used by</w:t>
            </w: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7"/>
              </w:rPr>
              <w:t>leasehold rights used</w:t>
            </w:r>
          </w:p>
        </w:tc>
        <w:tc>
          <w:tcPr>
            <w:tcW w:w="3220" w:type="dxa"/>
            <w:vAlign w:val="bottom"/>
          </w:tcPr>
          <w:p>
            <w:pPr>
              <w:jc w:val="center"/>
              <w:ind w:left="21"/>
              <w:spacing w:after="0" w:line="158" w:lineRule="exact"/>
              <w:rPr>
                <w:sz w:val="20"/>
                <w:szCs w:val="20"/>
                <w:color w:val="auto"/>
              </w:rPr>
            </w:pPr>
            <w:r>
              <w:rPr>
                <w:rFonts w:ascii="Arial" w:cs="Arial" w:eastAsia="Arial" w:hAnsi="Arial"/>
                <w:sz w:val="16"/>
                <w:szCs w:val="16"/>
                <w:color w:val="00162F"/>
                <w:w w:val="98"/>
              </w:rPr>
              <w:t>American to operate certain services</w:t>
            </w:r>
          </w:p>
        </w:tc>
        <w:tc>
          <w:tcPr>
            <w:tcW w:w="0" w:type="dxa"/>
            <w:vAlign w:val="bottom"/>
          </w:tcPr>
          <w:p>
            <w:pPr>
              <w:spacing w:after="0"/>
              <w:rPr>
                <w:sz w:val="1"/>
                <w:szCs w:val="1"/>
                <w:color w:val="auto"/>
              </w:rPr>
            </w:pPr>
          </w:p>
        </w:tc>
      </w:tr>
      <w:tr>
        <w:trPr>
          <w:trHeight w:val="158"/>
        </w:trPr>
        <w:tc>
          <w:tcPr>
            <w:tcW w:w="3240" w:type="dxa"/>
            <w:vAlign w:val="bottom"/>
          </w:tcPr>
          <w:p>
            <w:pPr>
              <w:jc w:val="center"/>
              <w:ind w:right="41"/>
              <w:spacing w:after="0" w:line="158" w:lineRule="exact"/>
              <w:rPr>
                <w:sz w:val="20"/>
                <w:szCs w:val="20"/>
                <w:color w:val="auto"/>
              </w:rPr>
            </w:pPr>
            <w:r>
              <w:rPr>
                <w:rFonts w:ascii="Arial" w:cs="Arial" w:eastAsia="Arial" w:hAnsi="Arial"/>
                <w:sz w:val="16"/>
                <w:szCs w:val="16"/>
                <w:color w:val="00162F"/>
                <w:w w:val="98"/>
              </w:rPr>
              <w:t>American to operate certain services</w:t>
            </w: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7"/>
              </w:rPr>
              <w:t>by American to</w:t>
            </w:r>
          </w:p>
        </w:tc>
        <w:tc>
          <w:tcPr>
            <w:tcW w:w="3220" w:type="dxa"/>
            <w:vAlign w:val="bottom"/>
          </w:tcPr>
          <w:p>
            <w:pPr>
              <w:jc w:val="center"/>
              <w:ind w:left="21"/>
              <w:spacing w:after="0" w:line="158" w:lineRule="exact"/>
              <w:rPr>
                <w:sz w:val="20"/>
                <w:szCs w:val="20"/>
                <w:color w:val="auto"/>
              </w:rPr>
            </w:pPr>
            <w:r>
              <w:rPr>
                <w:rFonts w:ascii="Arial" w:cs="Arial" w:eastAsia="Arial" w:hAnsi="Arial"/>
                <w:sz w:val="16"/>
                <w:szCs w:val="16"/>
                <w:color w:val="00162F"/>
                <w:w w:val="98"/>
              </w:rPr>
              <w:t>between the U.S. and Australia, Canada, the</w:t>
            </w:r>
          </w:p>
        </w:tc>
        <w:tc>
          <w:tcPr>
            <w:tcW w:w="0" w:type="dxa"/>
            <w:vAlign w:val="bottom"/>
          </w:tcPr>
          <w:p>
            <w:pPr>
              <w:spacing w:after="0"/>
              <w:rPr>
                <w:sz w:val="1"/>
                <w:szCs w:val="1"/>
                <w:color w:val="auto"/>
              </w:rPr>
            </w:pPr>
          </w:p>
        </w:tc>
      </w:tr>
      <w:tr>
        <w:trPr>
          <w:trHeight w:val="158"/>
        </w:trPr>
        <w:tc>
          <w:tcPr>
            <w:tcW w:w="3240" w:type="dxa"/>
            <w:vAlign w:val="bottom"/>
          </w:tcPr>
          <w:p>
            <w:pPr>
              <w:jc w:val="center"/>
              <w:ind w:right="21"/>
              <w:spacing w:after="0" w:line="158" w:lineRule="exact"/>
              <w:rPr>
                <w:sz w:val="20"/>
                <w:szCs w:val="20"/>
                <w:color w:val="auto"/>
              </w:rPr>
            </w:pPr>
            <w:r>
              <w:rPr>
                <w:rFonts w:ascii="Arial" w:cs="Arial" w:eastAsia="Arial" w:hAnsi="Arial"/>
                <w:sz w:val="16"/>
                <w:szCs w:val="16"/>
                <w:color w:val="00162F"/>
                <w:w w:val="98"/>
              </w:rPr>
              <w:t>between the U.S. and South America and</w:t>
            </w: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7"/>
              </w:rPr>
              <w:t>operate certain</w:t>
            </w:r>
          </w:p>
        </w:tc>
        <w:tc>
          <w:tcPr>
            <w:tcW w:w="3220" w:type="dxa"/>
            <w:vAlign w:val="bottom"/>
          </w:tcPr>
          <w:p>
            <w:pPr>
              <w:jc w:val="center"/>
              <w:ind w:left="21"/>
              <w:spacing w:after="0" w:line="158" w:lineRule="exact"/>
              <w:rPr>
                <w:sz w:val="20"/>
                <w:szCs w:val="20"/>
                <w:color w:val="auto"/>
              </w:rPr>
            </w:pPr>
            <w:r>
              <w:rPr>
                <w:rFonts w:ascii="Arial" w:cs="Arial" w:eastAsia="Arial" w:hAnsi="Arial"/>
                <w:sz w:val="16"/>
                <w:szCs w:val="16"/>
                <w:color w:val="00162F"/>
                <w:w w:val="98"/>
              </w:rPr>
              <w:t>Caribbean, Central America, China, Hong</w:t>
            </w:r>
          </w:p>
        </w:tc>
        <w:tc>
          <w:tcPr>
            <w:tcW w:w="0" w:type="dxa"/>
            <w:vAlign w:val="bottom"/>
          </w:tcPr>
          <w:p>
            <w:pPr>
              <w:spacing w:after="0"/>
              <w:rPr>
                <w:sz w:val="1"/>
                <w:szCs w:val="1"/>
                <w:color w:val="auto"/>
              </w:rPr>
            </w:pPr>
          </w:p>
        </w:tc>
      </w:tr>
      <w:tr>
        <w:trPr>
          <w:trHeight w:val="158"/>
        </w:trPr>
        <w:tc>
          <w:tcPr>
            <w:tcW w:w="3240" w:type="dxa"/>
            <w:vAlign w:val="bottom"/>
          </w:tcPr>
          <w:p>
            <w:pPr>
              <w:jc w:val="center"/>
              <w:ind w:right="21"/>
              <w:spacing w:after="0" w:line="158" w:lineRule="exact"/>
              <w:rPr>
                <w:sz w:val="20"/>
                <w:szCs w:val="20"/>
                <w:color w:val="auto"/>
              </w:rPr>
            </w:pPr>
            <w:r>
              <w:rPr>
                <w:rFonts w:ascii="Arial" w:cs="Arial" w:eastAsia="Arial" w:hAnsi="Arial"/>
                <w:sz w:val="16"/>
                <w:szCs w:val="16"/>
                <w:color w:val="00162F"/>
                <w:w w:val="99"/>
              </w:rPr>
              <w:t>New Zealand</w:t>
            </w: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8"/>
              </w:rPr>
              <w:t>services between the</w:t>
            </w:r>
          </w:p>
        </w:tc>
        <w:tc>
          <w:tcPr>
            <w:tcW w:w="3220" w:type="dxa"/>
            <w:vAlign w:val="bottom"/>
          </w:tcPr>
          <w:p>
            <w:pPr>
              <w:jc w:val="center"/>
              <w:ind w:left="21"/>
              <w:spacing w:after="0" w:line="158" w:lineRule="exact"/>
              <w:rPr>
                <w:sz w:val="20"/>
                <w:szCs w:val="20"/>
                <w:color w:val="auto"/>
              </w:rPr>
            </w:pPr>
            <w:r>
              <w:rPr>
                <w:rFonts w:ascii="Arial" w:cs="Arial" w:eastAsia="Arial" w:hAnsi="Arial"/>
                <w:sz w:val="16"/>
                <w:szCs w:val="16"/>
                <w:color w:val="00162F"/>
                <w:w w:val="99"/>
              </w:rPr>
              <w:t>Kong, Japan, Mexico, South Korea and</w:t>
            </w: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9"/>
              </w:rPr>
              <w:t>U.S. and European</w:t>
            </w:r>
          </w:p>
        </w:tc>
        <w:tc>
          <w:tcPr>
            <w:tcW w:w="3220" w:type="dxa"/>
            <w:vAlign w:val="bottom"/>
          </w:tcPr>
          <w:p>
            <w:pPr>
              <w:jc w:val="center"/>
              <w:ind w:left="1"/>
              <w:spacing w:after="0" w:line="158" w:lineRule="exact"/>
              <w:rPr>
                <w:sz w:val="20"/>
                <w:szCs w:val="20"/>
                <w:color w:val="auto"/>
              </w:rPr>
            </w:pPr>
            <w:r>
              <w:rPr>
                <w:rFonts w:ascii="Arial" w:cs="Arial" w:eastAsia="Arial" w:hAnsi="Arial"/>
                <w:sz w:val="16"/>
                <w:szCs w:val="16"/>
                <w:color w:val="00162F"/>
                <w:w w:val="99"/>
              </w:rPr>
              <w:t>Switzerland</w:t>
            </w: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7"/>
              </w:rPr>
              <w:t>Union (including</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00162F"/>
                <w:w w:val="98"/>
              </w:rPr>
              <w:t>London Heathrow)</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-1505585</wp:posOffset>
            </wp:positionV>
            <wp:extent cx="6788150" cy="3390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4">
                      <a:extLst>
                        <a:ext uri="{28A0092B-C50C-407E-A947-70E740481C1C}"/>
                      </a:extLst>
                    </a:blip>
                    <a:srcRect/>
                    <a:stretch>
                      <a:fillRect/>
                    </a:stretch>
                  </pic:blipFill>
                  <pic:spPr bwMode="auto">
                    <a:xfrm>
                      <a:off x="0" y="0"/>
                      <a:ext cx="6788150" cy="33909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2060" w:space="380"/>
            <w:col w:w="8240"/>
          </w:cols>
          <w:pgMar w:left="600" w:top="487" w:right="600" w:bottom="0" w:gutter="0" w:footer="0" w:header="0"/>
          <w:type w:val="continuous"/>
        </w:sectPr>
      </w:pPr>
    </w:p>
    <w:p>
      <w:pPr>
        <w:spacing w:after="0" w:line="70" w:lineRule="exact"/>
        <w:rPr>
          <w:sz w:val="20"/>
          <w:szCs w:val="20"/>
          <w:color w:val="auto"/>
        </w:rPr>
      </w:pPr>
    </w:p>
    <w:p>
      <w:pPr>
        <w:ind w:firstLine="223"/>
        <w:spacing w:after="0" w:line="282" w:lineRule="auto"/>
        <w:rPr>
          <w:sz w:val="20"/>
          <w:szCs w:val="20"/>
          <w:color w:val="auto"/>
        </w:rPr>
      </w:pPr>
      <w:r>
        <w:rPr>
          <w:rFonts w:ascii="Arial" w:cs="Arial" w:eastAsia="Arial" w:hAnsi="Arial"/>
          <w:sz w:val="20"/>
          <w:szCs w:val="20"/>
          <w:color w:val="00162F"/>
        </w:rPr>
        <w:t>At December 31, 2025, we were in compliance with the applicable collateral coverage tests as of the most recent measurement dates.</w:t>
      </w:r>
    </w:p>
    <w:p>
      <w:pPr>
        <w:sectPr>
          <w:pgSz w:w="11880" w:h="15480" w:orient="portrait"/>
          <w:cols w:equalWidth="0" w:num="1">
            <w:col w:w="10680"/>
          </w:cols>
          <w:pgMar w:left="600" w:top="487"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105</w:t>
      </w:r>
    </w:p>
    <w:p>
      <w:pPr>
        <w:sectPr>
          <w:pgSz w:w="11880" w:h="15480" w:orient="portrait"/>
          <w:cols w:equalWidth="0" w:num="1">
            <w:col w:w="10680"/>
          </w:cols>
          <w:pgMar w:left="600" w:top="487" w:right="600" w:bottom="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5. Leases</w:t>
      </w:r>
    </w:p>
    <w:p>
      <w:pPr>
        <w:spacing w:after="0" w:line="9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We lease certain aircraft and engines, including aircraft under capacity purchase agreements. As of December 31, 2025, we operated 677 leased aircraft, including 171 aircraft leased under capacity purchase agreements, with remaining terms ranging from less than one year to approximately 13 years.</w:t>
      </w:r>
    </w:p>
    <w:p>
      <w:pPr>
        <w:spacing w:after="0" w:line="129"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Because of the variable nature of these rates, these leases are not recorded on our consolidated balance sheets as a ROU asset or a lease liability. Additionally, at our hub locations and in certain other cities we serve, we lease administrative offices, catering, cargo, training, maintenance and other facilities.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The components of lease expense were as follows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3040" w:type="dxa"/>
            <w:vAlign w:val="bottom"/>
            <w:tcBorders>
              <w:bottom w:val="single" w:sz="8" w:color="00162F"/>
            </w:tcBorders>
            <w:gridSpan w:val="6"/>
          </w:tcPr>
          <w:p>
            <w:pPr>
              <w:jc w:val="right"/>
              <w:ind w:right="18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47"/>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64"/>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Operating lease cost</w:t>
            </w:r>
          </w:p>
        </w:tc>
        <w:tc>
          <w:tcPr>
            <w:tcW w:w="340" w:type="dxa"/>
            <w:vAlign w:val="bottom"/>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1,704</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1,851</w:t>
            </w:r>
          </w:p>
        </w:tc>
        <w:tc>
          <w:tcPr>
            <w:tcW w:w="420" w:type="dxa"/>
            <w:vAlign w:val="bottom"/>
            <w:gridSpan w:val="2"/>
            <w:shd w:val="clear" w:color="auto" w:fill="EDEDED"/>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2,016</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Finance lease cost: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Amortization of assets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128</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132</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128</w:t>
            </w:r>
          </w:p>
        </w:tc>
      </w:tr>
      <w:tr>
        <w:trPr>
          <w:trHeight w:val="293"/>
        </w:trPr>
        <w:tc>
          <w:tcPr>
            <w:tcW w:w="6220" w:type="dxa"/>
            <w:vAlign w:val="bottom"/>
          </w:tcPr>
          <w:p>
            <w:pPr>
              <w:ind w:left="180"/>
              <w:spacing w:after="0"/>
              <w:rPr>
                <w:sz w:val="20"/>
                <w:szCs w:val="20"/>
                <w:color w:val="auto"/>
              </w:rPr>
            </w:pPr>
            <w:r>
              <w:rPr>
                <w:rFonts w:ascii="Arial" w:cs="Arial" w:eastAsia="Arial" w:hAnsi="Arial"/>
                <w:sz w:val="20"/>
                <w:szCs w:val="20"/>
                <w:color w:val="00162F"/>
              </w:rPr>
              <w:t>Interest on lease liabilities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39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45</w:t>
            </w:r>
          </w:p>
        </w:tc>
      </w:tr>
      <w:tr>
        <w:trPr>
          <w:trHeight w:val="291"/>
        </w:trPr>
        <w:tc>
          <w:tcPr>
            <w:tcW w:w="62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Variable lease cost</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3,395</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4"/>
              <w:spacing w:after="0"/>
              <w:rPr>
                <w:sz w:val="20"/>
                <w:szCs w:val="20"/>
                <w:color w:val="auto"/>
              </w:rPr>
            </w:pPr>
            <w:r>
              <w:rPr>
                <w:rFonts w:ascii="Arial" w:cs="Arial" w:eastAsia="Arial" w:hAnsi="Arial"/>
                <w:sz w:val="20"/>
                <w:szCs w:val="20"/>
                <w:color w:val="00162F"/>
              </w:rPr>
              <w:t>3,075</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2,720</w:t>
            </w:r>
          </w:p>
        </w:tc>
      </w:tr>
      <w:tr>
        <w:trPr>
          <w:trHeight w:val="257"/>
        </w:trPr>
        <w:tc>
          <w:tcPr>
            <w:tcW w:w="6220" w:type="dxa"/>
            <w:vAlign w:val="bottom"/>
          </w:tcPr>
          <w:p>
            <w:pPr>
              <w:ind w:left="40"/>
              <w:spacing w:after="0"/>
              <w:rPr>
                <w:sz w:val="20"/>
                <w:szCs w:val="20"/>
                <w:color w:val="auto"/>
              </w:rPr>
            </w:pPr>
            <w:r>
              <w:rPr>
                <w:rFonts w:ascii="Arial" w:cs="Arial" w:eastAsia="Arial" w:hAnsi="Arial"/>
                <w:sz w:val="20"/>
                <w:szCs w:val="20"/>
                <w:color w:val="00162F"/>
              </w:rPr>
              <w:t>Total net lease cost</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5,275</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5,097</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4,909</w:t>
            </w: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1080" w:type="dxa"/>
            <w:vAlign w:val="bottom"/>
            <w:tcBorders>
              <w:top w:val="single" w:sz="8" w:color="00162F"/>
              <w:bottom w:val="single" w:sz="8" w:color="00162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-1162685</wp:posOffset>
            </wp:positionV>
            <wp:extent cx="2863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5">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-219710</wp:posOffset>
            </wp:positionV>
            <wp:extent cx="19361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6">
                      <a:extLst>
                        <a:ext uri="{28A0092B-C50C-407E-A947-70E740481C1C}"/>
                      </a:extLst>
                    </a:blip>
                    <a:srcRect/>
                    <a:stretch>
                      <a:fillRect/>
                    </a:stretch>
                  </pic:blipFill>
                  <pic:spPr bwMode="auto">
                    <a:xfrm>
                      <a:off x="0" y="0"/>
                      <a:ext cx="1936115" cy="25400"/>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Included in the table above are $248 million, $225 million and $274 million of lease costs under our capacity purchase agreement with Republic for the years ended December 31, 2025, 2024 and 2023, respectively. We hold a 20.8% equity interest in Republic Holdings, the parent company of Republic.</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106</w:t>
      </w:r>
    </w:p>
    <w:p>
      <w:pPr>
        <w:sectPr>
          <w:pgSz w:w="11880" w:h="15480" w:orient="portrait"/>
          <w:cols w:equalWidth="0" w:num="1">
            <w:col w:w="10680"/>
          </w:cols>
          <w:pgMar w:left="600" w:top="487" w:right="600" w:bottom="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ind w:right="220" w:firstLine="267"/>
        <w:spacing w:after="0" w:line="282" w:lineRule="auto"/>
        <w:rPr>
          <w:sz w:val="20"/>
          <w:szCs w:val="20"/>
          <w:color w:val="auto"/>
        </w:rPr>
      </w:pPr>
      <w:r>
        <w:rPr>
          <w:rFonts w:ascii="Arial" w:cs="Arial" w:eastAsia="Arial" w:hAnsi="Arial"/>
          <w:sz w:val="20"/>
          <w:szCs w:val="20"/>
          <w:color w:val="00162F"/>
        </w:rPr>
        <w:t>Supplemental balance sheet information related to leases was as follows (in millions, except lease term and discount rate):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400" w:type="dxa"/>
            <w:vAlign w:val="bottom"/>
            <w:tcBorders>
              <w:bottom w:val="single" w:sz="8" w:color="00162F"/>
            </w:tcBorders>
          </w:tcPr>
          <w:p>
            <w:pPr>
              <w:spacing w:after="0"/>
              <w:rPr>
                <w:sz w:val="18"/>
                <w:szCs w:val="18"/>
                <w:color w:val="auto"/>
              </w:rPr>
            </w:pPr>
          </w:p>
        </w:tc>
        <w:tc>
          <w:tcPr>
            <w:tcW w:w="1920" w:type="dxa"/>
            <w:vAlign w:val="bottom"/>
            <w:tcBorders>
              <w:bottom w:val="single" w:sz="8" w:color="00162F"/>
            </w:tcBorders>
            <w:gridSpan w:val="3"/>
          </w:tcPr>
          <w:p>
            <w:pPr>
              <w:jc w:val="right"/>
              <w:ind w:right="1"/>
              <w:spacing w:after="0"/>
              <w:rPr>
                <w:sz w:val="20"/>
                <w:szCs w:val="20"/>
                <w:color w:val="auto"/>
              </w:rPr>
            </w:pPr>
            <w:r>
              <w:rPr>
                <w:rFonts w:ascii="Arial" w:cs="Arial" w:eastAsia="Arial" w:hAnsi="Arial"/>
                <w:sz w:val="16"/>
                <w:szCs w:val="16"/>
                <w:b w:val="1"/>
                <w:bCs w:val="1"/>
                <w:color w:val="00162F"/>
              </w:rPr>
              <w:t>December 31,</w:t>
            </w:r>
          </w:p>
        </w:tc>
        <w:tc>
          <w:tcPr>
            <w:tcW w:w="1100" w:type="dxa"/>
            <w:vAlign w:val="bottom"/>
            <w:tcBorders>
              <w:bottom w:val="single" w:sz="8" w:color="00162F"/>
            </w:tcBorders>
          </w:tcPr>
          <w:p>
            <w:pPr>
              <w:spacing w:after="0"/>
              <w:rPr>
                <w:sz w:val="18"/>
                <w:szCs w:val="18"/>
                <w:color w:val="auto"/>
              </w:rPr>
            </w:pPr>
          </w:p>
        </w:tc>
      </w:tr>
      <w:tr>
        <w:trPr>
          <w:trHeight w:val="232"/>
        </w:trPr>
        <w:tc>
          <w:tcPr>
            <w:tcW w:w="7260" w:type="dxa"/>
            <w:vAlign w:val="bottom"/>
            <w:tcBorders>
              <w:bottom w:val="single" w:sz="8" w:color="EDEDED"/>
            </w:tcBorders>
          </w:tcPr>
          <w:p>
            <w:pPr>
              <w:spacing w:after="0"/>
              <w:rPr>
                <w:sz w:val="20"/>
                <w:szCs w:val="20"/>
                <w:color w:val="auto"/>
              </w:rPr>
            </w:pPr>
          </w:p>
        </w:tc>
        <w:tc>
          <w:tcPr>
            <w:tcW w:w="400" w:type="dxa"/>
            <w:vAlign w:val="bottom"/>
            <w:tcBorders>
              <w:bottom w:val="single" w:sz="8" w:color="00162F"/>
            </w:tcBorders>
          </w:tcPr>
          <w:p>
            <w:pPr>
              <w:spacing w:after="0"/>
              <w:rPr>
                <w:sz w:val="20"/>
                <w:szCs w:val="20"/>
                <w:color w:val="auto"/>
              </w:rPr>
            </w:pPr>
          </w:p>
        </w:tc>
        <w:tc>
          <w:tcPr>
            <w:tcW w:w="1280" w:type="dxa"/>
            <w:vAlign w:val="bottom"/>
            <w:tcBorders>
              <w:bottom w:val="single" w:sz="8" w:color="00162F"/>
            </w:tcBorders>
          </w:tcPr>
          <w:p>
            <w:pPr>
              <w:jc w:val="right"/>
              <w:ind w:right="584"/>
              <w:spacing w:after="0"/>
              <w:rPr>
                <w:sz w:val="20"/>
                <w:szCs w:val="20"/>
                <w:color w:val="auto"/>
              </w:rPr>
            </w:pPr>
            <w:r>
              <w:rPr>
                <w:rFonts w:ascii="Arial" w:cs="Arial" w:eastAsia="Arial" w:hAnsi="Arial"/>
                <w:sz w:val="16"/>
                <w:szCs w:val="16"/>
                <w:b w:val="1"/>
                <w:bCs w:val="1"/>
                <w:color w:val="00162F"/>
              </w:rPr>
              <w:t>2025</w:t>
            </w:r>
          </w:p>
        </w:tc>
        <w:tc>
          <w:tcPr>
            <w:tcW w:w="60" w:type="dxa"/>
            <w:vAlign w:val="bottom"/>
            <w:tcBorders>
              <w:bottom w:val="single" w:sz="8" w:color="EDEDED"/>
            </w:tcBorders>
          </w:tcPr>
          <w:p>
            <w:pPr>
              <w:spacing w:after="0"/>
              <w:rPr>
                <w:sz w:val="20"/>
                <w:szCs w:val="20"/>
                <w:color w:val="auto"/>
              </w:rPr>
            </w:pPr>
          </w:p>
        </w:tc>
        <w:tc>
          <w:tcPr>
            <w:tcW w:w="5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563"/>
              <w:spacing w:after="0"/>
              <w:rPr>
                <w:sz w:val="20"/>
                <w:szCs w:val="20"/>
                <w:color w:val="auto"/>
              </w:rPr>
            </w:pPr>
            <w:r>
              <w:rPr>
                <w:rFonts w:ascii="Arial" w:cs="Arial" w:eastAsia="Arial" w:hAnsi="Arial"/>
                <w:sz w:val="16"/>
                <w:szCs w:val="16"/>
                <w:b w:val="1"/>
                <w:bCs w:val="1"/>
                <w:color w:val="00162F"/>
              </w:rPr>
              <w:t>2024</w:t>
            </w:r>
          </w:p>
        </w:tc>
      </w:tr>
      <w:tr>
        <w:trPr>
          <w:trHeight w:val="287"/>
        </w:trPr>
        <w:tc>
          <w:tcPr>
            <w:tcW w:w="72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Operating leases:</w:t>
            </w:r>
          </w:p>
        </w:tc>
        <w:tc>
          <w:tcPr>
            <w:tcW w:w="400" w:type="dxa"/>
            <w:vAlign w:val="bottom"/>
            <w:shd w:val="clear" w:color="auto" w:fill="EDEDED"/>
          </w:tcPr>
          <w:p>
            <w:pPr>
              <w:spacing w:after="0"/>
              <w:rPr>
                <w:sz w:val="24"/>
                <w:szCs w:val="24"/>
                <w:color w:val="auto"/>
              </w:rPr>
            </w:pPr>
          </w:p>
        </w:tc>
        <w:tc>
          <w:tcPr>
            <w:tcW w:w="12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Operating lease ROU assets</w:t>
            </w:r>
          </w:p>
        </w:tc>
        <w:tc>
          <w:tcPr>
            <w:tcW w:w="400" w:type="dxa"/>
            <w:vAlign w:val="bottom"/>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tcPr>
          <w:p>
            <w:pPr>
              <w:jc w:val="right"/>
              <w:ind w:right="164"/>
              <w:spacing w:after="0"/>
              <w:rPr>
                <w:sz w:val="20"/>
                <w:szCs w:val="20"/>
                <w:color w:val="auto"/>
              </w:rPr>
            </w:pPr>
            <w:r>
              <w:rPr>
                <w:rFonts w:ascii="Arial" w:cs="Arial" w:eastAsia="Arial" w:hAnsi="Arial"/>
                <w:sz w:val="20"/>
                <w:szCs w:val="20"/>
                <w:color w:val="00162F"/>
              </w:rPr>
              <w:t>7,091</w:t>
            </w:r>
          </w:p>
        </w:tc>
        <w:tc>
          <w:tcPr>
            <w:tcW w:w="640" w:type="dxa"/>
            <w:vAlign w:val="bottom"/>
            <w:gridSpan w:val="2"/>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163"/>
              <w:spacing w:after="0"/>
              <w:rPr>
                <w:sz w:val="20"/>
                <w:szCs w:val="20"/>
                <w:color w:val="auto"/>
              </w:rPr>
            </w:pPr>
            <w:r>
              <w:rPr>
                <w:rFonts w:ascii="Arial" w:cs="Arial" w:eastAsia="Arial" w:hAnsi="Arial"/>
                <w:sz w:val="20"/>
                <w:szCs w:val="20"/>
                <w:color w:val="00162F"/>
              </w:rPr>
              <w:t>7,333</w:t>
            </w:r>
          </w:p>
        </w:tc>
      </w:tr>
      <w:tr>
        <w:trPr>
          <w:trHeight w:val="301"/>
        </w:trPr>
        <w:tc>
          <w:tcPr>
            <w:tcW w:w="726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12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Current operating lease liabilities</w:t>
            </w:r>
          </w:p>
        </w:tc>
        <w:tc>
          <w:tcPr>
            <w:tcW w:w="400" w:type="dxa"/>
            <w:vAlign w:val="bottom"/>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tcPr>
          <w:p>
            <w:pPr>
              <w:jc w:val="right"/>
              <w:ind w:right="164"/>
              <w:spacing w:after="0"/>
              <w:rPr>
                <w:sz w:val="20"/>
                <w:szCs w:val="20"/>
                <w:color w:val="auto"/>
              </w:rPr>
            </w:pPr>
            <w:r>
              <w:rPr>
                <w:rFonts w:ascii="Arial" w:cs="Arial" w:eastAsia="Arial" w:hAnsi="Arial"/>
                <w:sz w:val="20"/>
                <w:szCs w:val="20"/>
                <w:color w:val="00162F"/>
              </w:rPr>
              <w:t>1,058</w:t>
            </w:r>
          </w:p>
        </w:tc>
        <w:tc>
          <w:tcPr>
            <w:tcW w:w="640" w:type="dxa"/>
            <w:vAlign w:val="bottom"/>
            <w:gridSpan w:val="2"/>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163"/>
              <w:spacing w:after="0"/>
              <w:rPr>
                <w:sz w:val="20"/>
                <w:szCs w:val="20"/>
                <w:color w:val="auto"/>
              </w:rPr>
            </w:pPr>
            <w:r>
              <w:rPr>
                <w:rFonts w:ascii="Arial" w:cs="Arial" w:eastAsia="Arial" w:hAnsi="Arial"/>
                <w:sz w:val="20"/>
                <w:szCs w:val="20"/>
                <w:color w:val="00162F"/>
              </w:rPr>
              <w:t>1,092</w:t>
            </w:r>
          </w:p>
        </w:tc>
      </w:tr>
      <w:tr>
        <w:trPr>
          <w:trHeight w:val="291"/>
        </w:trPr>
        <w:tc>
          <w:tcPr>
            <w:tcW w:w="726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Noncurrent operating lease liabilities</w:t>
            </w:r>
          </w:p>
        </w:tc>
        <w:tc>
          <w:tcPr>
            <w:tcW w:w="400" w:type="dxa"/>
            <w:vAlign w:val="bottom"/>
            <w:tcBorders>
              <w:bottom w:val="single" w:sz="8" w:color="00162F"/>
            </w:tcBorders>
            <w:shd w:val="clear" w:color="auto" w:fill="EDEDED"/>
          </w:tcPr>
          <w:p>
            <w:pPr>
              <w:spacing w:after="0"/>
              <w:rPr>
                <w:sz w:val="24"/>
                <w:szCs w:val="24"/>
                <w:color w:val="auto"/>
              </w:rPr>
            </w:pPr>
          </w:p>
        </w:tc>
        <w:tc>
          <w:tcPr>
            <w:tcW w:w="1280" w:type="dxa"/>
            <w:vAlign w:val="bottom"/>
            <w:tcBorders>
              <w:bottom w:val="single" w:sz="8" w:color="00162F"/>
            </w:tcBorders>
            <w:shd w:val="clear" w:color="auto" w:fill="EDEDED"/>
          </w:tcPr>
          <w:p>
            <w:pPr>
              <w:jc w:val="right"/>
              <w:ind w:right="164"/>
              <w:spacing w:after="0"/>
              <w:rPr>
                <w:sz w:val="20"/>
                <w:szCs w:val="20"/>
                <w:color w:val="auto"/>
              </w:rPr>
            </w:pPr>
            <w:r>
              <w:rPr>
                <w:rFonts w:ascii="Arial" w:cs="Arial" w:eastAsia="Arial" w:hAnsi="Arial"/>
                <w:sz w:val="20"/>
                <w:szCs w:val="20"/>
                <w:color w:val="00162F"/>
              </w:rPr>
              <w:t>5,905</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163"/>
              <w:spacing w:after="0"/>
              <w:rPr>
                <w:sz w:val="20"/>
                <w:szCs w:val="20"/>
                <w:color w:val="auto"/>
              </w:rPr>
            </w:pPr>
            <w:r>
              <w:rPr>
                <w:rFonts w:ascii="Arial" w:cs="Arial" w:eastAsia="Arial" w:hAnsi="Arial"/>
                <w:sz w:val="20"/>
                <w:szCs w:val="20"/>
                <w:color w:val="00162F"/>
              </w:rPr>
              <w:t>5,976</w:t>
            </w:r>
          </w:p>
        </w:tc>
      </w:tr>
      <w:tr>
        <w:trPr>
          <w:trHeight w:val="297"/>
        </w:trPr>
        <w:tc>
          <w:tcPr>
            <w:tcW w:w="7260" w:type="dxa"/>
            <w:vAlign w:val="bottom"/>
          </w:tcPr>
          <w:p>
            <w:pPr>
              <w:ind w:left="260"/>
              <w:spacing w:after="0"/>
              <w:rPr>
                <w:sz w:val="20"/>
                <w:szCs w:val="20"/>
                <w:color w:val="auto"/>
              </w:rPr>
            </w:pPr>
            <w:r>
              <w:rPr>
                <w:rFonts w:ascii="Arial" w:cs="Arial" w:eastAsia="Arial" w:hAnsi="Arial"/>
                <w:sz w:val="20"/>
                <w:szCs w:val="20"/>
                <w:color w:val="00162F"/>
              </w:rPr>
              <w:t>Total operating lease liabilities</w:t>
            </w:r>
          </w:p>
        </w:tc>
        <w:tc>
          <w:tcPr>
            <w:tcW w:w="400" w:type="dxa"/>
            <w:vAlign w:val="bottom"/>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tcPr>
          <w:p>
            <w:pPr>
              <w:jc w:val="right"/>
              <w:ind w:right="164"/>
              <w:spacing w:after="0"/>
              <w:rPr>
                <w:sz w:val="20"/>
                <w:szCs w:val="20"/>
                <w:color w:val="auto"/>
              </w:rPr>
            </w:pPr>
            <w:r>
              <w:rPr>
                <w:rFonts w:ascii="Arial" w:cs="Arial" w:eastAsia="Arial" w:hAnsi="Arial"/>
                <w:sz w:val="20"/>
                <w:szCs w:val="20"/>
                <w:color w:val="00162F"/>
              </w:rPr>
              <w:t>6,963</w:t>
            </w:r>
          </w:p>
        </w:tc>
        <w:tc>
          <w:tcPr>
            <w:tcW w:w="640" w:type="dxa"/>
            <w:vAlign w:val="bottom"/>
            <w:gridSpan w:val="2"/>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163"/>
              <w:spacing w:after="0"/>
              <w:rPr>
                <w:sz w:val="20"/>
                <w:szCs w:val="20"/>
                <w:color w:val="auto"/>
              </w:rPr>
            </w:pPr>
            <w:r>
              <w:rPr>
                <w:rFonts w:ascii="Arial" w:cs="Arial" w:eastAsia="Arial" w:hAnsi="Arial"/>
                <w:sz w:val="20"/>
                <w:szCs w:val="20"/>
                <w:color w:val="00162F"/>
              </w:rPr>
              <w:t>7,068</w:t>
            </w:r>
          </w:p>
        </w:tc>
      </w:tr>
      <w:tr>
        <w:trPr>
          <w:trHeight w:val="267"/>
        </w:trPr>
        <w:tc>
          <w:tcPr>
            <w:tcW w:w="7260" w:type="dxa"/>
            <w:vAlign w:val="bottom"/>
            <w:tcBorders>
              <w:top w:val="single" w:sz="8" w:color="EDEDED"/>
            </w:tcBorders>
            <w:shd w:val="clear" w:color="auto" w:fill="EDEDED"/>
          </w:tcPr>
          <w:p>
            <w:pPr>
              <w:spacing w:after="0"/>
              <w:rPr>
                <w:sz w:val="23"/>
                <w:szCs w:val="23"/>
                <w:color w:val="auto"/>
              </w:rPr>
            </w:pPr>
          </w:p>
        </w:tc>
        <w:tc>
          <w:tcPr>
            <w:tcW w:w="400" w:type="dxa"/>
            <w:vAlign w:val="bottom"/>
            <w:tcBorders>
              <w:top w:val="single" w:sz="8" w:color="00162F"/>
            </w:tcBorders>
            <w:shd w:val="clear" w:color="auto" w:fill="EDEDED"/>
          </w:tcPr>
          <w:p>
            <w:pPr>
              <w:spacing w:after="0"/>
              <w:rPr>
                <w:sz w:val="23"/>
                <w:szCs w:val="23"/>
                <w:color w:val="auto"/>
              </w:rPr>
            </w:pPr>
          </w:p>
        </w:tc>
        <w:tc>
          <w:tcPr>
            <w:tcW w:w="1280" w:type="dxa"/>
            <w:vAlign w:val="bottom"/>
            <w:tcBorders>
              <w:top w:val="single" w:sz="8" w:color="00162F"/>
            </w:tcBorders>
            <w:shd w:val="clear" w:color="auto" w:fill="EDEDED"/>
          </w:tcPr>
          <w:p>
            <w:pPr>
              <w:spacing w:after="0"/>
              <w:rPr>
                <w:sz w:val="23"/>
                <w:szCs w:val="23"/>
                <w:color w:val="auto"/>
              </w:rPr>
            </w:pPr>
          </w:p>
        </w:tc>
        <w:tc>
          <w:tcPr>
            <w:tcW w:w="60" w:type="dxa"/>
            <w:vAlign w:val="bottom"/>
            <w:tcBorders>
              <w:top w:val="single" w:sz="8" w:color="EDEDED"/>
            </w:tcBorders>
            <w:shd w:val="clear" w:color="auto" w:fill="EDEDED"/>
          </w:tcPr>
          <w:p>
            <w:pPr>
              <w:spacing w:after="0"/>
              <w:rPr>
                <w:sz w:val="23"/>
                <w:szCs w:val="23"/>
                <w:color w:val="auto"/>
              </w:rPr>
            </w:pPr>
          </w:p>
        </w:tc>
        <w:tc>
          <w:tcPr>
            <w:tcW w:w="580" w:type="dxa"/>
            <w:vAlign w:val="bottom"/>
            <w:tcBorders>
              <w:top w:val="single" w:sz="8" w:color="00162F"/>
            </w:tcBorders>
            <w:shd w:val="clear" w:color="auto" w:fill="EDEDED"/>
          </w:tcPr>
          <w:p>
            <w:pPr>
              <w:spacing w:after="0"/>
              <w:rPr>
                <w:sz w:val="23"/>
                <w:szCs w:val="23"/>
                <w:color w:val="auto"/>
              </w:rPr>
            </w:pPr>
          </w:p>
        </w:tc>
        <w:tc>
          <w:tcPr>
            <w:tcW w:w="1100" w:type="dxa"/>
            <w:vAlign w:val="bottom"/>
            <w:tcBorders>
              <w:top w:val="single" w:sz="8" w:color="00162F"/>
            </w:tcBorders>
            <w:shd w:val="clear" w:color="auto" w:fill="EDEDED"/>
          </w:tcPr>
          <w:p>
            <w:pPr>
              <w:spacing w:after="0"/>
              <w:rPr>
                <w:sz w:val="23"/>
                <w:szCs w:val="23"/>
                <w:color w:val="auto"/>
              </w:rPr>
            </w:pPr>
          </w:p>
        </w:tc>
      </w:tr>
      <w:tr>
        <w:trPr>
          <w:trHeight w:val="293"/>
        </w:trPr>
        <w:tc>
          <w:tcPr>
            <w:tcW w:w="7260" w:type="dxa"/>
            <w:vAlign w:val="bottom"/>
          </w:tcPr>
          <w:p>
            <w:pPr>
              <w:ind w:left="40"/>
              <w:spacing w:after="0"/>
              <w:rPr>
                <w:sz w:val="20"/>
                <w:szCs w:val="20"/>
                <w:color w:val="auto"/>
              </w:rPr>
            </w:pPr>
            <w:r>
              <w:rPr>
                <w:rFonts w:ascii="Arial" w:cs="Arial" w:eastAsia="Arial" w:hAnsi="Arial"/>
                <w:sz w:val="20"/>
                <w:szCs w:val="20"/>
                <w:color w:val="00162F"/>
              </w:rPr>
              <w:t>Finance leases: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1"/>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Property and equipment, at cost</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shd w:val="clear" w:color="auto" w:fill="EDEDED"/>
          </w:tcPr>
          <w:p>
            <w:pPr>
              <w:jc w:val="right"/>
              <w:ind w:right="164"/>
              <w:spacing w:after="0"/>
              <w:rPr>
                <w:sz w:val="20"/>
                <w:szCs w:val="20"/>
                <w:color w:val="auto"/>
              </w:rPr>
            </w:pPr>
            <w:r>
              <w:rPr>
                <w:rFonts w:ascii="Arial" w:cs="Arial" w:eastAsia="Arial" w:hAnsi="Arial"/>
                <w:sz w:val="20"/>
                <w:szCs w:val="20"/>
                <w:color w:val="00162F"/>
              </w:rPr>
              <w:t>1,445</w:t>
            </w:r>
          </w:p>
        </w:tc>
        <w:tc>
          <w:tcPr>
            <w:tcW w:w="640" w:type="dxa"/>
            <w:vAlign w:val="bottom"/>
            <w:gridSpan w:val="2"/>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163"/>
              <w:spacing w:after="0"/>
              <w:rPr>
                <w:sz w:val="20"/>
                <w:szCs w:val="20"/>
                <w:color w:val="auto"/>
              </w:rPr>
            </w:pPr>
            <w:r>
              <w:rPr>
                <w:rFonts w:ascii="Arial" w:cs="Arial" w:eastAsia="Arial" w:hAnsi="Arial"/>
                <w:sz w:val="20"/>
                <w:szCs w:val="20"/>
                <w:color w:val="00162F"/>
              </w:rPr>
              <w:t>1,632</w:t>
            </w:r>
          </w:p>
        </w:tc>
      </w:tr>
      <w:tr>
        <w:trPr>
          <w:trHeight w:val="287"/>
        </w:trPr>
        <w:tc>
          <w:tcPr>
            <w:tcW w:w="7260" w:type="dxa"/>
            <w:vAlign w:val="bottom"/>
            <w:tcBorders>
              <w:bottom w:val="single" w:sz="8" w:color="EDEDED"/>
            </w:tcBorders>
          </w:tcPr>
          <w:p>
            <w:pPr>
              <w:ind w:left="180"/>
              <w:spacing w:after="0"/>
              <w:rPr>
                <w:sz w:val="20"/>
                <w:szCs w:val="20"/>
                <w:color w:val="auto"/>
              </w:rPr>
            </w:pPr>
            <w:r>
              <w:rPr>
                <w:rFonts w:ascii="Arial" w:cs="Arial" w:eastAsia="Arial" w:hAnsi="Arial"/>
                <w:sz w:val="20"/>
                <w:szCs w:val="20"/>
                <w:color w:val="00162F"/>
              </w:rPr>
              <w:t>Accumulated amortization</w:t>
            </w:r>
          </w:p>
        </w:tc>
        <w:tc>
          <w:tcPr>
            <w:tcW w:w="400" w:type="dxa"/>
            <w:vAlign w:val="bottom"/>
            <w:tcBorders>
              <w:bottom w:val="single" w:sz="8" w:color="00162F"/>
            </w:tcBorders>
          </w:tcPr>
          <w:p>
            <w:pPr>
              <w:spacing w:after="0"/>
              <w:rPr>
                <w:sz w:val="24"/>
                <w:szCs w:val="24"/>
                <w:color w:val="auto"/>
              </w:rPr>
            </w:pPr>
          </w:p>
        </w:tc>
        <w:tc>
          <w:tcPr>
            <w:tcW w:w="1280" w:type="dxa"/>
            <w:vAlign w:val="bottom"/>
            <w:tcBorders>
              <w:bottom w:val="single" w:sz="8" w:color="00162F"/>
            </w:tcBorders>
          </w:tcPr>
          <w:p>
            <w:pPr>
              <w:jc w:val="right"/>
              <w:ind w:right="104"/>
              <w:spacing w:after="0"/>
              <w:rPr>
                <w:sz w:val="20"/>
                <w:szCs w:val="20"/>
                <w:color w:val="auto"/>
              </w:rPr>
            </w:pPr>
            <w:r>
              <w:rPr>
                <w:rFonts w:ascii="Arial" w:cs="Arial" w:eastAsia="Arial" w:hAnsi="Arial"/>
                <w:sz w:val="20"/>
                <w:szCs w:val="20"/>
                <w:color w:val="00162F"/>
              </w:rPr>
              <w:t>(673)</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83"/>
              <w:spacing w:after="0"/>
              <w:rPr>
                <w:sz w:val="20"/>
                <w:szCs w:val="20"/>
                <w:color w:val="auto"/>
              </w:rPr>
            </w:pPr>
            <w:r>
              <w:rPr>
                <w:rFonts w:ascii="Arial" w:cs="Arial" w:eastAsia="Arial" w:hAnsi="Arial"/>
                <w:sz w:val="20"/>
                <w:szCs w:val="20"/>
                <w:color w:val="00162F"/>
              </w:rPr>
              <w:t>(952)</w:t>
            </w:r>
          </w:p>
        </w:tc>
      </w:tr>
      <w:tr>
        <w:trPr>
          <w:trHeight w:val="297"/>
        </w:trPr>
        <w:tc>
          <w:tcPr>
            <w:tcW w:w="7260" w:type="dxa"/>
            <w:vAlign w:val="bottom"/>
            <w:shd w:val="clear" w:color="auto" w:fill="EDEDED"/>
          </w:tcPr>
          <w:p>
            <w:pPr>
              <w:ind w:left="260"/>
              <w:spacing w:after="0"/>
              <w:rPr>
                <w:sz w:val="20"/>
                <w:szCs w:val="20"/>
                <w:color w:val="auto"/>
              </w:rPr>
            </w:pPr>
            <w:r>
              <w:rPr>
                <w:rFonts w:ascii="Arial" w:cs="Arial" w:eastAsia="Arial" w:hAnsi="Arial"/>
                <w:sz w:val="20"/>
                <w:szCs w:val="20"/>
                <w:color w:val="00162F"/>
              </w:rPr>
              <w:t>Property and equipment, net</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shd w:val="clear" w:color="auto" w:fill="EDEDED"/>
          </w:tcPr>
          <w:p>
            <w:pPr>
              <w:jc w:val="right"/>
              <w:ind w:right="164"/>
              <w:spacing w:after="0"/>
              <w:rPr>
                <w:sz w:val="20"/>
                <w:szCs w:val="20"/>
                <w:color w:val="auto"/>
              </w:rPr>
            </w:pPr>
            <w:r>
              <w:rPr>
                <w:rFonts w:ascii="Arial" w:cs="Arial" w:eastAsia="Arial" w:hAnsi="Arial"/>
                <w:sz w:val="20"/>
                <w:szCs w:val="20"/>
                <w:color w:val="00162F"/>
              </w:rPr>
              <w:t>772</w:t>
            </w:r>
          </w:p>
        </w:tc>
        <w:tc>
          <w:tcPr>
            <w:tcW w:w="640" w:type="dxa"/>
            <w:vAlign w:val="bottom"/>
            <w:gridSpan w:val="2"/>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163"/>
              <w:spacing w:after="0"/>
              <w:rPr>
                <w:sz w:val="20"/>
                <w:szCs w:val="20"/>
                <w:color w:val="auto"/>
              </w:rPr>
            </w:pPr>
            <w:r>
              <w:rPr>
                <w:rFonts w:ascii="Arial" w:cs="Arial" w:eastAsia="Arial" w:hAnsi="Arial"/>
                <w:sz w:val="20"/>
                <w:szCs w:val="20"/>
                <w:color w:val="00162F"/>
              </w:rPr>
              <w:t>680</w:t>
            </w:r>
          </w:p>
        </w:tc>
      </w:tr>
      <w:tr>
        <w:trPr>
          <w:trHeight w:val="267"/>
        </w:trPr>
        <w:tc>
          <w:tcPr>
            <w:tcW w:w="7260" w:type="dxa"/>
            <w:vAlign w:val="bottom"/>
            <w:tcBorders>
              <w:top w:val="single" w:sz="8" w:color="EDEDED"/>
            </w:tcBorders>
          </w:tcPr>
          <w:p>
            <w:pPr>
              <w:spacing w:after="0"/>
              <w:rPr>
                <w:sz w:val="23"/>
                <w:szCs w:val="23"/>
                <w:color w:val="auto"/>
              </w:rPr>
            </w:pPr>
          </w:p>
        </w:tc>
        <w:tc>
          <w:tcPr>
            <w:tcW w:w="400" w:type="dxa"/>
            <w:vAlign w:val="bottom"/>
            <w:tcBorders>
              <w:top w:val="single" w:sz="8" w:color="00162F"/>
            </w:tcBorders>
          </w:tcPr>
          <w:p>
            <w:pPr>
              <w:spacing w:after="0"/>
              <w:rPr>
                <w:sz w:val="23"/>
                <w:szCs w:val="23"/>
                <w:color w:val="auto"/>
              </w:rPr>
            </w:pPr>
          </w:p>
        </w:tc>
        <w:tc>
          <w:tcPr>
            <w:tcW w:w="1280" w:type="dxa"/>
            <w:vAlign w:val="bottom"/>
            <w:tcBorders>
              <w:top w:val="single" w:sz="8" w:color="00162F"/>
            </w:tcBorders>
          </w:tcPr>
          <w:p>
            <w:pPr>
              <w:spacing w:after="0"/>
              <w:rPr>
                <w:sz w:val="23"/>
                <w:szCs w:val="23"/>
                <w:color w:val="auto"/>
              </w:rPr>
            </w:pPr>
          </w:p>
        </w:tc>
        <w:tc>
          <w:tcPr>
            <w:tcW w:w="60" w:type="dxa"/>
            <w:vAlign w:val="bottom"/>
            <w:tcBorders>
              <w:top w:val="single" w:sz="8" w:color="EDEDED"/>
            </w:tcBorders>
          </w:tcPr>
          <w:p>
            <w:pPr>
              <w:spacing w:after="0"/>
              <w:rPr>
                <w:sz w:val="23"/>
                <w:szCs w:val="23"/>
                <w:color w:val="auto"/>
              </w:rPr>
            </w:pPr>
          </w:p>
        </w:tc>
        <w:tc>
          <w:tcPr>
            <w:tcW w:w="580" w:type="dxa"/>
            <w:vAlign w:val="bottom"/>
            <w:tcBorders>
              <w:top w:val="single" w:sz="8" w:color="00162F"/>
            </w:tcBorders>
          </w:tcPr>
          <w:p>
            <w:pPr>
              <w:spacing w:after="0"/>
              <w:rPr>
                <w:sz w:val="23"/>
                <w:szCs w:val="23"/>
                <w:color w:val="auto"/>
              </w:rPr>
            </w:pPr>
          </w:p>
        </w:tc>
        <w:tc>
          <w:tcPr>
            <w:tcW w:w="1100" w:type="dxa"/>
            <w:vAlign w:val="bottom"/>
            <w:tcBorders>
              <w:top w:val="single" w:sz="8" w:color="00162F"/>
            </w:tcBorders>
          </w:tcPr>
          <w:p>
            <w:pPr>
              <w:spacing w:after="0"/>
              <w:rPr>
                <w:sz w:val="23"/>
                <w:szCs w:val="23"/>
                <w:color w:val="auto"/>
              </w:rPr>
            </w:pPr>
          </w:p>
        </w:tc>
      </w:tr>
      <w:tr>
        <w:trPr>
          <w:trHeight w:val="297"/>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Current finance lease liabilities</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shd w:val="clear" w:color="auto" w:fill="EDEDED"/>
          </w:tcPr>
          <w:p>
            <w:pPr>
              <w:jc w:val="right"/>
              <w:ind w:right="164"/>
              <w:spacing w:after="0"/>
              <w:rPr>
                <w:sz w:val="20"/>
                <w:szCs w:val="20"/>
                <w:color w:val="auto"/>
              </w:rPr>
            </w:pPr>
            <w:r>
              <w:rPr>
                <w:rFonts w:ascii="Arial" w:cs="Arial" w:eastAsia="Arial" w:hAnsi="Arial"/>
                <w:sz w:val="20"/>
                <w:szCs w:val="20"/>
                <w:color w:val="00162F"/>
              </w:rPr>
              <w:t>117</w:t>
            </w:r>
          </w:p>
        </w:tc>
        <w:tc>
          <w:tcPr>
            <w:tcW w:w="640" w:type="dxa"/>
            <w:vAlign w:val="bottom"/>
            <w:gridSpan w:val="2"/>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163"/>
              <w:spacing w:after="0"/>
              <w:rPr>
                <w:sz w:val="20"/>
                <w:szCs w:val="20"/>
                <w:color w:val="auto"/>
              </w:rPr>
            </w:pPr>
            <w:r>
              <w:rPr>
                <w:rFonts w:ascii="Arial" w:cs="Arial" w:eastAsia="Arial" w:hAnsi="Arial"/>
                <w:sz w:val="20"/>
                <w:szCs w:val="20"/>
                <w:color w:val="00162F"/>
              </w:rPr>
              <w:t>132</w:t>
            </w:r>
          </w:p>
        </w:tc>
      </w:tr>
      <w:tr>
        <w:trPr>
          <w:trHeight w:val="287"/>
        </w:trPr>
        <w:tc>
          <w:tcPr>
            <w:tcW w:w="7260" w:type="dxa"/>
            <w:vAlign w:val="bottom"/>
            <w:tcBorders>
              <w:bottom w:val="single" w:sz="8" w:color="EDEDED"/>
            </w:tcBorders>
          </w:tcPr>
          <w:p>
            <w:pPr>
              <w:ind w:left="180"/>
              <w:spacing w:after="0"/>
              <w:rPr>
                <w:sz w:val="20"/>
                <w:szCs w:val="20"/>
                <w:color w:val="auto"/>
              </w:rPr>
            </w:pPr>
            <w:r>
              <w:rPr>
                <w:rFonts w:ascii="Arial" w:cs="Arial" w:eastAsia="Arial" w:hAnsi="Arial"/>
                <w:sz w:val="20"/>
                <w:szCs w:val="20"/>
                <w:color w:val="00162F"/>
              </w:rPr>
              <w:t>Noncurrent finance lease liabilities</w:t>
            </w:r>
          </w:p>
        </w:tc>
        <w:tc>
          <w:tcPr>
            <w:tcW w:w="400" w:type="dxa"/>
            <w:vAlign w:val="bottom"/>
            <w:tcBorders>
              <w:bottom w:val="single" w:sz="8" w:color="00162F"/>
            </w:tcBorders>
          </w:tcPr>
          <w:p>
            <w:pPr>
              <w:spacing w:after="0"/>
              <w:rPr>
                <w:sz w:val="24"/>
                <w:szCs w:val="24"/>
                <w:color w:val="auto"/>
              </w:rPr>
            </w:pPr>
          </w:p>
        </w:tc>
        <w:tc>
          <w:tcPr>
            <w:tcW w:w="1280" w:type="dxa"/>
            <w:vAlign w:val="bottom"/>
            <w:tcBorders>
              <w:bottom w:val="single" w:sz="8" w:color="00162F"/>
            </w:tcBorders>
          </w:tcPr>
          <w:p>
            <w:pPr>
              <w:jc w:val="right"/>
              <w:ind w:right="164"/>
              <w:spacing w:after="0"/>
              <w:rPr>
                <w:sz w:val="20"/>
                <w:szCs w:val="20"/>
                <w:color w:val="auto"/>
              </w:rPr>
            </w:pPr>
            <w:r>
              <w:rPr>
                <w:rFonts w:ascii="Arial" w:cs="Arial" w:eastAsia="Arial" w:hAnsi="Arial"/>
                <w:sz w:val="20"/>
                <w:szCs w:val="20"/>
                <w:color w:val="00162F"/>
              </w:rPr>
              <w:t>610</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163"/>
              <w:spacing w:after="0"/>
              <w:rPr>
                <w:sz w:val="20"/>
                <w:szCs w:val="20"/>
                <w:color w:val="auto"/>
              </w:rPr>
            </w:pPr>
            <w:r>
              <w:rPr>
                <w:rFonts w:ascii="Arial" w:cs="Arial" w:eastAsia="Arial" w:hAnsi="Arial"/>
                <w:sz w:val="20"/>
                <w:szCs w:val="20"/>
                <w:color w:val="00162F"/>
              </w:rPr>
              <w:t>531</w:t>
            </w:r>
          </w:p>
        </w:tc>
      </w:tr>
      <w:tr>
        <w:trPr>
          <w:trHeight w:val="297"/>
        </w:trPr>
        <w:tc>
          <w:tcPr>
            <w:tcW w:w="726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Total finance lease liabilities</w:t>
            </w:r>
          </w:p>
        </w:tc>
        <w:tc>
          <w:tcPr>
            <w:tcW w:w="400" w:type="dxa"/>
            <w:vAlign w:val="bottom"/>
            <w:tcBorders>
              <w:bottom w:val="single" w:sz="8" w:color="00162F"/>
            </w:tcBorders>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tcBorders>
              <w:bottom w:val="single" w:sz="8" w:color="00162F"/>
            </w:tcBorders>
            <w:shd w:val="clear" w:color="auto" w:fill="EDEDED"/>
          </w:tcPr>
          <w:p>
            <w:pPr>
              <w:jc w:val="right"/>
              <w:ind w:right="164"/>
              <w:spacing w:after="0"/>
              <w:rPr>
                <w:sz w:val="20"/>
                <w:szCs w:val="20"/>
                <w:color w:val="auto"/>
              </w:rPr>
            </w:pPr>
            <w:r>
              <w:rPr>
                <w:rFonts w:ascii="Arial" w:cs="Arial" w:eastAsia="Arial" w:hAnsi="Arial"/>
                <w:sz w:val="20"/>
                <w:szCs w:val="20"/>
                <w:color w:val="00162F"/>
              </w:rPr>
              <w:t>727</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ind w:right="163"/>
              <w:spacing w:after="0"/>
              <w:rPr>
                <w:sz w:val="20"/>
                <w:szCs w:val="20"/>
                <w:color w:val="auto"/>
              </w:rPr>
            </w:pPr>
            <w:r>
              <w:rPr>
                <w:rFonts w:ascii="Arial" w:cs="Arial" w:eastAsia="Arial" w:hAnsi="Arial"/>
                <w:sz w:val="20"/>
                <w:szCs w:val="20"/>
                <w:color w:val="00162F"/>
              </w:rPr>
              <w:t>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678815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7">
                      <a:extLst>
                        <a:ext uri="{28A0092B-C50C-407E-A947-70E740481C1C}"/>
                      </a:extLst>
                    </a:blip>
                    <a:srcRect/>
                    <a:stretch>
                      <a:fillRect/>
                    </a:stretch>
                  </pic:blipFill>
                  <pic:spPr bwMode="auto">
                    <a:xfrm>
                      <a:off x="0" y="0"/>
                      <a:ext cx="6788150" cy="18859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-2859405</wp:posOffset>
            </wp:positionV>
            <wp:extent cx="22034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8">
                      <a:extLst>
                        <a:ext uri="{28A0092B-C50C-407E-A947-70E740481C1C}"/>
                      </a:extLst>
                    </a:blip>
                    <a:srcRect/>
                    <a:stretch>
                      <a:fillRect/>
                    </a:stretch>
                  </pic:blipFill>
                  <pic:spPr bwMode="auto">
                    <a:xfrm>
                      <a:off x="0" y="0"/>
                      <a:ext cx="22034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-1916430</wp:posOffset>
            </wp:positionV>
            <wp:extent cx="112522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9">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-1740535</wp:posOffset>
            </wp:positionV>
            <wp:extent cx="220345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0">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-974090</wp:posOffset>
            </wp:positionV>
            <wp:extent cx="112522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1">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-797560</wp:posOffset>
            </wp:positionV>
            <wp:extent cx="2203450"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2">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-219710</wp:posOffset>
            </wp:positionV>
            <wp:extent cx="112522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3">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-43815</wp:posOffset>
            </wp:positionV>
            <wp:extent cx="2203450"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4">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274" w:lineRule="exact"/>
        <w:rPr>
          <w:sz w:val="20"/>
          <w:szCs w:val="20"/>
          <w:color w:val="auto"/>
        </w:rPr>
      </w:pPr>
    </w:p>
    <w:p>
      <w:pPr>
        <w:ind w:left="40"/>
        <w:spacing w:after="0"/>
        <w:rPr>
          <w:sz w:val="20"/>
          <w:szCs w:val="20"/>
          <w:color w:val="auto"/>
        </w:rPr>
      </w:pPr>
      <w:r>
        <w:rPr>
          <w:rFonts w:ascii="Arial" w:cs="Arial" w:eastAsia="Arial" w:hAnsi="Arial"/>
          <w:sz w:val="20"/>
          <w:szCs w:val="20"/>
          <w:color w:val="00162F"/>
        </w:rPr>
        <w:t>Weighted average remaining lease term (in years):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300" w:type="dxa"/>
            <w:vAlign w:val="bottom"/>
          </w:tcPr>
          <w:p>
            <w:pPr>
              <w:ind w:left="180"/>
              <w:spacing w:after="0"/>
              <w:rPr>
                <w:sz w:val="20"/>
                <w:szCs w:val="20"/>
                <w:color w:val="auto"/>
              </w:rPr>
            </w:pPr>
            <w:r>
              <w:rPr>
                <w:rFonts w:ascii="Arial" w:cs="Arial" w:eastAsia="Arial" w:hAnsi="Arial"/>
                <w:sz w:val="20"/>
                <w:szCs w:val="20"/>
                <w:color w:val="00162F"/>
              </w:rPr>
              <w:t>Operating leases</w:t>
            </w: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ind w:right="223"/>
              <w:spacing w:after="0"/>
              <w:rPr>
                <w:sz w:val="20"/>
                <w:szCs w:val="20"/>
                <w:color w:val="auto"/>
              </w:rPr>
            </w:pPr>
            <w:r>
              <w:rPr>
                <w:rFonts w:ascii="Arial" w:cs="Arial" w:eastAsia="Arial" w:hAnsi="Arial"/>
                <w:sz w:val="20"/>
                <w:szCs w:val="20"/>
                <w:color w:val="00162F"/>
              </w:rPr>
              <w:t>8.4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8.2</w:t>
            </w:r>
          </w:p>
        </w:tc>
      </w:tr>
      <w:tr>
        <w:trPr>
          <w:trHeight w:val="301"/>
        </w:trPr>
        <w:tc>
          <w:tcPr>
            <w:tcW w:w="630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Finance leases</w:t>
            </w: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jc w:val="right"/>
              <w:ind w:right="223"/>
              <w:spacing w:after="0"/>
              <w:rPr>
                <w:sz w:val="20"/>
                <w:szCs w:val="20"/>
                <w:color w:val="auto"/>
              </w:rPr>
            </w:pPr>
            <w:r>
              <w:rPr>
                <w:rFonts w:ascii="Arial" w:cs="Arial" w:eastAsia="Arial" w:hAnsi="Arial"/>
                <w:sz w:val="20"/>
                <w:szCs w:val="20"/>
                <w:color w:val="00162F"/>
              </w:rPr>
              <w:t>7.8</w:t>
            </w: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7.4</w:t>
            </w:r>
          </w:p>
        </w:tc>
      </w:tr>
      <w:tr>
        <w:trPr>
          <w:trHeight w:val="297"/>
        </w:trPr>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63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Weighted average discount rate:</w:t>
            </w: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r>
      <w:tr>
        <w:trPr>
          <w:trHeight w:val="293"/>
        </w:trPr>
        <w:tc>
          <w:tcPr>
            <w:tcW w:w="6300" w:type="dxa"/>
            <w:vAlign w:val="bottom"/>
          </w:tcPr>
          <w:p>
            <w:pPr>
              <w:ind w:left="180"/>
              <w:spacing w:after="0"/>
              <w:rPr>
                <w:sz w:val="20"/>
                <w:szCs w:val="20"/>
                <w:color w:val="auto"/>
              </w:rPr>
            </w:pPr>
            <w:r>
              <w:rPr>
                <w:rFonts w:ascii="Arial" w:cs="Arial" w:eastAsia="Arial" w:hAnsi="Arial"/>
                <w:sz w:val="20"/>
                <w:szCs w:val="20"/>
                <w:color w:val="00162F"/>
              </w:rPr>
              <w:t>Operating leases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183"/>
              <w:spacing w:after="0"/>
              <w:rPr>
                <w:sz w:val="20"/>
                <w:szCs w:val="20"/>
                <w:color w:val="auto"/>
              </w:rPr>
            </w:pPr>
            <w:r>
              <w:rPr>
                <w:rFonts w:ascii="Arial" w:cs="Arial" w:eastAsia="Arial" w:hAnsi="Arial"/>
                <w:sz w:val="20"/>
                <w:szCs w:val="20"/>
                <w:color w:val="00162F"/>
              </w:rPr>
              <w:t>7.4 %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7.5 %</w:t>
            </w:r>
          </w:p>
        </w:tc>
      </w:tr>
      <w:tr>
        <w:trPr>
          <w:trHeight w:val="301"/>
        </w:trPr>
        <w:tc>
          <w:tcPr>
            <w:tcW w:w="630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Finance leases</w:t>
            </w: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jc w:val="right"/>
              <w:ind w:right="183"/>
              <w:spacing w:after="0"/>
              <w:rPr>
                <w:sz w:val="20"/>
                <w:szCs w:val="20"/>
                <w:color w:val="auto"/>
              </w:rPr>
            </w:pPr>
            <w:r>
              <w:rPr>
                <w:rFonts w:ascii="Arial" w:cs="Arial" w:eastAsia="Arial" w:hAnsi="Arial"/>
                <w:sz w:val="20"/>
                <w:szCs w:val="20"/>
                <w:color w:val="00162F"/>
              </w:rPr>
              <w:t>7.1 %</w:t>
            </w: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7.0 %</w:t>
            </w:r>
          </w:p>
        </w:tc>
      </w:tr>
      <w:tr>
        <w:trPr>
          <w:trHeight w:val="485"/>
        </w:trPr>
        <w:tc>
          <w:tcPr>
            <w:tcW w:w="8280" w:type="dxa"/>
            <w:vAlign w:val="bottom"/>
            <w:gridSpan w:val="5"/>
          </w:tcPr>
          <w:p>
            <w:pPr>
              <w:ind w:left="260"/>
              <w:spacing w:after="0"/>
              <w:rPr>
                <w:sz w:val="20"/>
                <w:szCs w:val="20"/>
                <w:color w:val="auto"/>
              </w:rPr>
            </w:pPr>
            <w:r>
              <w:rPr>
                <w:rFonts w:ascii="Arial" w:cs="Arial" w:eastAsia="Arial" w:hAnsi="Arial"/>
                <w:sz w:val="20"/>
                <w:szCs w:val="20"/>
                <w:color w:val="00162F"/>
                <w:w w:val="99"/>
              </w:rPr>
              <w:t>Supplemental cash flow and other information related to leases was as follows (in millions):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1"/>
        </w:trPr>
        <w:tc>
          <w:tcPr>
            <w:tcW w:w="6300" w:type="dxa"/>
            <w:vAlign w:val="bottom"/>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2980" w:type="dxa"/>
            <w:vAlign w:val="bottom"/>
            <w:tcBorders>
              <w:bottom w:val="single" w:sz="8" w:color="00162F"/>
            </w:tcBorders>
            <w:gridSpan w:val="6"/>
          </w:tcPr>
          <w:p>
            <w:pPr>
              <w:jc w:val="right"/>
              <w:ind w:right="180"/>
              <w:spacing w:after="0"/>
              <w:rPr>
                <w:sz w:val="20"/>
                <w:szCs w:val="20"/>
                <w:color w:val="auto"/>
              </w:rPr>
            </w:pPr>
            <w:r>
              <w:rPr>
                <w:rFonts w:ascii="Arial" w:cs="Arial" w:eastAsia="Arial" w:hAnsi="Arial"/>
                <w:sz w:val="16"/>
                <w:szCs w:val="16"/>
                <w:b w:val="1"/>
                <w:bCs w:val="1"/>
                <w:color w:val="00162F"/>
              </w:rPr>
              <w:t>Year Ended December 31,</w:t>
            </w:r>
          </w:p>
        </w:tc>
        <w:tc>
          <w:tcPr>
            <w:tcW w:w="1040" w:type="dxa"/>
            <w:vAlign w:val="bottom"/>
            <w:tcBorders>
              <w:bottom w:val="single" w:sz="8" w:color="00162F"/>
            </w:tcBorders>
          </w:tcPr>
          <w:p>
            <w:pPr>
              <w:spacing w:after="0"/>
              <w:rPr>
                <w:sz w:val="24"/>
                <w:szCs w:val="24"/>
                <w:color w:val="auto"/>
              </w:rPr>
            </w:pPr>
          </w:p>
        </w:tc>
      </w:tr>
      <w:tr>
        <w:trPr>
          <w:trHeight w:val="232"/>
        </w:trPr>
        <w:tc>
          <w:tcPr>
            <w:tcW w:w="630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60" w:type="dxa"/>
            <w:vAlign w:val="bottom"/>
            <w:tcBorders>
              <w:bottom w:val="single" w:sz="8" w:color="00162F"/>
            </w:tcBorders>
          </w:tcPr>
          <w:p>
            <w:pPr>
              <w:jc w:val="right"/>
              <w:ind w:right="448"/>
              <w:spacing w:after="0"/>
              <w:rPr>
                <w:sz w:val="20"/>
                <w:szCs w:val="20"/>
                <w:color w:val="auto"/>
              </w:rPr>
            </w:pPr>
            <w:r>
              <w:rPr>
                <w:rFonts w:ascii="Arial" w:cs="Arial" w:eastAsia="Arial" w:hAnsi="Arial"/>
                <w:sz w:val="16"/>
                <w:szCs w:val="16"/>
                <w:b w:val="1"/>
                <w:bCs w:val="1"/>
                <w:color w:val="00162F"/>
              </w:rPr>
              <w:t>2025</w:t>
            </w:r>
          </w:p>
        </w:tc>
        <w:tc>
          <w:tcPr>
            <w:tcW w:w="60" w:type="dxa"/>
            <w:vAlign w:val="bottom"/>
            <w:tcBorders>
              <w:bottom w:val="single" w:sz="8" w:color="EDEDED"/>
            </w:tcBorders>
          </w:tcPr>
          <w:p>
            <w:pPr>
              <w:spacing w:after="0"/>
              <w:rPr>
                <w:sz w:val="20"/>
                <w:szCs w:val="20"/>
                <w:color w:val="auto"/>
              </w:rPr>
            </w:pPr>
          </w:p>
        </w:tc>
        <w:tc>
          <w:tcPr>
            <w:tcW w:w="500" w:type="dxa"/>
            <w:vAlign w:val="bottom"/>
            <w:tcBorders>
              <w:bottom w:val="single" w:sz="8" w:color="00162F"/>
            </w:tcBorders>
          </w:tcPr>
          <w:p>
            <w:pPr>
              <w:spacing w:after="0"/>
              <w:rPr>
                <w:sz w:val="20"/>
                <w:szCs w:val="20"/>
                <w:color w:val="auto"/>
              </w:rPr>
            </w:pPr>
          </w:p>
        </w:tc>
        <w:tc>
          <w:tcPr>
            <w:tcW w:w="920" w:type="dxa"/>
            <w:vAlign w:val="bottom"/>
            <w:tcBorders>
              <w:bottom w:val="single" w:sz="8" w:color="00162F"/>
            </w:tcBorders>
          </w:tcPr>
          <w:p>
            <w:pPr>
              <w:jc w:val="right"/>
              <w:ind w:right="423"/>
              <w:spacing w:after="0"/>
              <w:rPr>
                <w:sz w:val="20"/>
                <w:szCs w:val="20"/>
                <w:color w:val="auto"/>
              </w:rPr>
            </w:pPr>
            <w:r>
              <w:rPr>
                <w:rFonts w:ascii="Arial" w:cs="Arial" w:eastAsia="Arial" w:hAnsi="Arial"/>
                <w:sz w:val="16"/>
                <w:szCs w:val="16"/>
                <w:b w:val="1"/>
                <w:bCs w:val="1"/>
                <w:color w:val="00162F"/>
              </w:rPr>
              <w:t>2024</w:t>
            </w:r>
          </w:p>
        </w:tc>
        <w:tc>
          <w:tcPr>
            <w:tcW w:w="8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40" w:type="dxa"/>
            <w:vAlign w:val="bottom"/>
            <w:tcBorders>
              <w:bottom w:val="single" w:sz="8" w:color="00162F"/>
            </w:tcBorders>
          </w:tcPr>
          <w:p>
            <w:pPr>
              <w:jc w:val="right"/>
              <w:ind w:right="423"/>
              <w:spacing w:after="0"/>
              <w:rPr>
                <w:sz w:val="20"/>
                <w:szCs w:val="20"/>
                <w:color w:val="auto"/>
              </w:rPr>
            </w:pPr>
            <w:r>
              <w:rPr>
                <w:rFonts w:ascii="Arial" w:cs="Arial" w:eastAsia="Arial" w:hAnsi="Arial"/>
                <w:sz w:val="16"/>
                <w:szCs w:val="16"/>
                <w:b w:val="1"/>
                <w:bCs w:val="1"/>
                <w:color w:val="00162F"/>
              </w:rPr>
              <w:t>2023</w:t>
            </w:r>
          </w:p>
        </w:tc>
      </w:tr>
      <w:tr>
        <w:trPr>
          <w:trHeight w:val="287"/>
        </w:trPr>
        <w:tc>
          <w:tcPr>
            <w:tcW w:w="6300" w:type="dxa"/>
            <w:vAlign w:val="bottom"/>
            <w:shd w:val="clear" w:color="auto" w:fill="EDEDED"/>
          </w:tcPr>
          <w:p>
            <w:pPr>
              <w:ind w:left="40"/>
              <w:spacing w:after="0"/>
              <w:rPr>
                <w:sz w:val="20"/>
                <w:szCs w:val="20"/>
                <w:color w:val="auto"/>
              </w:rPr>
            </w:pPr>
            <w:r>
              <w:rPr>
                <w:rFonts w:ascii="Arial" w:cs="Arial" w:eastAsia="Arial" w:hAnsi="Arial"/>
                <w:sz w:val="20"/>
                <w:szCs w:val="20"/>
                <w:color w:val="00162F"/>
                <w:w w:val="99"/>
              </w:rPr>
              <w:t>Cash paid for amounts included in the measurement of lease liabilities:</w:t>
            </w: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r>
      <w:tr>
        <w:trPr>
          <w:trHeight w:val="293"/>
        </w:trPr>
        <w:tc>
          <w:tcPr>
            <w:tcW w:w="6300" w:type="dxa"/>
            <w:vAlign w:val="bottom"/>
          </w:tcPr>
          <w:p>
            <w:pPr>
              <w:ind w:left="180"/>
              <w:spacing w:after="0"/>
              <w:rPr>
                <w:sz w:val="20"/>
                <w:szCs w:val="20"/>
                <w:color w:val="auto"/>
              </w:rPr>
            </w:pPr>
            <w:r>
              <w:rPr>
                <w:rFonts w:ascii="Arial" w:cs="Arial" w:eastAsia="Arial" w:hAnsi="Arial"/>
                <w:sz w:val="20"/>
                <w:szCs w:val="20"/>
                <w:color w:val="00162F"/>
              </w:rPr>
              <w:t>Operating cash flows from operating leases</w:t>
            </w:r>
          </w:p>
        </w:tc>
        <w:tc>
          <w:tcPr>
            <w:tcW w:w="360" w:type="dxa"/>
            <w:vAlign w:val="bottom"/>
          </w:tcPr>
          <w:p>
            <w:pPr>
              <w:jc w:val="right"/>
              <w:ind w:right="101"/>
              <w:spacing w:after="0"/>
              <w:rPr>
                <w:sz w:val="20"/>
                <w:szCs w:val="20"/>
                <w:color w:val="auto"/>
              </w:rPr>
            </w:pPr>
            <w:r>
              <w:rPr>
                <w:rFonts w:ascii="Arial" w:cs="Arial" w:eastAsia="Arial" w:hAnsi="Arial"/>
                <w:sz w:val="20"/>
                <w:szCs w:val="20"/>
                <w:color w:val="00162F"/>
              </w:rPr>
              <w:t>$</w:t>
            </w:r>
          </w:p>
        </w:tc>
        <w:tc>
          <w:tcPr>
            <w:tcW w:w="1060" w:type="dxa"/>
            <w:vAlign w:val="bottom"/>
          </w:tcPr>
          <w:p>
            <w:pPr>
              <w:jc w:val="right"/>
              <w:spacing w:after="0"/>
              <w:rPr>
                <w:sz w:val="20"/>
                <w:szCs w:val="20"/>
                <w:color w:val="auto"/>
              </w:rPr>
            </w:pPr>
            <w:r>
              <w:rPr>
                <w:rFonts w:ascii="Arial" w:cs="Arial" w:eastAsia="Arial" w:hAnsi="Arial"/>
                <w:sz w:val="20"/>
                <w:szCs w:val="20"/>
                <w:color w:val="00162F"/>
              </w:rPr>
              <w:t>1,647</w:t>
            </w:r>
          </w:p>
        </w:tc>
        <w:tc>
          <w:tcPr>
            <w:tcW w:w="560" w:type="dxa"/>
            <w:vAlign w:val="bottom"/>
            <w:gridSpan w:val="2"/>
          </w:tcPr>
          <w:p>
            <w:pPr>
              <w:jc w:val="right"/>
              <w:ind w:right="320"/>
              <w:spacing w:after="0"/>
              <w:rPr>
                <w:sz w:val="20"/>
                <w:szCs w:val="20"/>
                <w:color w:val="auto"/>
              </w:rPr>
            </w:pPr>
            <w:r>
              <w:rPr>
                <w:rFonts w:ascii="Arial" w:cs="Arial" w:eastAsia="Arial" w:hAnsi="Arial"/>
                <w:sz w:val="20"/>
                <w:szCs w:val="20"/>
                <w:color w:val="00162F"/>
              </w:rPr>
              <w:t>$</w:t>
            </w:r>
          </w:p>
        </w:tc>
        <w:tc>
          <w:tcPr>
            <w:tcW w:w="920" w:type="dxa"/>
            <w:vAlign w:val="bottom"/>
          </w:tcPr>
          <w:p>
            <w:pPr>
              <w:jc w:val="right"/>
              <w:spacing w:after="0"/>
              <w:rPr>
                <w:sz w:val="20"/>
                <w:szCs w:val="20"/>
                <w:color w:val="auto"/>
              </w:rPr>
            </w:pPr>
            <w:r>
              <w:rPr>
                <w:rFonts w:ascii="Arial" w:cs="Arial" w:eastAsia="Arial" w:hAnsi="Arial"/>
                <w:sz w:val="20"/>
                <w:szCs w:val="20"/>
                <w:color w:val="00162F"/>
              </w:rPr>
              <w:t>1,830</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2,033</w:t>
            </w:r>
          </w:p>
        </w:tc>
      </w:tr>
      <w:tr>
        <w:trPr>
          <w:trHeight w:val="301"/>
        </w:trPr>
        <w:tc>
          <w:tcPr>
            <w:tcW w:w="630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Operating cash flows from finance leases</w:t>
            </w: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48</w:t>
            </w: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40</w:t>
            </w: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48</w:t>
            </w:r>
          </w:p>
        </w:tc>
      </w:tr>
      <w:tr>
        <w:trPr>
          <w:trHeight w:val="293"/>
        </w:trPr>
        <w:tc>
          <w:tcPr>
            <w:tcW w:w="6300" w:type="dxa"/>
            <w:vAlign w:val="bottom"/>
          </w:tcPr>
          <w:p>
            <w:pPr>
              <w:ind w:left="180"/>
              <w:spacing w:after="0"/>
              <w:rPr>
                <w:sz w:val="20"/>
                <w:szCs w:val="20"/>
                <w:color w:val="auto"/>
              </w:rPr>
            </w:pPr>
            <w:r>
              <w:rPr>
                <w:rFonts w:ascii="Arial" w:cs="Arial" w:eastAsia="Arial" w:hAnsi="Arial"/>
                <w:sz w:val="20"/>
                <w:szCs w:val="20"/>
                <w:color w:val="00162F"/>
              </w:rPr>
              <w:t>Financing cash flows from finance leases</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122</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152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265</w:t>
            </w:r>
          </w:p>
        </w:tc>
      </w:tr>
      <w:tr>
        <w:trPr>
          <w:trHeight w:val="301"/>
        </w:trPr>
        <w:tc>
          <w:tcPr>
            <w:tcW w:w="630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r>
      <w:tr>
        <w:trPr>
          <w:trHeight w:val="290"/>
        </w:trPr>
        <w:tc>
          <w:tcPr>
            <w:tcW w:w="6300" w:type="dxa"/>
            <w:vAlign w:val="bottom"/>
          </w:tcPr>
          <w:p>
            <w:pPr>
              <w:ind w:left="40"/>
              <w:spacing w:after="0"/>
              <w:rPr>
                <w:sz w:val="20"/>
                <w:szCs w:val="20"/>
                <w:color w:val="auto"/>
              </w:rPr>
            </w:pPr>
            <w:r>
              <w:rPr>
                <w:rFonts w:ascii="Arial" w:cs="Arial" w:eastAsia="Arial" w:hAnsi="Arial"/>
                <w:sz w:val="20"/>
                <w:szCs w:val="20"/>
                <w:color w:val="00162F"/>
              </w:rPr>
              <w:t>Gain (loss) on sale leaseback transactions, net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(13)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76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-1138555</wp:posOffset>
            </wp:positionV>
            <wp:extent cx="280670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5">
                      <a:extLst>
                        <a:ext uri="{28A0092B-C50C-407E-A947-70E740481C1C}"/>
                      </a:extLst>
                    </a:blip>
                    <a:srcRect/>
                    <a:stretch>
                      <a:fillRect/>
                    </a:stretch>
                  </pic:blipFill>
                  <pic:spPr bwMode="auto">
                    <a:xfrm>
                      <a:off x="0" y="0"/>
                      <a:ext cx="2806700" cy="25400"/>
                    </a:xfrm>
                    <a:prstGeom prst="rect">
                      <a:avLst/>
                    </a:prstGeom>
                    <a:noFill/>
                  </pic:spPr>
                </pic:pic>
              </a:graphicData>
            </a:graphic>
          </wp:anchor>
        </w:drawing>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107</w:t>
      </w:r>
    </w:p>
    <w:p>
      <w:pPr>
        <w:sectPr>
          <w:pgSz w:w="11880" w:h="15480" w:orient="portrait"/>
          <w:cols w:equalWidth="0" w:num="1">
            <w:col w:w="10680"/>
          </w:cols>
          <w:pgMar w:left="600" w:top="487" w:right="600" w:bottom="0" w:gutter="0" w:footer="0" w:header="0"/>
          <w:type w:val="continuous"/>
        </w:sectPr>
      </w:pPr>
    </w:p>
    <w:bookmarkStart w:id="108" w:name="page109"/>
    <w:bookmarkEnd w:id="108"/>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Maturities of lease liabilities were as follows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660" w:type="dxa"/>
            <w:vAlign w:val="bottom"/>
            <w:tcBorders>
              <w:bottom w:val="single" w:sz="8" w:color="00162F"/>
            </w:tcBorders>
            <w:gridSpan w:val="5"/>
          </w:tcPr>
          <w:p>
            <w:pPr>
              <w:jc w:val="right"/>
              <w:spacing w:after="0"/>
              <w:rPr>
                <w:sz w:val="20"/>
                <w:szCs w:val="20"/>
                <w:color w:val="auto"/>
              </w:rPr>
            </w:pPr>
            <w:r>
              <w:rPr>
                <w:rFonts w:ascii="Arial" w:cs="Arial" w:eastAsia="Arial" w:hAnsi="Arial"/>
                <w:sz w:val="16"/>
                <w:szCs w:val="16"/>
                <w:b w:val="1"/>
                <w:bCs w:val="1"/>
                <w:color w:val="00162F"/>
              </w:rPr>
              <w:t>December 31, 2025</w:t>
            </w:r>
          </w:p>
        </w:tc>
        <w:tc>
          <w:tcPr>
            <w:tcW w:w="940" w:type="dxa"/>
            <w:vAlign w:val="bottom"/>
            <w:tcBorders>
              <w:bottom w:val="single" w:sz="8" w:color="00162F"/>
            </w:tcBorders>
          </w:tcPr>
          <w:p>
            <w:pPr>
              <w:spacing w:after="0"/>
              <w:rPr>
                <w:sz w:val="18"/>
                <w:szCs w:val="18"/>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1040" w:type="dxa"/>
            <w:vAlign w:val="bottom"/>
            <w:tcBorders>
              <w:bottom w:val="single" w:sz="8" w:color="EDEDED"/>
            </w:tcBorders>
          </w:tcPr>
          <w:p>
            <w:pPr>
              <w:spacing w:after="0"/>
              <w:rPr>
                <w:sz w:val="20"/>
                <w:szCs w:val="20"/>
                <w:color w:val="auto"/>
              </w:rPr>
            </w:pPr>
          </w:p>
        </w:tc>
        <w:tc>
          <w:tcPr>
            <w:tcW w:w="1680" w:type="dxa"/>
            <w:vAlign w:val="bottom"/>
            <w:tcBorders>
              <w:bottom w:val="single" w:sz="8" w:color="00162F"/>
            </w:tcBorders>
            <w:gridSpan w:val="4"/>
          </w:tcPr>
          <w:p>
            <w:pPr>
              <w:jc w:val="right"/>
              <w:ind w:right="83"/>
              <w:spacing w:after="0"/>
              <w:rPr>
                <w:sz w:val="20"/>
                <w:szCs w:val="20"/>
                <w:color w:val="auto"/>
              </w:rPr>
            </w:pPr>
            <w:r>
              <w:rPr>
                <w:rFonts w:ascii="Arial" w:cs="Arial" w:eastAsia="Arial" w:hAnsi="Arial"/>
                <w:sz w:val="16"/>
                <w:szCs w:val="16"/>
                <w:b w:val="1"/>
                <w:bCs w:val="1"/>
                <w:color w:val="00162F"/>
              </w:rPr>
              <w:t>Operating Leases</w:t>
            </w:r>
          </w:p>
        </w:tc>
        <w:tc>
          <w:tcPr>
            <w:tcW w:w="6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60" w:type="dxa"/>
            <w:vAlign w:val="bottom"/>
            <w:tcBorders>
              <w:bottom w:val="single" w:sz="8" w:color="00162F"/>
            </w:tcBorders>
          </w:tcPr>
          <w:p>
            <w:pPr>
              <w:spacing w:after="0"/>
              <w:rPr>
                <w:sz w:val="20"/>
                <w:szCs w:val="20"/>
                <w:color w:val="auto"/>
              </w:rPr>
            </w:pPr>
          </w:p>
        </w:tc>
        <w:tc>
          <w:tcPr>
            <w:tcW w:w="1440" w:type="dxa"/>
            <w:vAlign w:val="bottom"/>
            <w:tcBorders>
              <w:bottom w:val="single" w:sz="8" w:color="00162F"/>
            </w:tcBorders>
            <w:gridSpan w:val="2"/>
          </w:tcPr>
          <w:p>
            <w:pPr>
              <w:jc w:val="right"/>
              <w:ind w:right="142"/>
              <w:spacing w:after="0"/>
              <w:rPr>
                <w:sz w:val="20"/>
                <w:szCs w:val="20"/>
                <w:color w:val="auto"/>
              </w:rPr>
            </w:pPr>
            <w:r>
              <w:rPr>
                <w:rFonts w:ascii="Arial" w:cs="Arial" w:eastAsia="Arial" w:hAnsi="Arial"/>
                <w:sz w:val="16"/>
                <w:szCs w:val="16"/>
                <w:b w:val="1"/>
                <w:bCs w:val="1"/>
                <w:color w:val="00162F"/>
                <w:w w:val="98"/>
              </w:rPr>
              <w:t>Finance Leases</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2026</w:t>
            </w:r>
          </w:p>
        </w:tc>
        <w:tc>
          <w:tcPr>
            <w:tcW w:w="1040" w:type="dxa"/>
            <w:vAlign w:val="bottom"/>
            <w:shd w:val="clear" w:color="auto" w:fill="EDEDED"/>
          </w:tcPr>
          <w:p>
            <w:pPr>
              <w:spacing w:after="0"/>
              <w:rPr>
                <w:sz w:val="24"/>
                <w:szCs w:val="24"/>
                <w:color w:val="auto"/>
              </w:rPr>
            </w:pPr>
          </w:p>
        </w:tc>
        <w:tc>
          <w:tcPr>
            <w:tcW w:w="400" w:type="dxa"/>
            <w:vAlign w:val="bottom"/>
            <w:shd w:val="clear" w:color="auto" w:fill="EDEDED"/>
          </w:tcPr>
          <w:p>
            <w:pPr>
              <w:jc w:val="right"/>
              <w:ind w:right="146"/>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1,501</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164</w:t>
            </w:r>
          </w:p>
        </w:tc>
      </w:tr>
      <w:tr>
        <w:trPr>
          <w:trHeight w:val="290"/>
        </w:trPr>
        <w:tc>
          <w:tcPr>
            <w:tcW w:w="6220" w:type="dxa"/>
            <w:vAlign w:val="bottom"/>
          </w:tcPr>
          <w:p>
            <w:pPr>
              <w:ind w:left="40"/>
              <w:spacing w:after="0"/>
              <w:rPr>
                <w:sz w:val="20"/>
                <w:szCs w:val="20"/>
                <w:color w:val="auto"/>
              </w:rPr>
            </w:pPr>
            <w:r>
              <w:rPr>
                <w:rFonts w:ascii="Arial" w:cs="Arial" w:eastAsia="Arial" w:hAnsi="Arial"/>
                <w:sz w:val="20"/>
                <w:szCs w:val="20"/>
                <w:color w:val="00162F"/>
              </w:rPr>
              <w:t>2027</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1,367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0162F"/>
              </w:rPr>
              <w:t>152</w:t>
            </w:r>
          </w:p>
        </w:tc>
      </w:tr>
      <w:tr>
        <w:trPr>
          <w:trHeight w:val="304"/>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2028</w:t>
            </w:r>
          </w:p>
        </w:tc>
        <w:tc>
          <w:tcPr>
            <w:tcW w:w="104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1,246</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110</w:t>
            </w:r>
          </w:p>
        </w:tc>
      </w:tr>
      <w:tr>
        <w:trPr>
          <w:trHeight w:val="290"/>
        </w:trPr>
        <w:tc>
          <w:tcPr>
            <w:tcW w:w="6220" w:type="dxa"/>
            <w:vAlign w:val="bottom"/>
          </w:tcPr>
          <w:p>
            <w:pPr>
              <w:ind w:left="40"/>
              <w:spacing w:after="0"/>
              <w:rPr>
                <w:sz w:val="20"/>
                <w:szCs w:val="20"/>
                <w:color w:val="auto"/>
              </w:rPr>
            </w:pPr>
            <w:r>
              <w:rPr>
                <w:rFonts w:ascii="Arial" w:cs="Arial" w:eastAsia="Arial" w:hAnsi="Arial"/>
                <w:sz w:val="20"/>
                <w:szCs w:val="20"/>
                <w:color w:val="00162F"/>
              </w:rPr>
              <w:t>2029</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1,138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0162F"/>
              </w:rPr>
              <w:t>102</w:t>
            </w:r>
          </w:p>
        </w:tc>
      </w:tr>
      <w:tr>
        <w:trPr>
          <w:trHeight w:val="304"/>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2030</w:t>
            </w:r>
          </w:p>
        </w:tc>
        <w:tc>
          <w:tcPr>
            <w:tcW w:w="104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954</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100</w:t>
            </w:r>
          </w:p>
        </w:tc>
      </w:tr>
      <w:tr>
        <w:trPr>
          <w:trHeight w:val="287"/>
        </w:trPr>
        <w:tc>
          <w:tcPr>
            <w:tcW w:w="622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2031 and thereafter</w:t>
            </w:r>
          </w:p>
        </w:tc>
        <w:tc>
          <w:tcPr>
            <w:tcW w:w="1040" w:type="dxa"/>
            <w:vAlign w:val="bottom"/>
            <w:tcBorders>
              <w:bottom w:val="single" w:sz="8" w:color="EDEDED"/>
            </w:tcBorders>
          </w:tcPr>
          <w:p>
            <w:pPr>
              <w:spacing w:after="0"/>
              <w:rPr>
                <w:sz w:val="24"/>
                <w:szCs w:val="24"/>
                <w:color w:val="auto"/>
              </w:rPr>
            </w:pPr>
          </w:p>
        </w:tc>
        <w:tc>
          <w:tcPr>
            <w:tcW w:w="400" w:type="dxa"/>
            <w:vAlign w:val="bottom"/>
            <w:tcBorders>
              <w:bottom w:val="single" w:sz="8" w:color="00162F"/>
            </w:tcBorders>
          </w:tcPr>
          <w:p>
            <w:pPr>
              <w:spacing w:after="0"/>
              <w:rPr>
                <w:sz w:val="24"/>
                <w:szCs w:val="24"/>
                <w:color w:val="auto"/>
              </w:rPr>
            </w:pPr>
          </w:p>
        </w:tc>
        <w:tc>
          <w:tcPr>
            <w:tcW w:w="80" w:type="dxa"/>
            <w:vAlign w:val="bottom"/>
            <w:tcBorders>
              <w:bottom w:val="single" w:sz="8" w:color="00162F"/>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8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3,022</w:t>
            </w:r>
          </w:p>
        </w:tc>
        <w:tc>
          <w:tcPr>
            <w:tcW w:w="6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60" w:type="dxa"/>
            <w:vAlign w:val="bottom"/>
            <w:tcBorders>
              <w:bottom w:val="single" w:sz="8" w:color="00162F"/>
            </w:tcBorders>
          </w:tcPr>
          <w:p>
            <w:pPr>
              <w:spacing w:after="0"/>
              <w:rPr>
                <w:sz w:val="24"/>
                <w:szCs w:val="24"/>
                <w:color w:val="auto"/>
              </w:rPr>
            </w:pPr>
          </w:p>
        </w:tc>
        <w:tc>
          <w:tcPr>
            <w:tcW w:w="500" w:type="dxa"/>
            <w:vAlign w:val="bottom"/>
            <w:tcBorders>
              <w:bottom w:val="single" w:sz="8" w:color="00162F"/>
            </w:tcBorders>
          </w:tcPr>
          <w:p>
            <w:pPr>
              <w:spacing w:after="0"/>
              <w:rPr>
                <w:sz w:val="24"/>
                <w:szCs w:val="24"/>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310</w:t>
            </w:r>
          </w:p>
        </w:tc>
      </w:tr>
      <w:tr>
        <w:trPr>
          <w:trHeight w:val="287"/>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Total lease payments</w:t>
            </w:r>
          </w:p>
        </w:tc>
        <w:tc>
          <w:tcPr>
            <w:tcW w:w="104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9,228</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938</w:t>
            </w:r>
          </w:p>
        </w:tc>
      </w:tr>
      <w:tr>
        <w:trPr>
          <w:trHeight w:val="287"/>
        </w:trPr>
        <w:tc>
          <w:tcPr>
            <w:tcW w:w="622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Less: Imputed interest</w:t>
            </w:r>
          </w:p>
        </w:tc>
        <w:tc>
          <w:tcPr>
            <w:tcW w:w="1040" w:type="dxa"/>
            <w:vAlign w:val="bottom"/>
            <w:tcBorders>
              <w:bottom w:val="single" w:sz="8" w:color="EDEDED"/>
            </w:tcBorders>
          </w:tcPr>
          <w:p>
            <w:pPr>
              <w:spacing w:after="0"/>
              <w:rPr>
                <w:sz w:val="24"/>
                <w:szCs w:val="24"/>
                <w:color w:val="auto"/>
              </w:rPr>
            </w:pPr>
          </w:p>
        </w:tc>
        <w:tc>
          <w:tcPr>
            <w:tcW w:w="400" w:type="dxa"/>
            <w:vAlign w:val="bottom"/>
            <w:tcBorders>
              <w:bottom w:val="single" w:sz="8" w:color="00162F"/>
            </w:tcBorders>
          </w:tcPr>
          <w:p>
            <w:pPr>
              <w:spacing w:after="0"/>
              <w:rPr>
                <w:sz w:val="24"/>
                <w:szCs w:val="24"/>
                <w:color w:val="auto"/>
              </w:rPr>
            </w:pPr>
          </w:p>
        </w:tc>
        <w:tc>
          <w:tcPr>
            <w:tcW w:w="80" w:type="dxa"/>
            <w:vAlign w:val="bottom"/>
            <w:tcBorders>
              <w:bottom w:val="single" w:sz="8" w:color="00162F"/>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8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(2,265)</w:t>
            </w:r>
          </w:p>
        </w:tc>
        <w:tc>
          <w:tcPr>
            <w:tcW w:w="6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60" w:type="dxa"/>
            <w:vAlign w:val="bottom"/>
            <w:tcBorders>
              <w:bottom w:val="single" w:sz="8" w:color="00162F"/>
            </w:tcBorders>
          </w:tcPr>
          <w:p>
            <w:pPr>
              <w:spacing w:after="0"/>
              <w:rPr>
                <w:sz w:val="24"/>
                <w:szCs w:val="24"/>
                <w:color w:val="auto"/>
              </w:rPr>
            </w:pPr>
          </w:p>
        </w:tc>
        <w:tc>
          <w:tcPr>
            <w:tcW w:w="500" w:type="dxa"/>
            <w:vAlign w:val="bottom"/>
            <w:tcBorders>
              <w:bottom w:val="single" w:sz="8" w:color="00162F"/>
            </w:tcBorders>
          </w:tcPr>
          <w:p>
            <w:pPr>
              <w:spacing w:after="0"/>
              <w:rPr>
                <w:sz w:val="24"/>
                <w:szCs w:val="24"/>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(211)</w:t>
            </w:r>
          </w:p>
        </w:tc>
      </w:tr>
      <w:tr>
        <w:trPr>
          <w:trHeight w:val="287"/>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Total lease obligations</w:t>
            </w:r>
          </w:p>
        </w:tc>
        <w:tc>
          <w:tcPr>
            <w:tcW w:w="104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6,963</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727</w:t>
            </w:r>
          </w:p>
        </w:tc>
      </w:tr>
      <w:tr>
        <w:trPr>
          <w:trHeight w:val="287"/>
        </w:trPr>
        <w:tc>
          <w:tcPr>
            <w:tcW w:w="622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Less: Current obligations</w:t>
            </w:r>
          </w:p>
        </w:tc>
        <w:tc>
          <w:tcPr>
            <w:tcW w:w="1040" w:type="dxa"/>
            <w:vAlign w:val="bottom"/>
            <w:tcBorders>
              <w:bottom w:val="single" w:sz="8" w:color="EDEDED"/>
            </w:tcBorders>
          </w:tcPr>
          <w:p>
            <w:pPr>
              <w:spacing w:after="0"/>
              <w:rPr>
                <w:sz w:val="24"/>
                <w:szCs w:val="24"/>
                <w:color w:val="auto"/>
              </w:rPr>
            </w:pPr>
          </w:p>
        </w:tc>
        <w:tc>
          <w:tcPr>
            <w:tcW w:w="400" w:type="dxa"/>
            <w:vAlign w:val="bottom"/>
            <w:tcBorders>
              <w:bottom w:val="single" w:sz="8" w:color="00162F"/>
            </w:tcBorders>
          </w:tcPr>
          <w:p>
            <w:pPr>
              <w:spacing w:after="0"/>
              <w:rPr>
                <w:sz w:val="24"/>
                <w:szCs w:val="24"/>
                <w:color w:val="auto"/>
              </w:rPr>
            </w:pPr>
          </w:p>
        </w:tc>
        <w:tc>
          <w:tcPr>
            <w:tcW w:w="80" w:type="dxa"/>
            <w:vAlign w:val="bottom"/>
            <w:tcBorders>
              <w:bottom w:val="single" w:sz="8" w:color="00162F"/>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8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(1,058)</w:t>
            </w:r>
          </w:p>
        </w:tc>
        <w:tc>
          <w:tcPr>
            <w:tcW w:w="6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60" w:type="dxa"/>
            <w:vAlign w:val="bottom"/>
            <w:tcBorders>
              <w:bottom w:val="single" w:sz="8" w:color="00162F"/>
            </w:tcBorders>
          </w:tcPr>
          <w:p>
            <w:pPr>
              <w:spacing w:after="0"/>
              <w:rPr>
                <w:sz w:val="24"/>
                <w:szCs w:val="24"/>
                <w:color w:val="auto"/>
              </w:rPr>
            </w:pPr>
          </w:p>
        </w:tc>
        <w:tc>
          <w:tcPr>
            <w:tcW w:w="500" w:type="dxa"/>
            <w:vAlign w:val="bottom"/>
            <w:tcBorders>
              <w:bottom w:val="single" w:sz="8" w:color="00162F"/>
            </w:tcBorders>
          </w:tcPr>
          <w:p>
            <w:pPr>
              <w:spacing w:after="0"/>
              <w:rPr>
                <w:sz w:val="24"/>
                <w:szCs w:val="24"/>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(117)</w:t>
            </w:r>
          </w:p>
        </w:tc>
      </w:tr>
      <w:tr>
        <w:trPr>
          <w:trHeight w:val="297"/>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Long-term lease obligations</w:t>
            </w:r>
          </w:p>
        </w:tc>
        <w:tc>
          <w:tcPr>
            <w:tcW w:w="1040" w:type="dxa"/>
            <w:vAlign w:val="bottom"/>
            <w:shd w:val="clear" w:color="auto" w:fill="EDEDED"/>
          </w:tcPr>
          <w:p>
            <w:pPr>
              <w:spacing w:after="0"/>
              <w:rPr>
                <w:sz w:val="24"/>
                <w:szCs w:val="24"/>
                <w:color w:val="auto"/>
              </w:rPr>
            </w:pPr>
          </w:p>
        </w:tc>
        <w:tc>
          <w:tcPr>
            <w:tcW w:w="400" w:type="dxa"/>
            <w:vAlign w:val="bottom"/>
            <w:shd w:val="clear" w:color="auto" w:fill="EDEDED"/>
          </w:tcPr>
          <w:p>
            <w:pPr>
              <w:jc w:val="right"/>
              <w:ind w:right="146"/>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5,905</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610</w:t>
            </w:r>
          </w:p>
        </w:tc>
      </w:tr>
      <w:tr>
        <w:trPr>
          <w:trHeight w:val="555"/>
        </w:trPr>
        <w:tc>
          <w:tcPr>
            <w:tcW w:w="6220" w:type="dxa"/>
            <w:vAlign w:val="bottom"/>
            <w:tcBorders>
              <w:top w:val="single" w:sz="8" w:color="EDEDED"/>
            </w:tcBorders>
          </w:tcPr>
          <w:p>
            <w:pPr>
              <w:spacing w:after="0"/>
              <w:rPr>
                <w:sz w:val="20"/>
                <w:szCs w:val="20"/>
                <w:color w:val="auto"/>
              </w:rPr>
            </w:pPr>
            <w:r>
              <w:rPr>
                <w:rFonts w:ascii="Arial" w:cs="Arial" w:eastAsia="Arial" w:hAnsi="Arial"/>
                <w:sz w:val="20"/>
                <w:szCs w:val="20"/>
                <w:b w:val="1"/>
                <w:bCs w:val="1"/>
                <w:color w:val="00162F"/>
              </w:rPr>
              <w:t>6. Income Taxes</w:t>
            </w:r>
          </w:p>
        </w:tc>
        <w:tc>
          <w:tcPr>
            <w:tcW w:w="1040" w:type="dxa"/>
            <w:vAlign w:val="bottom"/>
            <w:tcBorders>
              <w:top w:val="single" w:sz="8" w:color="EDEDED"/>
            </w:tcBorders>
          </w:tcPr>
          <w:p>
            <w:pPr>
              <w:spacing w:after="0"/>
              <w:rPr>
                <w:sz w:val="24"/>
                <w:szCs w:val="24"/>
                <w:color w:val="auto"/>
              </w:rPr>
            </w:pPr>
          </w:p>
        </w:tc>
        <w:tc>
          <w:tcPr>
            <w:tcW w:w="400" w:type="dxa"/>
            <w:vAlign w:val="bottom"/>
            <w:tcBorders>
              <w:top w:val="single" w:sz="8" w:color="00162F"/>
            </w:tcBorders>
          </w:tcPr>
          <w:p>
            <w:pPr>
              <w:spacing w:after="0"/>
              <w:rPr>
                <w:sz w:val="24"/>
                <w:szCs w:val="24"/>
                <w:color w:val="auto"/>
              </w:rPr>
            </w:pPr>
          </w:p>
        </w:tc>
        <w:tc>
          <w:tcPr>
            <w:tcW w:w="80" w:type="dxa"/>
            <w:vAlign w:val="bottom"/>
            <w:tcBorders>
              <w:top w:val="single" w:sz="8" w:color="00162F"/>
            </w:tcBorders>
          </w:tcPr>
          <w:p>
            <w:pPr>
              <w:spacing w:after="0"/>
              <w:rPr>
                <w:sz w:val="24"/>
                <w:szCs w:val="24"/>
                <w:color w:val="auto"/>
              </w:rPr>
            </w:pPr>
          </w:p>
        </w:tc>
        <w:tc>
          <w:tcPr>
            <w:tcW w:w="340" w:type="dxa"/>
            <w:vAlign w:val="bottom"/>
            <w:tcBorders>
              <w:top w:val="single" w:sz="8" w:color="00162F"/>
            </w:tcBorders>
          </w:tcPr>
          <w:p>
            <w:pPr>
              <w:spacing w:after="0"/>
              <w:rPr>
                <w:sz w:val="24"/>
                <w:szCs w:val="24"/>
                <w:color w:val="auto"/>
              </w:rPr>
            </w:pPr>
          </w:p>
        </w:tc>
        <w:tc>
          <w:tcPr>
            <w:tcW w:w="860" w:type="dxa"/>
            <w:vAlign w:val="bottom"/>
            <w:tcBorders>
              <w:top w:val="single" w:sz="8" w:color="00162F"/>
            </w:tcBorders>
          </w:tcPr>
          <w:p>
            <w:pPr>
              <w:spacing w:after="0"/>
              <w:rPr>
                <w:sz w:val="24"/>
                <w:szCs w:val="24"/>
                <w:color w:val="auto"/>
              </w:rPr>
            </w:pPr>
          </w:p>
        </w:tc>
        <w:tc>
          <w:tcPr>
            <w:tcW w:w="60" w:type="dxa"/>
            <w:vAlign w:val="bottom"/>
            <w:tcBorders>
              <w:top w:val="single" w:sz="8" w:color="EDEDED"/>
            </w:tcBorders>
          </w:tcPr>
          <w:p>
            <w:pPr>
              <w:spacing w:after="0"/>
              <w:rPr>
                <w:sz w:val="24"/>
                <w:szCs w:val="24"/>
                <w:color w:val="auto"/>
              </w:rPr>
            </w:pPr>
          </w:p>
        </w:tc>
        <w:tc>
          <w:tcPr>
            <w:tcW w:w="180" w:type="dxa"/>
            <w:vAlign w:val="bottom"/>
            <w:tcBorders>
              <w:top w:val="single" w:sz="8" w:color="00162F"/>
            </w:tcBorders>
          </w:tcPr>
          <w:p>
            <w:pPr>
              <w:spacing w:after="0"/>
              <w:rPr>
                <w:sz w:val="24"/>
                <w:szCs w:val="24"/>
                <w:color w:val="auto"/>
              </w:rPr>
            </w:pPr>
          </w:p>
        </w:tc>
        <w:tc>
          <w:tcPr>
            <w:tcW w:w="60" w:type="dxa"/>
            <w:vAlign w:val="bottom"/>
            <w:tcBorders>
              <w:top w:val="single" w:sz="8" w:color="00162F"/>
            </w:tcBorders>
          </w:tcPr>
          <w:p>
            <w:pPr>
              <w:spacing w:after="0"/>
              <w:rPr>
                <w:sz w:val="24"/>
                <w:szCs w:val="24"/>
                <w:color w:val="auto"/>
              </w:rPr>
            </w:pPr>
          </w:p>
        </w:tc>
        <w:tc>
          <w:tcPr>
            <w:tcW w:w="500" w:type="dxa"/>
            <w:vAlign w:val="bottom"/>
            <w:tcBorders>
              <w:top w:val="single" w:sz="8" w:color="00162F"/>
            </w:tcBorders>
          </w:tcPr>
          <w:p>
            <w:pPr>
              <w:spacing w:after="0"/>
              <w:rPr>
                <w:sz w:val="24"/>
                <w:szCs w:val="24"/>
                <w:color w:val="auto"/>
              </w:rPr>
            </w:pPr>
          </w:p>
        </w:tc>
        <w:tc>
          <w:tcPr>
            <w:tcW w:w="940" w:type="dxa"/>
            <w:vAlign w:val="bottom"/>
            <w:tcBorders>
              <w:top w:val="single" w:sz="8" w:color="00162F"/>
            </w:tcBorders>
          </w:tcPr>
          <w:p>
            <w:pPr>
              <w:spacing w:after="0"/>
              <w:rPr>
                <w:sz w:val="24"/>
                <w:szCs w:val="24"/>
                <w:color w:val="auto"/>
              </w:rPr>
            </w:pPr>
          </w:p>
        </w:tc>
      </w:tr>
      <w:tr>
        <w:trPr>
          <w:trHeight w:val="317"/>
        </w:trPr>
        <w:tc>
          <w:tcPr>
            <w:tcW w:w="7260" w:type="dxa"/>
            <w:vAlign w:val="bottom"/>
            <w:gridSpan w:val="2"/>
          </w:tcPr>
          <w:p>
            <w:pPr>
              <w:ind w:left="260"/>
              <w:spacing w:after="0"/>
              <w:rPr>
                <w:sz w:val="20"/>
                <w:szCs w:val="20"/>
                <w:color w:val="auto"/>
              </w:rPr>
            </w:pPr>
            <w:r>
              <w:rPr>
                <w:rFonts w:ascii="Arial" w:cs="Arial" w:eastAsia="Arial" w:hAnsi="Arial"/>
                <w:sz w:val="20"/>
                <w:szCs w:val="20"/>
                <w:color w:val="00162F"/>
              </w:rPr>
              <w:t>The significant components of the income tax provision were (in millions):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1"/>
        </w:trPr>
        <w:tc>
          <w:tcPr>
            <w:tcW w:w="6220" w:type="dxa"/>
            <w:vAlign w:val="bottom"/>
          </w:tcPr>
          <w:p>
            <w:pPr>
              <w:spacing w:after="0"/>
              <w:rPr>
                <w:sz w:val="24"/>
                <w:szCs w:val="24"/>
                <w:color w:val="auto"/>
              </w:rPr>
            </w:pPr>
          </w:p>
        </w:tc>
        <w:tc>
          <w:tcPr>
            <w:tcW w:w="1040" w:type="dxa"/>
            <w:vAlign w:val="bottom"/>
            <w:tcBorders>
              <w:bottom w:val="single" w:sz="8" w:color="00162F"/>
            </w:tcBorders>
          </w:tcPr>
          <w:p>
            <w:pPr>
              <w:spacing w:after="0"/>
              <w:rPr>
                <w:sz w:val="24"/>
                <w:szCs w:val="24"/>
                <w:color w:val="auto"/>
              </w:rPr>
            </w:pPr>
          </w:p>
        </w:tc>
        <w:tc>
          <w:tcPr>
            <w:tcW w:w="2480" w:type="dxa"/>
            <w:vAlign w:val="bottom"/>
            <w:tcBorders>
              <w:bottom w:val="single" w:sz="8" w:color="00162F"/>
            </w:tcBorders>
            <w:gridSpan w:val="8"/>
          </w:tcPr>
          <w:p>
            <w:pPr>
              <w:jc w:val="right"/>
              <w:ind w:right="231"/>
              <w:spacing w:after="0"/>
              <w:rPr>
                <w:sz w:val="20"/>
                <w:szCs w:val="20"/>
                <w:color w:val="auto"/>
              </w:rPr>
            </w:pPr>
            <w:r>
              <w:rPr>
                <w:rFonts w:ascii="Arial" w:cs="Arial" w:eastAsia="Arial" w:hAnsi="Arial"/>
                <w:sz w:val="16"/>
                <w:szCs w:val="16"/>
                <w:b w:val="1"/>
                <w:bCs w:val="1"/>
                <w:color w:val="00162F"/>
              </w:rPr>
              <w:t>Year Ended December 31,</w:t>
            </w:r>
          </w:p>
        </w:tc>
        <w:tc>
          <w:tcPr>
            <w:tcW w:w="940" w:type="dxa"/>
            <w:vAlign w:val="bottom"/>
            <w:tcBorders>
              <w:bottom w:val="single" w:sz="8" w:color="00162F"/>
            </w:tcBorders>
          </w:tcPr>
          <w:p>
            <w:pPr>
              <w:spacing w:after="0"/>
              <w:rPr>
                <w:sz w:val="24"/>
                <w:szCs w:val="24"/>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1040" w:type="dxa"/>
            <w:vAlign w:val="bottom"/>
            <w:tcBorders>
              <w:bottom w:val="single" w:sz="8" w:color="00162F"/>
            </w:tcBorders>
          </w:tcPr>
          <w:p>
            <w:pPr>
              <w:jc w:val="right"/>
              <w:ind w:right="48"/>
              <w:spacing w:after="0"/>
              <w:rPr>
                <w:sz w:val="20"/>
                <w:szCs w:val="20"/>
                <w:color w:val="auto"/>
              </w:rPr>
            </w:pPr>
            <w:r>
              <w:rPr>
                <w:rFonts w:ascii="Arial" w:cs="Arial" w:eastAsia="Arial" w:hAnsi="Arial"/>
                <w:sz w:val="16"/>
                <w:szCs w:val="16"/>
                <w:b w:val="1"/>
                <w:bCs w:val="1"/>
                <w:color w:val="00162F"/>
              </w:rPr>
              <w:t>2025</w:t>
            </w:r>
          </w:p>
        </w:tc>
        <w:tc>
          <w:tcPr>
            <w:tcW w:w="400" w:type="dxa"/>
            <w:vAlign w:val="bottom"/>
            <w:tcBorders>
              <w:bottom w:val="single" w:sz="8" w:color="00162F"/>
            </w:tcBorders>
          </w:tcPr>
          <w:p>
            <w:pPr>
              <w:spacing w:after="0"/>
              <w:rPr>
                <w:sz w:val="20"/>
                <w:szCs w:val="20"/>
                <w:color w:val="auto"/>
              </w:rPr>
            </w:pPr>
          </w:p>
        </w:tc>
        <w:tc>
          <w:tcPr>
            <w:tcW w:w="8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860" w:type="dxa"/>
            <w:vAlign w:val="bottom"/>
            <w:tcBorders>
              <w:bottom w:val="single" w:sz="8" w:color="00162F"/>
            </w:tcBorders>
          </w:tcPr>
          <w:p>
            <w:pPr>
              <w:jc w:val="right"/>
              <w:ind w:right="223"/>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00162F"/>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60" w:type="dxa"/>
            <w:vAlign w:val="bottom"/>
            <w:tcBorders>
              <w:bottom w:val="single" w:sz="8" w:color="EDEDED"/>
            </w:tcBorders>
          </w:tcPr>
          <w:p>
            <w:pPr>
              <w:spacing w:after="0"/>
              <w:rPr>
                <w:sz w:val="20"/>
                <w:szCs w:val="20"/>
                <w:color w:val="auto"/>
              </w:rPr>
            </w:pPr>
          </w:p>
        </w:tc>
        <w:tc>
          <w:tcPr>
            <w:tcW w:w="500" w:type="dxa"/>
            <w:vAlign w:val="bottom"/>
            <w:tcBorders>
              <w:bottom w:val="single" w:sz="8" w:color="00162F"/>
            </w:tcBorders>
          </w:tcPr>
          <w:p>
            <w:pPr>
              <w:spacing w:after="0"/>
              <w:rPr>
                <w:sz w:val="20"/>
                <w:szCs w:val="20"/>
                <w:color w:val="auto"/>
              </w:rPr>
            </w:pPr>
          </w:p>
        </w:tc>
        <w:tc>
          <w:tcPr>
            <w:tcW w:w="940" w:type="dxa"/>
            <w:vAlign w:val="bottom"/>
            <w:tcBorders>
              <w:bottom w:val="single" w:sz="8" w:color="00162F"/>
            </w:tcBorders>
          </w:tcPr>
          <w:p>
            <w:pPr>
              <w:jc w:val="right"/>
              <w:ind w:right="442"/>
              <w:spacing w:after="0"/>
              <w:rPr>
                <w:sz w:val="20"/>
                <w:szCs w:val="20"/>
                <w:color w:val="auto"/>
              </w:rPr>
            </w:pPr>
            <w:r>
              <w:rPr>
                <w:rFonts w:ascii="Arial" w:cs="Arial" w:eastAsia="Arial" w:hAnsi="Arial"/>
                <w:sz w:val="16"/>
                <w:szCs w:val="16"/>
                <w:b w:val="1"/>
                <w:bCs w:val="1"/>
                <w:color w:val="00162F"/>
              </w:rPr>
              <w:t>2023</w:t>
            </w:r>
          </w:p>
        </w:tc>
      </w:tr>
      <w:tr>
        <w:trPr>
          <w:trHeight w:val="267"/>
        </w:trPr>
        <w:tc>
          <w:tcPr>
            <w:tcW w:w="62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Deferred income tax provision:</w:t>
            </w:r>
          </w:p>
        </w:tc>
        <w:tc>
          <w:tcPr>
            <w:tcW w:w="1040" w:type="dxa"/>
            <w:vAlign w:val="bottom"/>
            <w:tcBorders>
              <w:bottom w:val="single" w:sz="8" w:color="EDEDED"/>
            </w:tcBorders>
            <w:shd w:val="clear" w:color="auto" w:fill="EDEDED"/>
          </w:tcPr>
          <w:p>
            <w:pPr>
              <w:spacing w:after="0"/>
              <w:rPr>
                <w:sz w:val="23"/>
                <w:szCs w:val="23"/>
                <w:color w:val="auto"/>
              </w:rPr>
            </w:pPr>
          </w:p>
        </w:tc>
        <w:tc>
          <w:tcPr>
            <w:tcW w:w="40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340" w:type="dxa"/>
            <w:vAlign w:val="bottom"/>
            <w:tcBorders>
              <w:bottom w:val="single" w:sz="8" w:color="EDEDED"/>
            </w:tcBorders>
            <w:shd w:val="clear" w:color="auto" w:fill="EDEDED"/>
          </w:tcPr>
          <w:p>
            <w:pPr>
              <w:spacing w:after="0"/>
              <w:rPr>
                <w:sz w:val="23"/>
                <w:szCs w:val="23"/>
                <w:color w:val="auto"/>
              </w:rPr>
            </w:pPr>
          </w:p>
        </w:tc>
        <w:tc>
          <w:tcPr>
            <w:tcW w:w="86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18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500" w:type="dxa"/>
            <w:vAlign w:val="bottom"/>
            <w:tcBorders>
              <w:bottom w:val="single" w:sz="8" w:color="EDEDED"/>
            </w:tcBorders>
            <w:shd w:val="clear" w:color="auto" w:fill="EDEDED"/>
          </w:tcPr>
          <w:p>
            <w:pPr>
              <w:spacing w:after="0"/>
              <w:rPr>
                <w:sz w:val="23"/>
                <w:szCs w:val="23"/>
                <w:color w:val="auto"/>
              </w:rPr>
            </w:pPr>
          </w:p>
        </w:tc>
        <w:tc>
          <w:tcPr>
            <w:tcW w:w="940" w:type="dxa"/>
            <w:vAlign w:val="bottom"/>
            <w:tcBorders>
              <w:bottom w:val="single" w:sz="8" w:color="EDEDED"/>
            </w:tcBorders>
            <w:shd w:val="clear" w:color="auto" w:fill="EDEDED"/>
          </w:tcPr>
          <w:p>
            <w:pPr>
              <w:spacing w:after="0"/>
              <w:rPr>
                <w:sz w:val="23"/>
                <w:szCs w:val="23"/>
                <w:color w:val="auto"/>
              </w:rPr>
            </w:pPr>
          </w:p>
        </w:tc>
      </w:tr>
      <w:tr>
        <w:trPr>
          <w:trHeight w:val="293"/>
        </w:trPr>
        <w:tc>
          <w:tcPr>
            <w:tcW w:w="6220" w:type="dxa"/>
            <w:vAlign w:val="bottom"/>
          </w:tcPr>
          <w:p>
            <w:pPr>
              <w:ind w:left="180"/>
              <w:spacing w:after="0"/>
              <w:rPr>
                <w:sz w:val="20"/>
                <w:szCs w:val="20"/>
                <w:color w:val="auto"/>
              </w:rPr>
            </w:pPr>
            <w:r>
              <w:rPr>
                <w:rFonts w:ascii="Arial" w:cs="Arial" w:eastAsia="Arial" w:hAnsi="Arial"/>
                <w:sz w:val="20"/>
                <w:szCs w:val="20"/>
                <w:color w:val="00162F"/>
              </w:rPr>
              <w:t>Federal</w:t>
            </w:r>
          </w:p>
        </w:tc>
        <w:tc>
          <w:tcPr>
            <w:tcW w:w="1040" w:type="dxa"/>
            <w:vAlign w:val="bottom"/>
          </w:tcPr>
          <w:p>
            <w:pPr>
              <w:jc w:val="right"/>
              <w:ind w:right="788"/>
              <w:spacing w:after="0"/>
              <w:rPr>
                <w:sz w:val="20"/>
                <w:szCs w:val="20"/>
                <w:color w:val="auto"/>
              </w:rPr>
            </w:pPr>
            <w:r>
              <w:rPr>
                <w:rFonts w:ascii="Arial" w:cs="Arial" w:eastAsia="Arial" w:hAnsi="Arial"/>
                <w:sz w:val="20"/>
                <w:szCs w:val="20"/>
                <w:color w:val="00162F"/>
              </w:rPr>
              <w:t>$</w:t>
            </w:r>
          </w:p>
        </w:tc>
        <w:tc>
          <w:tcPr>
            <w:tcW w:w="400" w:type="dxa"/>
            <w:vAlign w:val="bottom"/>
          </w:tcPr>
          <w:p>
            <w:pPr>
              <w:jc w:val="right"/>
              <w:spacing w:after="0"/>
              <w:rPr>
                <w:sz w:val="20"/>
                <w:szCs w:val="20"/>
                <w:color w:val="auto"/>
              </w:rPr>
            </w:pPr>
            <w:r>
              <w:rPr>
                <w:rFonts w:ascii="Arial" w:cs="Arial" w:eastAsia="Arial" w:hAnsi="Arial"/>
                <w:sz w:val="20"/>
                <w:szCs w:val="20"/>
                <w:color w:val="00162F"/>
              </w:rPr>
              <w:t>72</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gridSpan w:val="3"/>
          </w:tcPr>
          <w:p>
            <w:pPr>
              <w:jc w:val="right"/>
              <w:ind w:right="100"/>
              <w:spacing w:after="0"/>
              <w:rPr>
                <w:sz w:val="20"/>
                <w:szCs w:val="20"/>
                <w:color w:val="auto"/>
              </w:rPr>
            </w:pPr>
            <w:r>
              <w:rPr>
                <w:rFonts w:ascii="Arial" w:cs="Arial" w:eastAsia="Arial" w:hAnsi="Arial"/>
                <w:sz w:val="20"/>
                <w:szCs w:val="20"/>
                <w:color w:val="00162F"/>
              </w:rPr>
              <w:t>285</w:t>
            </w:r>
          </w:p>
        </w:tc>
        <w:tc>
          <w:tcPr>
            <w:tcW w:w="560" w:type="dxa"/>
            <w:vAlign w:val="bottom"/>
            <w:gridSpan w:val="2"/>
          </w:tcPr>
          <w:p>
            <w:pPr>
              <w:jc w:val="right"/>
              <w:ind w:right="251"/>
              <w:spacing w:after="0"/>
              <w:rPr>
                <w:sz w:val="20"/>
                <w:szCs w:val="20"/>
                <w:color w:val="auto"/>
              </w:rPr>
            </w:pPr>
            <w:r>
              <w:rPr>
                <w:rFonts w:ascii="Arial" w:cs="Arial" w:eastAsia="Arial" w:hAnsi="Arial"/>
                <w:sz w:val="20"/>
                <w:szCs w:val="20"/>
                <w:color w:val="00162F"/>
              </w:rPr>
              <w:t>$</w:t>
            </w:r>
          </w:p>
        </w:tc>
        <w:tc>
          <w:tcPr>
            <w:tcW w:w="940" w:type="dxa"/>
            <w:vAlign w:val="bottom"/>
          </w:tcPr>
          <w:p>
            <w:pPr>
              <w:jc w:val="right"/>
              <w:spacing w:after="0"/>
              <w:rPr>
                <w:sz w:val="20"/>
                <w:szCs w:val="20"/>
                <w:color w:val="auto"/>
              </w:rPr>
            </w:pPr>
            <w:r>
              <w:rPr>
                <w:rFonts w:ascii="Arial" w:cs="Arial" w:eastAsia="Arial" w:hAnsi="Arial"/>
                <w:sz w:val="20"/>
                <w:szCs w:val="20"/>
                <w:color w:val="00162F"/>
              </w:rPr>
              <w:t>268</w:t>
            </w:r>
          </w:p>
        </w:tc>
      </w:tr>
      <w:tr>
        <w:trPr>
          <w:trHeight w:val="311"/>
        </w:trPr>
        <w:tc>
          <w:tcPr>
            <w:tcW w:w="622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State and local</w:t>
            </w:r>
          </w:p>
        </w:tc>
        <w:tc>
          <w:tcPr>
            <w:tcW w:w="1040" w:type="dxa"/>
            <w:vAlign w:val="bottom"/>
            <w:tcBorders>
              <w:bottom w:val="single" w:sz="8" w:color="00162F"/>
            </w:tcBorders>
            <w:shd w:val="clear" w:color="auto" w:fill="EDEDED"/>
          </w:tcPr>
          <w:p>
            <w:pPr>
              <w:spacing w:after="0"/>
              <w:rPr>
                <w:sz w:val="24"/>
                <w:szCs w:val="24"/>
                <w:color w:val="auto"/>
              </w:rPr>
            </w:pPr>
          </w:p>
        </w:tc>
        <w:tc>
          <w:tcPr>
            <w:tcW w:w="4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gridSpan w:val="3"/>
            <w:shd w:val="clear" w:color="auto" w:fill="EDEDED"/>
          </w:tcPr>
          <w:p>
            <w:pPr>
              <w:jc w:val="right"/>
              <w:ind w:right="100"/>
              <w:spacing w:after="0"/>
              <w:rPr>
                <w:sz w:val="20"/>
                <w:szCs w:val="20"/>
                <w:color w:val="auto"/>
              </w:rPr>
            </w:pPr>
            <w:r>
              <w:rPr>
                <w:rFonts w:ascii="Arial" w:cs="Arial" w:eastAsia="Arial" w:hAnsi="Arial"/>
                <w:sz w:val="20"/>
                <w:szCs w:val="20"/>
                <w:color w:val="00162F"/>
              </w:rPr>
              <w:t>23</w:t>
            </w:r>
          </w:p>
        </w:tc>
        <w:tc>
          <w:tcPr>
            <w:tcW w:w="60" w:type="dxa"/>
            <w:vAlign w:val="bottom"/>
            <w:tcBorders>
              <w:bottom w:val="single" w:sz="8" w:color="EDEDED"/>
            </w:tcBorders>
            <w:shd w:val="clear" w:color="auto" w:fill="EDEDED"/>
          </w:tcPr>
          <w:p>
            <w:pPr>
              <w:spacing w:after="0"/>
              <w:rPr>
                <w:sz w:val="24"/>
                <w:szCs w:val="24"/>
                <w:color w:val="auto"/>
              </w:rPr>
            </w:pPr>
          </w:p>
        </w:tc>
        <w:tc>
          <w:tcPr>
            <w:tcW w:w="500" w:type="dxa"/>
            <w:vAlign w:val="bottom"/>
            <w:tcBorders>
              <w:bottom w:val="single" w:sz="8" w:color="00162F"/>
            </w:tcBorders>
            <w:shd w:val="clear" w:color="auto" w:fill="EDEDED"/>
          </w:tcPr>
          <w:p>
            <w:pPr>
              <w:spacing w:after="0"/>
              <w:rPr>
                <w:sz w:val="24"/>
                <w:szCs w:val="24"/>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31</w:t>
            </w:r>
          </w:p>
        </w:tc>
      </w:tr>
      <w:tr>
        <w:trPr>
          <w:trHeight w:val="257"/>
        </w:trPr>
        <w:tc>
          <w:tcPr>
            <w:tcW w:w="6220" w:type="dxa"/>
            <w:vAlign w:val="bottom"/>
            <w:tcBorders>
              <w:bottom w:val="single" w:sz="8" w:color="EDEDED"/>
            </w:tcBorders>
          </w:tcPr>
          <w:p>
            <w:pPr>
              <w:ind w:left="400"/>
              <w:spacing w:after="0"/>
              <w:rPr>
                <w:sz w:val="20"/>
                <w:szCs w:val="20"/>
                <w:color w:val="auto"/>
              </w:rPr>
            </w:pPr>
            <w:r>
              <w:rPr>
                <w:rFonts w:ascii="Arial" w:cs="Arial" w:eastAsia="Arial" w:hAnsi="Arial"/>
                <w:sz w:val="20"/>
                <w:szCs w:val="20"/>
                <w:color w:val="00162F"/>
              </w:rPr>
              <w:t>Deferred income tax provision</w:t>
            </w:r>
          </w:p>
        </w:tc>
        <w:tc>
          <w:tcPr>
            <w:tcW w:w="1040" w:type="dxa"/>
            <w:vAlign w:val="bottom"/>
            <w:tcBorders>
              <w:bottom w:val="single" w:sz="8" w:color="00162F"/>
            </w:tcBorders>
          </w:tcPr>
          <w:p>
            <w:pPr>
              <w:spacing w:after="0"/>
              <w:rPr>
                <w:sz w:val="22"/>
                <w:szCs w:val="22"/>
                <w:color w:val="auto"/>
              </w:rPr>
            </w:pPr>
          </w:p>
        </w:tc>
        <w:tc>
          <w:tcPr>
            <w:tcW w:w="4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79</w:t>
            </w:r>
          </w:p>
        </w:tc>
        <w:tc>
          <w:tcPr>
            <w:tcW w:w="80" w:type="dxa"/>
            <w:vAlign w:val="bottom"/>
            <w:tcBorders>
              <w:bottom w:val="single" w:sz="8" w:color="EDEDED"/>
            </w:tcBorders>
          </w:tcPr>
          <w:p>
            <w:pPr>
              <w:spacing w:after="0"/>
              <w:rPr>
                <w:sz w:val="22"/>
                <w:szCs w:val="22"/>
                <w:color w:val="auto"/>
              </w:rPr>
            </w:pPr>
          </w:p>
        </w:tc>
        <w:tc>
          <w:tcPr>
            <w:tcW w:w="340" w:type="dxa"/>
            <w:vAlign w:val="bottom"/>
            <w:tcBorders>
              <w:bottom w:val="single" w:sz="8" w:color="00162F"/>
            </w:tcBorders>
          </w:tcPr>
          <w:p>
            <w:pPr>
              <w:spacing w:after="0"/>
              <w:rPr>
                <w:sz w:val="22"/>
                <w:szCs w:val="22"/>
                <w:color w:val="auto"/>
              </w:rPr>
            </w:pPr>
          </w:p>
        </w:tc>
        <w:tc>
          <w:tcPr>
            <w:tcW w:w="1100" w:type="dxa"/>
            <w:vAlign w:val="bottom"/>
            <w:tcBorders>
              <w:bottom w:val="single" w:sz="8" w:color="00162F"/>
            </w:tcBorders>
            <w:gridSpan w:val="3"/>
          </w:tcPr>
          <w:p>
            <w:pPr>
              <w:jc w:val="right"/>
              <w:ind w:right="100"/>
              <w:spacing w:after="0"/>
              <w:rPr>
                <w:sz w:val="20"/>
                <w:szCs w:val="20"/>
                <w:color w:val="auto"/>
              </w:rPr>
            </w:pPr>
            <w:r>
              <w:rPr>
                <w:rFonts w:ascii="Arial" w:cs="Arial" w:eastAsia="Arial" w:hAnsi="Arial"/>
                <w:sz w:val="20"/>
                <w:szCs w:val="20"/>
                <w:color w:val="00162F"/>
              </w:rPr>
              <w:t>308</w:t>
            </w:r>
          </w:p>
        </w:tc>
        <w:tc>
          <w:tcPr>
            <w:tcW w:w="60" w:type="dxa"/>
            <w:vAlign w:val="bottom"/>
            <w:tcBorders>
              <w:bottom w:val="single" w:sz="8" w:color="EDEDED"/>
            </w:tcBorders>
          </w:tcPr>
          <w:p>
            <w:pPr>
              <w:spacing w:after="0"/>
              <w:rPr>
                <w:sz w:val="22"/>
                <w:szCs w:val="22"/>
                <w:color w:val="auto"/>
              </w:rPr>
            </w:pPr>
          </w:p>
        </w:tc>
        <w:tc>
          <w:tcPr>
            <w:tcW w:w="500" w:type="dxa"/>
            <w:vAlign w:val="bottom"/>
            <w:tcBorders>
              <w:bottom w:val="single" w:sz="8" w:color="00162F"/>
            </w:tcBorders>
          </w:tcPr>
          <w:p>
            <w:pPr>
              <w:spacing w:after="0"/>
              <w:rPr>
                <w:sz w:val="22"/>
                <w:szCs w:val="22"/>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299</w:t>
            </w:r>
          </w:p>
        </w:tc>
      </w:tr>
      <w:tr>
        <w:trPr>
          <w:trHeight w:val="297"/>
        </w:trPr>
        <w:tc>
          <w:tcPr>
            <w:tcW w:w="62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Total income tax provision</w:t>
            </w:r>
          </w:p>
        </w:tc>
        <w:tc>
          <w:tcPr>
            <w:tcW w:w="1040" w:type="dxa"/>
            <w:vAlign w:val="bottom"/>
            <w:tcBorders>
              <w:bottom w:val="single" w:sz="8" w:color="00162F"/>
            </w:tcBorders>
            <w:shd w:val="clear" w:color="auto" w:fill="EDEDED"/>
          </w:tcPr>
          <w:p>
            <w:pPr>
              <w:jc w:val="right"/>
              <w:ind w:right="788"/>
              <w:spacing w:after="0"/>
              <w:rPr>
                <w:sz w:val="20"/>
                <w:szCs w:val="20"/>
                <w:color w:val="auto"/>
              </w:rPr>
            </w:pPr>
            <w:r>
              <w:rPr>
                <w:rFonts w:ascii="Arial" w:cs="Arial" w:eastAsia="Arial" w:hAnsi="Arial"/>
                <w:sz w:val="20"/>
                <w:szCs w:val="20"/>
                <w:color w:val="00162F"/>
              </w:rPr>
              <w:t>$</w:t>
            </w:r>
          </w:p>
        </w:tc>
        <w:tc>
          <w:tcPr>
            <w:tcW w:w="4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79</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gridSpan w:val="3"/>
            <w:shd w:val="clear" w:color="auto" w:fill="EDEDED"/>
          </w:tcPr>
          <w:p>
            <w:pPr>
              <w:jc w:val="right"/>
              <w:ind w:right="100"/>
              <w:spacing w:after="0"/>
              <w:rPr>
                <w:sz w:val="20"/>
                <w:szCs w:val="20"/>
                <w:color w:val="auto"/>
              </w:rPr>
            </w:pPr>
            <w:r>
              <w:rPr>
                <w:rFonts w:ascii="Arial" w:cs="Arial" w:eastAsia="Arial" w:hAnsi="Arial"/>
                <w:sz w:val="20"/>
                <w:szCs w:val="20"/>
                <w:color w:val="00162F"/>
              </w:rPr>
              <w:t>308</w:t>
            </w:r>
          </w:p>
        </w:tc>
        <w:tc>
          <w:tcPr>
            <w:tcW w:w="60" w:type="dxa"/>
            <w:vAlign w:val="bottom"/>
            <w:tcBorders>
              <w:bottom w:val="single" w:sz="8" w:color="EDEDED"/>
            </w:tcBorders>
            <w:shd w:val="clear" w:color="auto" w:fill="EDEDED"/>
          </w:tcPr>
          <w:p>
            <w:pPr>
              <w:spacing w:after="0"/>
              <w:rPr>
                <w:sz w:val="24"/>
                <w:szCs w:val="24"/>
                <w:color w:val="auto"/>
              </w:rPr>
            </w:pPr>
          </w:p>
        </w:tc>
        <w:tc>
          <w:tcPr>
            <w:tcW w:w="500" w:type="dxa"/>
            <w:vAlign w:val="bottom"/>
            <w:tcBorders>
              <w:bottom w:val="single" w:sz="8" w:color="00162F"/>
            </w:tcBorders>
            <w:shd w:val="clear" w:color="auto" w:fill="EDEDED"/>
          </w:tcPr>
          <w:p>
            <w:pPr>
              <w:jc w:val="right"/>
              <w:ind w:right="251"/>
              <w:spacing w:after="0"/>
              <w:rPr>
                <w:sz w:val="20"/>
                <w:szCs w:val="20"/>
                <w:color w:val="auto"/>
              </w:rPr>
            </w:pPr>
            <w:r>
              <w:rPr>
                <w:rFonts w:ascii="Arial" w:cs="Arial" w:eastAsia="Arial" w:hAnsi="Arial"/>
                <w:sz w:val="20"/>
                <w:szCs w:val="20"/>
                <w:color w:val="00162F"/>
              </w:rPr>
              <w:t>$</w:t>
            </w: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-4022090</wp:posOffset>
            </wp:positionV>
            <wp:extent cx="22034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6">
                      <a:extLst>
                        <a:ext uri="{28A0092B-C50C-407E-A947-70E740481C1C}"/>
                      </a:extLst>
                    </a:blip>
                    <a:srcRect/>
                    <a:stretch>
                      <a:fillRect/>
                    </a:stretch>
                  </pic:blipFill>
                  <pic:spPr bwMode="auto">
                    <a:xfrm>
                      <a:off x="0" y="0"/>
                      <a:ext cx="22034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-2890520</wp:posOffset>
            </wp:positionV>
            <wp:extent cx="112522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7">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-2513965</wp:posOffset>
            </wp:positionV>
            <wp:extent cx="112522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8">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-2136775</wp:posOffset>
            </wp:positionV>
            <wp:extent cx="112522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9">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-1960880</wp:posOffset>
            </wp:positionV>
            <wp:extent cx="2203450"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0">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-974090</wp:posOffset>
            </wp:positionV>
            <wp:extent cx="2863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1">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-408305</wp:posOffset>
            </wp:positionV>
            <wp:extent cx="19361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2">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-219710</wp:posOffset>
            </wp:positionV>
            <wp:extent cx="19361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3">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-43815</wp:posOffset>
            </wp:positionV>
            <wp:extent cx="286321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4">
                      <a:extLst>
                        <a:ext uri="{28A0092B-C50C-407E-A947-70E740481C1C}"/>
                      </a:extLst>
                    </a:blip>
                    <a:srcRect/>
                    <a:stretch>
                      <a:fillRect/>
                    </a:stretch>
                  </pic:blipFill>
                  <pic:spPr bwMode="auto">
                    <a:xfrm>
                      <a:off x="0" y="0"/>
                      <a:ext cx="2863215" cy="50800"/>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income tax provision differed from amounts computed at the U.S. federal statutory income tax rate as follows (amounts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800" w:type="dxa"/>
            <w:vAlign w:val="bottom"/>
            <w:tcBorders>
              <w:bottom w:val="single" w:sz="8" w:color="00162F"/>
            </w:tcBorders>
          </w:tcPr>
          <w:p>
            <w:pPr>
              <w:spacing w:after="0"/>
              <w:rPr>
                <w:sz w:val="18"/>
                <w:szCs w:val="18"/>
                <w:color w:val="auto"/>
              </w:rPr>
            </w:pPr>
          </w:p>
        </w:tc>
        <w:tc>
          <w:tcPr>
            <w:tcW w:w="60" w:type="dxa"/>
            <w:vAlign w:val="bottom"/>
            <w:tcBorders>
              <w:bottom w:val="single" w:sz="8" w:color="00162F"/>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740" w:type="dxa"/>
            <w:vAlign w:val="bottom"/>
            <w:tcBorders>
              <w:bottom w:val="single" w:sz="8" w:color="00162F"/>
            </w:tcBorders>
          </w:tcPr>
          <w:p>
            <w:pPr>
              <w:spacing w:after="0"/>
              <w:rPr>
                <w:sz w:val="18"/>
                <w:szCs w:val="18"/>
                <w:color w:val="auto"/>
              </w:rPr>
            </w:pPr>
          </w:p>
        </w:tc>
        <w:tc>
          <w:tcPr>
            <w:tcW w:w="60" w:type="dxa"/>
            <w:vAlign w:val="bottom"/>
            <w:tcBorders>
              <w:bottom w:val="single" w:sz="8" w:color="00162F"/>
            </w:tcBorders>
          </w:tcPr>
          <w:p>
            <w:pPr>
              <w:spacing w:after="0"/>
              <w:rPr>
                <w:sz w:val="18"/>
                <w:szCs w:val="18"/>
                <w:color w:val="auto"/>
              </w:rPr>
            </w:pPr>
          </w:p>
        </w:tc>
        <w:tc>
          <w:tcPr>
            <w:tcW w:w="2000" w:type="dxa"/>
            <w:vAlign w:val="bottom"/>
            <w:tcBorders>
              <w:bottom w:val="single" w:sz="8" w:color="00162F"/>
            </w:tcBorders>
            <w:gridSpan w:val="5"/>
          </w:tcPr>
          <w:p>
            <w:pPr>
              <w:jc w:val="center"/>
              <w:spacing w:after="0"/>
              <w:rPr>
                <w:sz w:val="20"/>
                <w:szCs w:val="20"/>
                <w:color w:val="auto"/>
              </w:rPr>
            </w:pPr>
            <w:r>
              <w:rPr>
                <w:rFonts w:ascii="Arial" w:cs="Arial" w:eastAsia="Arial" w:hAnsi="Arial"/>
                <w:sz w:val="16"/>
                <w:szCs w:val="16"/>
                <w:b w:val="1"/>
                <w:bCs w:val="1"/>
                <w:color w:val="00162F"/>
                <w:w w:val="98"/>
              </w:rPr>
              <w:t>Year Ended December 31,</w:t>
            </w:r>
          </w:p>
        </w:tc>
        <w:tc>
          <w:tcPr>
            <w:tcW w:w="60" w:type="dxa"/>
            <w:vAlign w:val="bottom"/>
            <w:tcBorders>
              <w:bottom w:val="single" w:sz="8" w:color="00162F"/>
            </w:tcBorders>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800" w:type="dxa"/>
            <w:vAlign w:val="bottom"/>
            <w:tcBorders>
              <w:bottom w:val="single" w:sz="8" w:color="00162F"/>
            </w:tcBorders>
          </w:tcPr>
          <w:p>
            <w:pPr>
              <w:spacing w:after="0"/>
              <w:rPr>
                <w:sz w:val="18"/>
                <w:szCs w:val="18"/>
                <w:color w:val="auto"/>
              </w:rPr>
            </w:pPr>
          </w:p>
        </w:tc>
        <w:tc>
          <w:tcPr>
            <w:tcW w:w="60" w:type="dxa"/>
            <w:vAlign w:val="bottom"/>
            <w:tcBorders>
              <w:bottom w:val="single" w:sz="8" w:color="00162F"/>
            </w:tcBorders>
          </w:tcPr>
          <w:p>
            <w:pPr>
              <w:spacing w:after="0"/>
              <w:rPr>
                <w:sz w:val="18"/>
                <w:szCs w:val="18"/>
                <w:color w:val="auto"/>
              </w:rPr>
            </w:pPr>
          </w:p>
        </w:tc>
        <w:tc>
          <w:tcPr>
            <w:tcW w:w="220" w:type="dxa"/>
            <w:vAlign w:val="bottom"/>
            <w:tcBorders>
              <w:bottom w:val="single" w:sz="8" w:color="00162F"/>
            </w:tcBorders>
          </w:tcPr>
          <w:p>
            <w:pPr>
              <w:spacing w:after="0"/>
              <w:rPr>
                <w:sz w:val="18"/>
                <w:szCs w:val="18"/>
                <w:color w:val="auto"/>
              </w:rPr>
            </w:pPr>
          </w:p>
        </w:tc>
        <w:tc>
          <w:tcPr>
            <w:tcW w:w="740" w:type="dxa"/>
            <w:vAlign w:val="bottom"/>
            <w:tcBorders>
              <w:bottom w:val="single" w:sz="8" w:color="00162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560" w:type="dxa"/>
            <w:vAlign w:val="bottom"/>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gridSpan w:val="3"/>
          </w:tcPr>
          <w:p>
            <w:pPr>
              <w:jc w:val="right"/>
              <w:ind w:right="100"/>
              <w:spacing w:after="0"/>
              <w:rPr>
                <w:sz w:val="20"/>
                <w:szCs w:val="20"/>
                <w:color w:val="auto"/>
              </w:rPr>
            </w:pPr>
            <w:r>
              <w:rPr>
                <w:rFonts w:ascii="Arial" w:cs="Arial" w:eastAsia="Arial" w:hAnsi="Arial"/>
                <w:sz w:val="16"/>
                <w:szCs w:val="16"/>
                <w:b w:val="1"/>
                <w:bCs w:val="1"/>
                <w:color w:val="00162F"/>
              </w:rPr>
              <w:t>2025</w:t>
            </w:r>
          </w:p>
        </w:tc>
        <w:tc>
          <w:tcPr>
            <w:tcW w:w="740" w:type="dxa"/>
            <w:vAlign w:val="bottom"/>
            <w:tcBorders>
              <w:bottom w:val="single" w:sz="8" w:color="00162F"/>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gridSpan w:val="3"/>
          </w:tcPr>
          <w:p>
            <w:pPr>
              <w:jc w:val="right"/>
              <w:ind w:right="80"/>
              <w:spacing w:after="0"/>
              <w:rPr>
                <w:sz w:val="20"/>
                <w:szCs w:val="20"/>
                <w:color w:val="auto"/>
              </w:rPr>
            </w:pPr>
            <w:r>
              <w:rPr>
                <w:rFonts w:ascii="Arial" w:cs="Arial" w:eastAsia="Arial" w:hAnsi="Arial"/>
                <w:sz w:val="16"/>
                <w:szCs w:val="16"/>
                <w:b w:val="1"/>
                <w:bCs w:val="1"/>
                <w:color w:val="00162F"/>
              </w:rPr>
              <w:t>2024</w:t>
            </w:r>
          </w:p>
        </w:tc>
        <w:tc>
          <w:tcPr>
            <w:tcW w:w="740" w:type="dxa"/>
            <w:vAlign w:val="bottom"/>
            <w:tcBorders>
              <w:bottom w:val="single" w:sz="8" w:color="00162F"/>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gridSpan w:val="3"/>
          </w:tcPr>
          <w:p>
            <w:pPr>
              <w:jc w:val="right"/>
              <w:ind w:right="80"/>
              <w:spacing w:after="0"/>
              <w:rPr>
                <w:sz w:val="20"/>
                <w:szCs w:val="20"/>
                <w:color w:val="auto"/>
              </w:rPr>
            </w:pPr>
            <w:r>
              <w:rPr>
                <w:rFonts w:ascii="Arial" w:cs="Arial" w:eastAsia="Arial" w:hAnsi="Arial"/>
                <w:sz w:val="16"/>
                <w:szCs w:val="16"/>
                <w:b w:val="1"/>
                <w:bCs w:val="1"/>
                <w:color w:val="00162F"/>
              </w:rPr>
              <w:t>2023</w:t>
            </w:r>
          </w:p>
        </w:tc>
        <w:tc>
          <w:tcPr>
            <w:tcW w:w="740" w:type="dxa"/>
            <w:vAlign w:val="bottom"/>
            <w:tcBorders>
              <w:bottom w:val="single" w:sz="8" w:color="00162F"/>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6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800" w:type="dxa"/>
            <w:vAlign w:val="bottom"/>
            <w:tcBorders>
              <w:bottom w:val="single" w:sz="8" w:color="00162F"/>
            </w:tcBorders>
          </w:tcPr>
          <w:p>
            <w:pPr>
              <w:jc w:val="right"/>
              <w:ind w:right="105"/>
              <w:spacing w:after="0"/>
              <w:rPr>
                <w:sz w:val="20"/>
                <w:szCs w:val="20"/>
                <w:color w:val="auto"/>
              </w:rPr>
            </w:pPr>
            <w:r>
              <w:rPr>
                <w:rFonts w:ascii="Arial" w:cs="Arial" w:eastAsia="Arial" w:hAnsi="Arial"/>
                <w:sz w:val="16"/>
                <w:szCs w:val="16"/>
                <w:b w:val="1"/>
                <w:bCs w:val="1"/>
                <w:color w:val="00162F"/>
                <w:w w:val="95"/>
              </w:rPr>
              <w:t>Amount</w:t>
            </w:r>
          </w:p>
        </w:tc>
        <w:tc>
          <w:tcPr>
            <w:tcW w:w="60" w:type="dxa"/>
            <w:vAlign w:val="bottom"/>
            <w:tcBorders>
              <w:bottom w:val="single" w:sz="8" w:color="EDEDED"/>
            </w:tcBorders>
          </w:tcPr>
          <w:p>
            <w:pPr>
              <w:spacing w:after="0"/>
              <w:rPr>
                <w:sz w:val="20"/>
                <w:szCs w:val="20"/>
                <w:color w:val="auto"/>
              </w:rPr>
            </w:pPr>
          </w:p>
        </w:tc>
        <w:tc>
          <w:tcPr>
            <w:tcW w:w="240" w:type="dxa"/>
            <w:vAlign w:val="bottom"/>
            <w:tcBorders>
              <w:bottom w:val="single" w:sz="8" w:color="00162F"/>
            </w:tcBorders>
          </w:tcPr>
          <w:p>
            <w:pPr>
              <w:spacing w:after="0"/>
              <w:rPr>
                <w:sz w:val="20"/>
                <w:szCs w:val="20"/>
                <w:color w:val="auto"/>
              </w:rPr>
            </w:pPr>
          </w:p>
        </w:tc>
        <w:tc>
          <w:tcPr>
            <w:tcW w:w="740" w:type="dxa"/>
            <w:vAlign w:val="bottom"/>
            <w:tcBorders>
              <w:bottom w:val="single" w:sz="8" w:color="00162F"/>
            </w:tcBorders>
          </w:tcPr>
          <w:p>
            <w:pPr>
              <w:jc w:val="right"/>
              <w:ind w:right="223"/>
              <w:spacing w:after="0"/>
              <w:rPr>
                <w:sz w:val="20"/>
                <w:szCs w:val="20"/>
                <w:color w:val="auto"/>
              </w:rPr>
            </w:pPr>
            <w:r>
              <w:rPr>
                <w:rFonts w:ascii="Arial" w:cs="Arial" w:eastAsia="Arial" w:hAnsi="Arial"/>
                <w:sz w:val="16"/>
                <w:szCs w:val="16"/>
                <w:b w:val="1"/>
                <w:bCs w:val="1"/>
                <w:color w:val="00162F"/>
              </w:rPr>
              <w:t>Rate</w:t>
            </w:r>
          </w:p>
        </w:tc>
        <w:tc>
          <w:tcPr>
            <w:tcW w:w="6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800" w:type="dxa"/>
            <w:vAlign w:val="bottom"/>
            <w:tcBorders>
              <w:bottom w:val="single" w:sz="8" w:color="00162F"/>
            </w:tcBorders>
          </w:tcPr>
          <w:p>
            <w:pPr>
              <w:jc w:val="right"/>
              <w:ind w:right="105"/>
              <w:spacing w:after="0"/>
              <w:rPr>
                <w:sz w:val="20"/>
                <w:szCs w:val="20"/>
                <w:color w:val="auto"/>
              </w:rPr>
            </w:pPr>
            <w:r>
              <w:rPr>
                <w:rFonts w:ascii="Arial" w:cs="Arial" w:eastAsia="Arial" w:hAnsi="Arial"/>
                <w:sz w:val="16"/>
                <w:szCs w:val="16"/>
                <w:b w:val="1"/>
                <w:bCs w:val="1"/>
                <w:color w:val="00162F"/>
                <w:w w:val="95"/>
              </w:rPr>
              <w:t>Amount</w:t>
            </w:r>
          </w:p>
        </w:tc>
        <w:tc>
          <w:tcPr>
            <w:tcW w:w="60" w:type="dxa"/>
            <w:vAlign w:val="bottom"/>
            <w:tcBorders>
              <w:bottom w:val="single" w:sz="8" w:color="EDEDED"/>
            </w:tcBorders>
          </w:tcPr>
          <w:p>
            <w:pPr>
              <w:spacing w:after="0"/>
              <w:rPr>
                <w:sz w:val="20"/>
                <w:szCs w:val="20"/>
                <w:color w:val="auto"/>
              </w:rPr>
            </w:pPr>
          </w:p>
        </w:tc>
        <w:tc>
          <w:tcPr>
            <w:tcW w:w="220" w:type="dxa"/>
            <w:vAlign w:val="bottom"/>
            <w:tcBorders>
              <w:bottom w:val="single" w:sz="8" w:color="00162F"/>
            </w:tcBorders>
          </w:tcPr>
          <w:p>
            <w:pPr>
              <w:spacing w:after="0"/>
              <w:rPr>
                <w:sz w:val="20"/>
                <w:szCs w:val="20"/>
                <w:color w:val="auto"/>
              </w:rPr>
            </w:pPr>
          </w:p>
        </w:tc>
        <w:tc>
          <w:tcPr>
            <w:tcW w:w="740" w:type="dxa"/>
            <w:vAlign w:val="bottom"/>
            <w:tcBorders>
              <w:bottom w:val="single" w:sz="8" w:color="00162F"/>
            </w:tcBorders>
          </w:tcPr>
          <w:p>
            <w:pPr>
              <w:jc w:val="right"/>
              <w:ind w:right="223"/>
              <w:spacing w:after="0"/>
              <w:rPr>
                <w:sz w:val="20"/>
                <w:szCs w:val="20"/>
                <w:color w:val="auto"/>
              </w:rPr>
            </w:pPr>
            <w:r>
              <w:rPr>
                <w:rFonts w:ascii="Arial" w:cs="Arial" w:eastAsia="Arial" w:hAnsi="Arial"/>
                <w:sz w:val="16"/>
                <w:szCs w:val="16"/>
                <w:b w:val="1"/>
                <w:bCs w:val="1"/>
                <w:color w:val="00162F"/>
              </w:rPr>
              <w:t>Rate</w:t>
            </w:r>
          </w:p>
        </w:tc>
        <w:tc>
          <w:tcPr>
            <w:tcW w:w="60" w:type="dxa"/>
            <w:vAlign w:val="bottom"/>
            <w:tcBorders>
              <w:bottom w:val="single" w:sz="8" w:color="EDEDED"/>
            </w:tcBorders>
          </w:tcPr>
          <w:p>
            <w:pPr>
              <w:spacing w:after="0"/>
              <w:rPr>
                <w:sz w:val="20"/>
                <w:szCs w:val="20"/>
                <w:color w:val="auto"/>
              </w:rPr>
            </w:pPr>
          </w:p>
        </w:tc>
        <w:tc>
          <w:tcPr>
            <w:tcW w:w="160" w:type="dxa"/>
            <w:vAlign w:val="bottom"/>
            <w:tcBorders>
              <w:bottom w:val="single" w:sz="8" w:color="00162F"/>
            </w:tcBorders>
          </w:tcPr>
          <w:p>
            <w:pPr>
              <w:spacing w:after="0"/>
              <w:rPr>
                <w:sz w:val="20"/>
                <w:szCs w:val="20"/>
                <w:color w:val="auto"/>
              </w:rPr>
            </w:pPr>
          </w:p>
        </w:tc>
        <w:tc>
          <w:tcPr>
            <w:tcW w:w="800" w:type="dxa"/>
            <w:vAlign w:val="bottom"/>
            <w:tcBorders>
              <w:bottom w:val="single" w:sz="8" w:color="00162F"/>
            </w:tcBorders>
          </w:tcPr>
          <w:p>
            <w:pPr>
              <w:jc w:val="right"/>
              <w:ind w:right="85"/>
              <w:spacing w:after="0"/>
              <w:rPr>
                <w:sz w:val="20"/>
                <w:szCs w:val="20"/>
                <w:color w:val="auto"/>
              </w:rPr>
            </w:pPr>
            <w:r>
              <w:rPr>
                <w:rFonts w:ascii="Arial" w:cs="Arial" w:eastAsia="Arial" w:hAnsi="Arial"/>
                <w:sz w:val="16"/>
                <w:szCs w:val="16"/>
                <w:b w:val="1"/>
                <w:bCs w:val="1"/>
                <w:color w:val="00162F"/>
                <w:w w:val="99"/>
              </w:rPr>
              <w:t>Amount</w:t>
            </w:r>
          </w:p>
        </w:tc>
        <w:tc>
          <w:tcPr>
            <w:tcW w:w="60" w:type="dxa"/>
            <w:vAlign w:val="bottom"/>
            <w:tcBorders>
              <w:bottom w:val="single" w:sz="8" w:color="EDEDED"/>
            </w:tcBorders>
          </w:tcPr>
          <w:p>
            <w:pPr>
              <w:spacing w:after="0"/>
              <w:rPr>
                <w:sz w:val="20"/>
                <w:szCs w:val="20"/>
                <w:color w:val="auto"/>
              </w:rPr>
            </w:pPr>
          </w:p>
        </w:tc>
        <w:tc>
          <w:tcPr>
            <w:tcW w:w="220" w:type="dxa"/>
            <w:vAlign w:val="bottom"/>
            <w:tcBorders>
              <w:bottom w:val="single" w:sz="8" w:color="00162F"/>
            </w:tcBorders>
          </w:tcPr>
          <w:p>
            <w:pPr>
              <w:spacing w:after="0"/>
              <w:rPr>
                <w:sz w:val="20"/>
                <w:szCs w:val="20"/>
                <w:color w:val="auto"/>
              </w:rPr>
            </w:pPr>
          </w:p>
        </w:tc>
        <w:tc>
          <w:tcPr>
            <w:tcW w:w="740" w:type="dxa"/>
            <w:vAlign w:val="bottom"/>
            <w:tcBorders>
              <w:bottom w:val="single" w:sz="8" w:color="00162F"/>
            </w:tcBorders>
          </w:tcPr>
          <w:p>
            <w:pPr>
              <w:jc w:val="right"/>
              <w:ind w:right="203"/>
              <w:spacing w:after="0"/>
              <w:rPr>
                <w:sz w:val="20"/>
                <w:szCs w:val="20"/>
                <w:color w:val="auto"/>
              </w:rPr>
            </w:pPr>
            <w:r>
              <w:rPr>
                <w:rFonts w:ascii="Arial" w:cs="Arial" w:eastAsia="Arial" w:hAnsi="Arial"/>
                <w:sz w:val="16"/>
                <w:szCs w:val="16"/>
                <w:b w:val="1"/>
                <w:bCs w:val="1"/>
                <w:color w:val="00162F"/>
              </w:rPr>
              <w:t>Rate</w:t>
            </w:r>
          </w:p>
        </w:tc>
        <w:tc>
          <w:tcPr>
            <w:tcW w:w="0" w:type="dxa"/>
            <w:vAlign w:val="bottom"/>
          </w:tcPr>
          <w:p>
            <w:pPr>
              <w:spacing w:after="0"/>
              <w:rPr>
                <w:sz w:val="1"/>
                <w:szCs w:val="1"/>
                <w:color w:val="auto"/>
              </w:rPr>
            </w:pPr>
          </w:p>
        </w:tc>
      </w:tr>
      <w:tr>
        <w:trPr>
          <w:trHeight w:val="287"/>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U.S. federal statutory income tax rate</w:t>
            </w:r>
          </w:p>
        </w:tc>
        <w:tc>
          <w:tcPr>
            <w:tcW w:w="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40</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21.0 %</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242</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21.0 %</w:t>
            </w:r>
          </w:p>
        </w:tc>
        <w:tc>
          <w:tcPr>
            <w:tcW w:w="2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236</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21.0 %</w:t>
            </w:r>
          </w:p>
        </w:tc>
        <w:tc>
          <w:tcPr>
            <w:tcW w:w="0" w:type="dxa"/>
            <w:vAlign w:val="bottom"/>
          </w:tcPr>
          <w:p>
            <w:pPr>
              <w:spacing w:after="0"/>
              <w:rPr>
                <w:sz w:val="1"/>
                <w:szCs w:val="1"/>
                <w:color w:val="auto"/>
              </w:rPr>
            </w:pPr>
          </w:p>
        </w:tc>
      </w:tr>
      <w:tr>
        <w:trPr>
          <w:trHeight w:val="293"/>
        </w:trPr>
        <w:tc>
          <w:tcPr>
            <w:tcW w:w="4560" w:type="dxa"/>
            <w:vAlign w:val="bottom"/>
          </w:tcPr>
          <w:p>
            <w:pPr>
              <w:ind w:left="40"/>
              <w:spacing w:after="0"/>
              <w:rPr>
                <w:sz w:val="20"/>
                <w:szCs w:val="20"/>
                <w:color w:val="auto"/>
              </w:rPr>
            </w:pPr>
            <w:r>
              <w:rPr>
                <w:rFonts w:ascii="Arial" w:cs="Arial" w:eastAsia="Arial" w:hAnsi="Arial"/>
                <w:sz w:val="20"/>
                <w:szCs w:val="20"/>
                <w:color w:val="00162F"/>
              </w:rPr>
              <w:t>Domestic federal: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Nontaxable or nondeductible items</w:t>
            </w:r>
          </w:p>
        </w:tc>
        <w:tc>
          <w:tcPr>
            <w:tcW w:w="180" w:type="dxa"/>
            <w:vAlign w:val="bottom"/>
            <w:shd w:val="clear" w:color="auto" w:fill="EDEDED"/>
          </w:tcPr>
          <w:p>
            <w:pPr>
              <w:spacing w:after="0"/>
              <w:rPr>
                <w:sz w:val="24"/>
                <w:szCs w:val="24"/>
                <w:color w:val="auto"/>
              </w:rPr>
            </w:pPr>
          </w:p>
        </w:tc>
        <w:tc>
          <w:tcPr>
            <w:tcW w:w="8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8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8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20"/>
              <w:spacing w:after="0" w:line="206" w:lineRule="exact"/>
              <w:rPr>
                <w:sz w:val="20"/>
                <w:szCs w:val="20"/>
                <w:color w:val="auto"/>
              </w:rPr>
            </w:pPr>
            <w:r>
              <w:rPr>
                <w:rFonts w:ascii="Arial" w:cs="Arial" w:eastAsia="Arial" w:hAnsi="Arial"/>
                <w:sz w:val="20"/>
                <w:szCs w:val="20"/>
                <w:color w:val="00162F"/>
              </w:rPr>
              <w:t>Nondeductible meals and other nondeductible</w:t>
            </w: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28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15.3 %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22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1.9 %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22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2.0 %</w:t>
            </w:r>
          </w:p>
        </w:tc>
        <w:tc>
          <w:tcPr>
            <w:tcW w:w="0" w:type="dxa"/>
            <w:vAlign w:val="bottom"/>
          </w:tcPr>
          <w:p>
            <w:pPr>
              <w:spacing w:after="0"/>
              <w:rPr>
                <w:sz w:val="1"/>
                <w:szCs w:val="1"/>
                <w:color w:val="auto"/>
              </w:rPr>
            </w:pPr>
          </w:p>
        </w:tc>
      </w:tr>
      <w:tr>
        <w:trPr>
          <w:trHeight w:val="266"/>
        </w:trPr>
        <w:tc>
          <w:tcPr>
            <w:tcW w:w="4560" w:type="dxa"/>
            <w:vAlign w:val="bottom"/>
          </w:tcPr>
          <w:p>
            <w:pPr>
              <w:ind w:left="400"/>
              <w:spacing w:after="0"/>
              <w:rPr>
                <w:sz w:val="20"/>
                <w:szCs w:val="20"/>
                <w:color w:val="auto"/>
              </w:rPr>
            </w:pPr>
            <w:r>
              <w:rPr>
                <w:rFonts w:ascii="Arial" w:cs="Arial" w:eastAsia="Arial" w:hAnsi="Arial"/>
                <w:sz w:val="20"/>
                <w:szCs w:val="20"/>
                <w:color w:val="00162F"/>
              </w:rPr>
              <w:t>employee benefits</w:t>
            </w:r>
          </w:p>
        </w:tc>
        <w:tc>
          <w:tcPr>
            <w:tcW w:w="18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560" w:type="dxa"/>
            <w:vAlign w:val="bottom"/>
            <w:shd w:val="clear" w:color="auto" w:fill="EDEDED"/>
          </w:tcPr>
          <w:p>
            <w:pPr>
              <w:ind w:left="280"/>
              <w:spacing w:after="0"/>
              <w:rPr>
                <w:sz w:val="20"/>
                <w:szCs w:val="20"/>
                <w:color w:val="auto"/>
              </w:rPr>
            </w:pPr>
            <w:r>
              <w:rPr>
                <w:rFonts w:ascii="Arial" w:cs="Arial" w:eastAsia="Arial" w:hAnsi="Arial"/>
                <w:sz w:val="20"/>
                <w:szCs w:val="20"/>
                <w:color w:val="00162F"/>
              </w:rPr>
              <w:t>Nondeductible officer compensation</w:t>
            </w:r>
          </w:p>
        </w:tc>
        <w:tc>
          <w:tcPr>
            <w:tcW w:w="180" w:type="dxa"/>
            <w:vAlign w:val="bottom"/>
            <w:shd w:val="clear" w:color="auto" w:fill="EDEDED"/>
          </w:tcPr>
          <w:p>
            <w:pPr>
              <w:spacing w:after="0"/>
              <w:rPr>
                <w:sz w:val="24"/>
                <w:szCs w:val="24"/>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5.2 %</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1.1 %</w:t>
            </w:r>
          </w:p>
        </w:tc>
        <w:tc>
          <w:tcPr>
            <w:tcW w:w="6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1.0 %</w:t>
            </w:r>
          </w:p>
        </w:tc>
        <w:tc>
          <w:tcPr>
            <w:tcW w:w="0" w:type="dxa"/>
            <w:vAlign w:val="bottom"/>
          </w:tcPr>
          <w:p>
            <w:pPr>
              <w:spacing w:after="0"/>
              <w:rPr>
                <w:sz w:val="1"/>
                <w:szCs w:val="1"/>
                <w:color w:val="auto"/>
              </w:rPr>
            </w:pPr>
          </w:p>
        </w:tc>
      </w:tr>
      <w:tr>
        <w:trPr>
          <w:trHeight w:val="293"/>
        </w:trPr>
        <w:tc>
          <w:tcPr>
            <w:tcW w:w="4560" w:type="dxa"/>
            <w:vAlign w:val="bottom"/>
          </w:tcPr>
          <w:p>
            <w:pPr>
              <w:ind w:left="280"/>
              <w:spacing w:after="0"/>
              <w:rPr>
                <w:sz w:val="20"/>
                <w:szCs w:val="20"/>
                <w:color w:val="auto"/>
              </w:rPr>
            </w:pPr>
            <w:r>
              <w:rPr>
                <w:rFonts w:ascii="Arial" w:cs="Arial" w:eastAsia="Arial" w:hAnsi="Arial"/>
                <w:sz w:val="20"/>
                <w:szCs w:val="20"/>
                <w:color w:val="00162F"/>
              </w:rPr>
              <w:t>Other nontaxable and nondeductible items</w:t>
            </w:r>
          </w:p>
        </w:tc>
        <w:tc>
          <w:tcPr>
            <w:tcW w:w="180" w:type="dxa"/>
            <w:vAlign w:val="bottom"/>
          </w:tcPr>
          <w:p>
            <w:pPr>
              <w:spacing w:after="0"/>
              <w:rPr>
                <w:sz w:val="24"/>
                <w:szCs w:val="2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20"/>
                <w:szCs w:val="20"/>
                <w:color w:val="00162F"/>
              </w:rPr>
              <w:t>—</w:t>
            </w:r>
          </w:p>
        </w:tc>
        <w:tc>
          <w:tcPr>
            <w:tcW w:w="740" w:type="dxa"/>
            <w:vAlign w:val="bottom"/>
          </w:tcPr>
          <w:p>
            <w:pPr>
              <w:jc w:val="right"/>
              <w:spacing w:after="0"/>
              <w:rPr>
                <w:sz w:val="20"/>
                <w:szCs w:val="20"/>
                <w:color w:val="auto"/>
              </w:rPr>
            </w:pPr>
            <w:r>
              <w:rPr>
                <w:rFonts w:ascii="Arial" w:cs="Arial" w:eastAsia="Arial" w:hAnsi="Arial"/>
                <w:sz w:val="20"/>
                <w:szCs w:val="20"/>
                <w:color w:val="00162F"/>
              </w:rPr>
              <w:t>—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00162F"/>
              </w:rPr>
              <w:t>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0162F"/>
              </w:rPr>
              <w:t>0.9 %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00162F"/>
              </w:rPr>
              <w:t>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0162F"/>
              </w:rPr>
              <w:t>0.8 %</w:t>
            </w:r>
          </w:p>
        </w:tc>
        <w:tc>
          <w:tcPr>
            <w:tcW w:w="0" w:type="dxa"/>
            <w:vAlign w:val="bottom"/>
          </w:tcPr>
          <w:p>
            <w:pPr>
              <w:spacing w:after="0"/>
              <w:rPr>
                <w:sz w:val="1"/>
                <w:szCs w:val="1"/>
                <w:color w:val="auto"/>
              </w:rPr>
            </w:pPr>
          </w:p>
        </w:tc>
      </w:tr>
      <w:tr>
        <w:trPr>
          <w:trHeight w:val="301"/>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Other</w:t>
            </w:r>
          </w:p>
        </w:tc>
        <w:tc>
          <w:tcPr>
            <w:tcW w:w="180" w:type="dxa"/>
            <w:vAlign w:val="bottom"/>
            <w:shd w:val="clear" w:color="auto" w:fill="EDEDED"/>
          </w:tcPr>
          <w:p>
            <w:pPr>
              <w:spacing w:after="0"/>
              <w:rPr>
                <w:sz w:val="24"/>
                <w:szCs w:val="24"/>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(3.3)%</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080" w:type="dxa"/>
            <w:vAlign w:val="bottom"/>
            <w:gridSpan w:val="3"/>
            <w:shd w:val="clear" w:color="auto" w:fill="EDEDED"/>
          </w:tcPr>
          <w:p>
            <w:pPr>
              <w:jc w:val="right"/>
              <w:ind w:right="360"/>
              <w:spacing w:after="0"/>
              <w:rPr>
                <w:sz w:val="20"/>
                <w:szCs w:val="20"/>
                <w:color w:val="auto"/>
              </w:rPr>
            </w:pPr>
            <w:r>
              <w:rPr>
                <w:rFonts w:ascii="Arial" w:cs="Arial" w:eastAsia="Arial" w:hAnsi="Arial"/>
                <w:sz w:val="20"/>
                <w:szCs w:val="20"/>
                <w:color w:val="00162F"/>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 %</w:t>
            </w:r>
          </w:p>
        </w:tc>
        <w:tc>
          <w:tcPr>
            <w:tcW w:w="6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080" w:type="dxa"/>
            <w:vAlign w:val="bottom"/>
            <w:gridSpan w:val="3"/>
            <w:shd w:val="clear" w:color="auto" w:fill="EDEDED"/>
          </w:tcPr>
          <w:p>
            <w:pPr>
              <w:jc w:val="right"/>
              <w:ind w:right="360"/>
              <w:spacing w:after="0"/>
              <w:rPr>
                <w:sz w:val="20"/>
                <w:szCs w:val="20"/>
                <w:color w:val="auto"/>
              </w:rPr>
            </w:pPr>
            <w:r>
              <w:rPr>
                <w:rFonts w:ascii="Arial" w:cs="Arial" w:eastAsia="Arial" w:hAnsi="Arial"/>
                <w:sz w:val="20"/>
                <w:szCs w:val="20"/>
                <w:color w:val="00162F"/>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 %</w:t>
            </w:r>
          </w:p>
        </w:tc>
        <w:tc>
          <w:tcPr>
            <w:tcW w:w="0" w:type="dxa"/>
            <w:vAlign w:val="bottom"/>
          </w:tcPr>
          <w:p>
            <w:pPr>
              <w:spacing w:after="0"/>
              <w:rPr>
                <w:sz w:val="1"/>
                <w:szCs w:val="1"/>
                <w:color w:val="auto"/>
              </w:rPr>
            </w:pPr>
          </w:p>
        </w:tc>
      </w:tr>
      <w:tr>
        <w:trPr>
          <w:trHeight w:val="206"/>
        </w:trPr>
        <w:tc>
          <w:tcPr>
            <w:tcW w:w="4560" w:type="dxa"/>
            <w:vAlign w:val="bottom"/>
          </w:tcPr>
          <w:p>
            <w:pPr>
              <w:ind w:left="40"/>
              <w:spacing w:after="0" w:line="206" w:lineRule="exact"/>
              <w:rPr>
                <w:sz w:val="20"/>
                <w:szCs w:val="20"/>
                <w:color w:val="auto"/>
              </w:rPr>
            </w:pPr>
            <w:r>
              <w:rPr>
                <w:rFonts w:ascii="Arial" w:cs="Arial" w:eastAsia="Arial" w:hAnsi="Arial"/>
                <w:sz w:val="20"/>
                <w:szCs w:val="20"/>
                <w:color w:val="00162F"/>
              </w:rPr>
              <w:t>Domestic state and local income taxes, net of</w:t>
            </w: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3.0 %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1.8 %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1.9 %</w:t>
            </w:r>
          </w:p>
        </w:tc>
        <w:tc>
          <w:tcPr>
            <w:tcW w:w="0" w:type="dxa"/>
            <w:vAlign w:val="bottom"/>
          </w:tcPr>
          <w:p>
            <w:pPr>
              <w:spacing w:after="0"/>
              <w:rPr>
                <w:sz w:val="1"/>
                <w:szCs w:val="1"/>
                <w:color w:val="auto"/>
              </w:rPr>
            </w:pPr>
          </w:p>
        </w:tc>
      </w:tr>
      <w:tr>
        <w:trPr>
          <w:trHeight w:val="259"/>
        </w:trPr>
        <w:tc>
          <w:tcPr>
            <w:tcW w:w="4560" w:type="dxa"/>
            <w:vAlign w:val="bottom"/>
            <w:tcBorders>
              <w:bottom w:val="single" w:sz="8" w:color="EDEDED"/>
            </w:tcBorders>
          </w:tcPr>
          <w:p>
            <w:pPr>
              <w:ind w:left="220"/>
              <w:spacing w:after="0"/>
              <w:rPr>
                <w:sz w:val="20"/>
                <w:szCs w:val="20"/>
                <w:color w:val="auto"/>
              </w:rPr>
            </w:pPr>
            <w:r>
              <w:rPr>
                <w:rFonts w:ascii="Arial" w:cs="Arial" w:eastAsia="Arial" w:hAnsi="Arial"/>
                <w:sz w:val="20"/>
                <w:szCs w:val="20"/>
                <w:color w:val="00162F"/>
              </w:rPr>
              <w:t>federal effect</w:t>
            </w:r>
          </w:p>
        </w:tc>
        <w:tc>
          <w:tcPr>
            <w:tcW w:w="180" w:type="dxa"/>
            <w:vAlign w:val="bottom"/>
            <w:tcBorders>
              <w:bottom w:val="single" w:sz="8" w:color="00162F"/>
            </w:tcBorders>
          </w:tcPr>
          <w:p>
            <w:pPr>
              <w:spacing w:after="0"/>
              <w:rPr>
                <w:sz w:val="22"/>
                <w:szCs w:val="22"/>
                <w:color w:val="auto"/>
              </w:rPr>
            </w:pPr>
          </w:p>
        </w:tc>
        <w:tc>
          <w:tcPr>
            <w:tcW w:w="800" w:type="dxa"/>
            <w:vAlign w:val="bottom"/>
            <w:tcBorders>
              <w:bottom w:val="single" w:sz="8" w:color="00162F"/>
            </w:tcBorders>
            <w:vMerge w:val="continue"/>
          </w:tcPr>
          <w:p>
            <w:pPr>
              <w:spacing w:after="0"/>
              <w:rPr>
                <w:sz w:val="22"/>
                <w:szCs w:val="22"/>
                <w:color w:val="auto"/>
              </w:rPr>
            </w:pPr>
          </w:p>
        </w:tc>
        <w:tc>
          <w:tcPr>
            <w:tcW w:w="60" w:type="dxa"/>
            <w:vAlign w:val="bottom"/>
            <w:tcBorders>
              <w:bottom w:val="single" w:sz="8" w:color="EDEDED"/>
            </w:tcBorders>
          </w:tcPr>
          <w:p>
            <w:pPr>
              <w:spacing w:after="0"/>
              <w:rPr>
                <w:sz w:val="22"/>
                <w:szCs w:val="22"/>
                <w:color w:val="auto"/>
              </w:rPr>
            </w:pPr>
          </w:p>
        </w:tc>
        <w:tc>
          <w:tcPr>
            <w:tcW w:w="240" w:type="dxa"/>
            <w:vAlign w:val="bottom"/>
            <w:tcBorders>
              <w:bottom w:val="single" w:sz="8" w:color="00162F"/>
            </w:tcBorders>
          </w:tcPr>
          <w:p>
            <w:pPr>
              <w:spacing w:after="0"/>
              <w:rPr>
                <w:sz w:val="22"/>
                <w:szCs w:val="22"/>
                <w:color w:val="auto"/>
              </w:rPr>
            </w:pPr>
          </w:p>
        </w:tc>
        <w:tc>
          <w:tcPr>
            <w:tcW w:w="740" w:type="dxa"/>
            <w:vAlign w:val="bottom"/>
            <w:tcBorders>
              <w:bottom w:val="single" w:sz="8" w:color="00162F"/>
            </w:tcBorders>
            <w:vMerge w:val="continue"/>
          </w:tcPr>
          <w:p>
            <w:pPr>
              <w:spacing w:after="0"/>
              <w:rPr>
                <w:sz w:val="22"/>
                <w:szCs w:val="22"/>
                <w:color w:val="auto"/>
              </w:rPr>
            </w:pPr>
          </w:p>
        </w:tc>
        <w:tc>
          <w:tcPr>
            <w:tcW w:w="60" w:type="dxa"/>
            <w:vAlign w:val="bottom"/>
            <w:tcBorders>
              <w:bottom w:val="single" w:sz="8" w:color="EDEDED"/>
            </w:tcBorders>
          </w:tcPr>
          <w:p>
            <w:pPr>
              <w:spacing w:after="0"/>
              <w:rPr>
                <w:sz w:val="22"/>
                <w:szCs w:val="22"/>
                <w:color w:val="auto"/>
              </w:rPr>
            </w:pPr>
          </w:p>
        </w:tc>
        <w:tc>
          <w:tcPr>
            <w:tcW w:w="180" w:type="dxa"/>
            <w:vAlign w:val="bottom"/>
            <w:tcBorders>
              <w:bottom w:val="single" w:sz="8" w:color="00162F"/>
            </w:tcBorders>
          </w:tcPr>
          <w:p>
            <w:pPr>
              <w:spacing w:after="0"/>
              <w:rPr>
                <w:sz w:val="22"/>
                <w:szCs w:val="22"/>
                <w:color w:val="auto"/>
              </w:rPr>
            </w:pPr>
          </w:p>
        </w:tc>
        <w:tc>
          <w:tcPr>
            <w:tcW w:w="800" w:type="dxa"/>
            <w:vAlign w:val="bottom"/>
            <w:tcBorders>
              <w:bottom w:val="single" w:sz="8" w:color="00162F"/>
            </w:tcBorders>
            <w:vMerge w:val="continue"/>
          </w:tcPr>
          <w:p>
            <w:pPr>
              <w:spacing w:after="0"/>
              <w:rPr>
                <w:sz w:val="22"/>
                <w:szCs w:val="22"/>
                <w:color w:val="auto"/>
              </w:rPr>
            </w:pPr>
          </w:p>
        </w:tc>
        <w:tc>
          <w:tcPr>
            <w:tcW w:w="60" w:type="dxa"/>
            <w:vAlign w:val="bottom"/>
            <w:tcBorders>
              <w:bottom w:val="single" w:sz="8" w:color="EDEDED"/>
            </w:tcBorders>
          </w:tcPr>
          <w:p>
            <w:pPr>
              <w:spacing w:after="0"/>
              <w:rPr>
                <w:sz w:val="22"/>
                <w:szCs w:val="22"/>
                <w:color w:val="auto"/>
              </w:rPr>
            </w:pPr>
          </w:p>
        </w:tc>
        <w:tc>
          <w:tcPr>
            <w:tcW w:w="220" w:type="dxa"/>
            <w:vAlign w:val="bottom"/>
            <w:tcBorders>
              <w:bottom w:val="single" w:sz="8" w:color="00162F"/>
            </w:tcBorders>
          </w:tcPr>
          <w:p>
            <w:pPr>
              <w:spacing w:after="0"/>
              <w:rPr>
                <w:sz w:val="22"/>
                <w:szCs w:val="22"/>
                <w:color w:val="auto"/>
              </w:rPr>
            </w:pPr>
          </w:p>
        </w:tc>
        <w:tc>
          <w:tcPr>
            <w:tcW w:w="740" w:type="dxa"/>
            <w:vAlign w:val="bottom"/>
            <w:tcBorders>
              <w:bottom w:val="single" w:sz="8" w:color="00162F"/>
            </w:tcBorders>
            <w:vMerge w:val="continue"/>
          </w:tcPr>
          <w:p>
            <w:pPr>
              <w:spacing w:after="0"/>
              <w:rPr>
                <w:sz w:val="22"/>
                <w:szCs w:val="22"/>
                <w:color w:val="auto"/>
              </w:rPr>
            </w:pPr>
          </w:p>
        </w:tc>
        <w:tc>
          <w:tcPr>
            <w:tcW w:w="60" w:type="dxa"/>
            <w:vAlign w:val="bottom"/>
            <w:tcBorders>
              <w:bottom w:val="single" w:sz="8" w:color="EDEDED"/>
            </w:tcBorders>
          </w:tcPr>
          <w:p>
            <w:pPr>
              <w:spacing w:after="0"/>
              <w:rPr>
                <w:sz w:val="22"/>
                <w:szCs w:val="22"/>
                <w:color w:val="auto"/>
              </w:rPr>
            </w:pPr>
          </w:p>
        </w:tc>
        <w:tc>
          <w:tcPr>
            <w:tcW w:w="160" w:type="dxa"/>
            <w:vAlign w:val="bottom"/>
            <w:tcBorders>
              <w:bottom w:val="single" w:sz="8" w:color="00162F"/>
            </w:tcBorders>
          </w:tcPr>
          <w:p>
            <w:pPr>
              <w:spacing w:after="0"/>
              <w:rPr>
                <w:sz w:val="22"/>
                <w:szCs w:val="22"/>
                <w:color w:val="auto"/>
              </w:rPr>
            </w:pPr>
          </w:p>
        </w:tc>
        <w:tc>
          <w:tcPr>
            <w:tcW w:w="800" w:type="dxa"/>
            <w:vAlign w:val="bottom"/>
            <w:tcBorders>
              <w:bottom w:val="single" w:sz="8" w:color="00162F"/>
            </w:tcBorders>
            <w:vMerge w:val="continue"/>
          </w:tcPr>
          <w:p>
            <w:pPr>
              <w:spacing w:after="0"/>
              <w:rPr>
                <w:sz w:val="22"/>
                <w:szCs w:val="22"/>
                <w:color w:val="auto"/>
              </w:rPr>
            </w:pPr>
          </w:p>
        </w:tc>
        <w:tc>
          <w:tcPr>
            <w:tcW w:w="60" w:type="dxa"/>
            <w:vAlign w:val="bottom"/>
            <w:tcBorders>
              <w:bottom w:val="single" w:sz="8" w:color="EDEDED"/>
            </w:tcBorders>
          </w:tcPr>
          <w:p>
            <w:pPr>
              <w:spacing w:after="0"/>
              <w:rPr>
                <w:sz w:val="22"/>
                <w:szCs w:val="22"/>
                <w:color w:val="auto"/>
              </w:rPr>
            </w:pPr>
          </w:p>
        </w:tc>
        <w:tc>
          <w:tcPr>
            <w:tcW w:w="220" w:type="dxa"/>
            <w:vAlign w:val="bottom"/>
            <w:tcBorders>
              <w:bottom w:val="single" w:sz="8" w:color="00162F"/>
            </w:tcBorders>
          </w:tcPr>
          <w:p>
            <w:pPr>
              <w:spacing w:after="0"/>
              <w:rPr>
                <w:sz w:val="22"/>
                <w:szCs w:val="22"/>
                <w:color w:val="auto"/>
              </w:rPr>
            </w:pPr>
          </w:p>
        </w:tc>
        <w:tc>
          <w:tcPr>
            <w:tcW w:w="740" w:type="dxa"/>
            <w:vAlign w:val="bottom"/>
            <w:tcBorders>
              <w:bottom w:val="single" w:sz="8" w:color="00162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5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Effective tax rate</w:t>
            </w:r>
          </w:p>
        </w:tc>
        <w:tc>
          <w:tcPr>
            <w:tcW w:w="1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79</w:t>
            </w:r>
          </w:p>
        </w:tc>
        <w:tc>
          <w:tcPr>
            <w:tcW w:w="60" w:type="dxa"/>
            <w:vAlign w:val="bottom"/>
            <w:tcBorders>
              <w:bottom w:val="single" w:sz="8" w:color="EDEDED"/>
            </w:tcBorders>
            <w:shd w:val="clear" w:color="auto" w:fill="EDEDED"/>
          </w:tcPr>
          <w:p>
            <w:pPr>
              <w:spacing w:after="0"/>
              <w:rPr>
                <w:sz w:val="24"/>
                <w:szCs w:val="24"/>
                <w:color w:val="auto"/>
              </w:rPr>
            </w:pPr>
          </w:p>
        </w:tc>
        <w:tc>
          <w:tcPr>
            <w:tcW w:w="240" w:type="dxa"/>
            <w:vAlign w:val="bottom"/>
            <w:tcBorders>
              <w:bottom w:val="single" w:sz="8" w:color="00162F"/>
            </w:tcBorders>
            <w:shd w:val="clear" w:color="auto" w:fill="EDEDED"/>
          </w:tcPr>
          <w:p>
            <w:pPr>
              <w:spacing w:after="0"/>
              <w:rPr>
                <w:sz w:val="24"/>
                <w:szCs w:val="24"/>
                <w:color w:val="auto"/>
              </w:rPr>
            </w:pPr>
          </w:p>
        </w:tc>
        <w:tc>
          <w:tcPr>
            <w:tcW w:w="7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41.2 %</w:t>
            </w:r>
          </w:p>
        </w:tc>
        <w:tc>
          <w:tcPr>
            <w:tcW w:w="6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308</w:t>
            </w:r>
          </w:p>
        </w:tc>
        <w:tc>
          <w:tcPr>
            <w:tcW w:w="6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00162F"/>
            </w:tcBorders>
            <w:shd w:val="clear" w:color="auto" w:fill="EDEDED"/>
          </w:tcPr>
          <w:p>
            <w:pPr>
              <w:spacing w:after="0"/>
              <w:rPr>
                <w:sz w:val="24"/>
                <w:szCs w:val="24"/>
                <w:color w:val="auto"/>
              </w:rPr>
            </w:pPr>
          </w:p>
        </w:tc>
        <w:tc>
          <w:tcPr>
            <w:tcW w:w="7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26.7 %</w:t>
            </w:r>
          </w:p>
        </w:tc>
        <w:tc>
          <w:tcPr>
            <w:tcW w:w="6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299</w:t>
            </w:r>
          </w:p>
        </w:tc>
        <w:tc>
          <w:tcPr>
            <w:tcW w:w="6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00162F"/>
            </w:tcBorders>
            <w:shd w:val="clear" w:color="auto" w:fill="EDEDED"/>
          </w:tcPr>
          <w:p>
            <w:pPr>
              <w:spacing w:after="0"/>
              <w:rPr>
                <w:sz w:val="24"/>
                <w:szCs w:val="24"/>
                <w:color w:val="auto"/>
              </w:rPr>
            </w:pPr>
          </w:p>
        </w:tc>
        <w:tc>
          <w:tcPr>
            <w:tcW w:w="7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26.7 %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-1954530</wp:posOffset>
            </wp:positionV>
            <wp:extent cx="390969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5">
                      <a:extLst>
                        <a:ext uri="{28A0092B-C50C-407E-A947-70E740481C1C}"/>
                      </a:extLst>
                    </a:blip>
                    <a:srcRect/>
                    <a:stretch>
                      <a:fillRect/>
                    </a:stretch>
                  </pic:blipFill>
                  <pic:spPr bwMode="auto">
                    <a:xfrm>
                      <a:off x="0" y="0"/>
                      <a:ext cx="3909695" cy="25400"/>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-219710</wp:posOffset>
            </wp:positionV>
            <wp:extent cx="328422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6">
                      <a:extLst>
                        <a:ext uri="{28A0092B-C50C-407E-A947-70E740481C1C}"/>
                      </a:extLst>
                    </a:blip>
                    <a:srcRect/>
                    <a:stretch>
                      <a:fillRect/>
                    </a:stretch>
                  </pic:blipFill>
                  <pic:spPr bwMode="auto">
                    <a:xfrm>
                      <a:off x="0" y="0"/>
                      <a:ext cx="3284220" cy="25400"/>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-43815</wp:posOffset>
            </wp:positionV>
            <wp:extent cx="3909695"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7">
                      <a:extLst>
                        <a:ext uri="{28A0092B-C50C-407E-A947-70E740481C1C}"/>
                      </a:extLst>
                    </a:blip>
                    <a:srcRect/>
                    <a:stretch>
                      <a:fillRect/>
                    </a:stretch>
                  </pic:blipFill>
                  <pic:spPr bwMode="auto">
                    <a:xfrm>
                      <a:off x="0" y="0"/>
                      <a:ext cx="3909695" cy="50800"/>
                    </a:xfrm>
                    <a:prstGeom prst="rect">
                      <a:avLst/>
                    </a:prstGeom>
                    <a:noFill/>
                  </pic:spPr>
                </pic:pic>
              </a:graphicData>
            </a:graphic>
          </wp:anchor>
        </w:drawing>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108</w:t>
      </w:r>
    </w:p>
    <w:p>
      <w:pPr>
        <w:sectPr>
          <w:pgSz w:w="11880" w:h="15480" w:orient="portrait"/>
          <w:cols w:equalWidth="0" w:num="1">
            <w:col w:w="10680"/>
          </w:cols>
          <w:pgMar w:left="600" w:top="487" w:right="600" w:bottom="0" w:gutter="0" w:footer="0" w:header="0"/>
          <w:type w:val="continuous"/>
        </w:sectPr>
      </w:pPr>
    </w:p>
    <w:bookmarkStart w:id="109" w:name="page110"/>
    <w:bookmarkEnd w:id="109"/>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The components of our deferred tax assets and liabilities were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1020" w:type="dxa"/>
            <w:vAlign w:val="bottom"/>
            <w:tcBorders>
              <w:bottom w:val="single" w:sz="8" w:color="00162F"/>
            </w:tcBorders>
          </w:tcPr>
          <w:p>
            <w:pPr>
              <w:spacing w:after="0"/>
              <w:rPr>
                <w:sz w:val="18"/>
                <w:szCs w:val="18"/>
                <w:color w:val="auto"/>
              </w:rPr>
            </w:pPr>
          </w:p>
        </w:tc>
        <w:tc>
          <w:tcPr>
            <w:tcW w:w="1300" w:type="dxa"/>
            <w:vAlign w:val="bottom"/>
            <w:tcBorders>
              <w:bottom w:val="single" w:sz="8" w:color="00162F"/>
            </w:tcBorders>
            <w:gridSpan w:val="3"/>
          </w:tcPr>
          <w:p>
            <w:pPr>
              <w:jc w:val="right"/>
              <w:ind w:right="1"/>
              <w:spacing w:after="0"/>
              <w:rPr>
                <w:sz w:val="20"/>
                <w:szCs w:val="20"/>
                <w:color w:val="auto"/>
              </w:rPr>
            </w:pPr>
            <w:r>
              <w:rPr>
                <w:rFonts w:ascii="Arial" w:cs="Arial" w:eastAsia="Arial" w:hAnsi="Arial"/>
                <w:sz w:val="16"/>
                <w:szCs w:val="16"/>
                <w:b w:val="1"/>
                <w:bCs w:val="1"/>
                <w:color w:val="00162F"/>
              </w:rPr>
              <w:t>December 31,</w:t>
            </w:r>
          </w:p>
        </w:tc>
        <w:tc>
          <w:tcPr>
            <w:tcW w:w="1100" w:type="dxa"/>
            <w:vAlign w:val="bottom"/>
            <w:tcBorders>
              <w:bottom w:val="single" w:sz="8" w:color="00162F"/>
            </w:tcBorders>
          </w:tcPr>
          <w:p>
            <w:pPr>
              <w:spacing w:after="0"/>
              <w:rPr>
                <w:sz w:val="18"/>
                <w:szCs w:val="18"/>
                <w:color w:val="auto"/>
              </w:rPr>
            </w:pPr>
          </w:p>
        </w:tc>
      </w:tr>
      <w:tr>
        <w:trPr>
          <w:trHeight w:val="232"/>
        </w:trPr>
        <w:tc>
          <w:tcPr>
            <w:tcW w:w="7260" w:type="dxa"/>
            <w:vAlign w:val="bottom"/>
            <w:tcBorders>
              <w:bottom w:val="single" w:sz="8" w:color="EDEDED"/>
            </w:tcBorders>
          </w:tcPr>
          <w:p>
            <w:pPr>
              <w:spacing w:after="0"/>
              <w:rPr>
                <w:sz w:val="20"/>
                <w:szCs w:val="20"/>
                <w:color w:val="auto"/>
              </w:rPr>
            </w:pPr>
          </w:p>
        </w:tc>
        <w:tc>
          <w:tcPr>
            <w:tcW w:w="102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2025</w:t>
            </w:r>
          </w:p>
        </w:tc>
        <w:tc>
          <w:tcPr>
            <w:tcW w:w="660" w:type="dxa"/>
            <w:vAlign w:val="bottom"/>
            <w:tcBorders>
              <w:bottom w:val="single" w:sz="8" w:color="00162F"/>
            </w:tcBorders>
          </w:tcPr>
          <w:p>
            <w:pPr>
              <w:spacing w:after="0"/>
              <w:rPr>
                <w:sz w:val="20"/>
                <w:szCs w:val="20"/>
                <w:color w:val="auto"/>
              </w:rPr>
            </w:pPr>
          </w:p>
        </w:tc>
        <w:tc>
          <w:tcPr>
            <w:tcW w:w="60" w:type="dxa"/>
            <w:vAlign w:val="bottom"/>
            <w:tcBorders>
              <w:bottom w:val="single" w:sz="8" w:color="EDEDED"/>
            </w:tcBorders>
          </w:tcPr>
          <w:p>
            <w:pPr>
              <w:spacing w:after="0"/>
              <w:rPr>
                <w:sz w:val="20"/>
                <w:szCs w:val="20"/>
                <w:color w:val="auto"/>
              </w:rPr>
            </w:pPr>
          </w:p>
        </w:tc>
        <w:tc>
          <w:tcPr>
            <w:tcW w:w="5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562"/>
              <w:spacing w:after="0"/>
              <w:rPr>
                <w:sz w:val="20"/>
                <w:szCs w:val="20"/>
                <w:color w:val="auto"/>
              </w:rPr>
            </w:pPr>
            <w:r>
              <w:rPr>
                <w:rFonts w:ascii="Arial" w:cs="Arial" w:eastAsia="Arial" w:hAnsi="Arial"/>
                <w:sz w:val="16"/>
                <w:szCs w:val="16"/>
                <w:b w:val="1"/>
                <w:bCs w:val="1"/>
                <w:color w:val="00162F"/>
              </w:rPr>
              <w:t>2024</w:t>
            </w:r>
          </w:p>
        </w:tc>
      </w:tr>
      <w:tr>
        <w:trPr>
          <w:trHeight w:val="267"/>
        </w:trPr>
        <w:tc>
          <w:tcPr>
            <w:tcW w:w="72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Deferred tax assets:</w:t>
            </w:r>
          </w:p>
        </w:tc>
        <w:tc>
          <w:tcPr>
            <w:tcW w:w="1020" w:type="dxa"/>
            <w:vAlign w:val="bottom"/>
            <w:tcBorders>
              <w:bottom w:val="single" w:sz="8" w:color="EDEDED"/>
            </w:tcBorders>
            <w:shd w:val="clear" w:color="auto" w:fill="EDEDED"/>
          </w:tcPr>
          <w:p>
            <w:pPr>
              <w:spacing w:after="0"/>
              <w:rPr>
                <w:sz w:val="23"/>
                <w:szCs w:val="23"/>
                <w:color w:val="auto"/>
              </w:rPr>
            </w:pPr>
          </w:p>
        </w:tc>
        <w:tc>
          <w:tcPr>
            <w:tcW w:w="66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580" w:type="dxa"/>
            <w:vAlign w:val="bottom"/>
            <w:tcBorders>
              <w:bottom w:val="single" w:sz="8" w:color="EDEDED"/>
            </w:tcBorders>
            <w:shd w:val="clear" w:color="auto" w:fill="EDEDED"/>
          </w:tcPr>
          <w:p>
            <w:pPr>
              <w:spacing w:after="0"/>
              <w:rPr>
                <w:sz w:val="23"/>
                <w:szCs w:val="23"/>
                <w:color w:val="auto"/>
              </w:rPr>
            </w:pPr>
          </w:p>
        </w:tc>
        <w:tc>
          <w:tcPr>
            <w:tcW w:w="1100" w:type="dxa"/>
            <w:vAlign w:val="bottom"/>
            <w:tcBorders>
              <w:bottom w:val="single" w:sz="8" w:color="EDEDED"/>
            </w:tcBorders>
            <w:shd w:val="clear" w:color="auto" w:fill="EDEDED"/>
          </w:tcPr>
          <w:p>
            <w:pPr>
              <w:spacing w:after="0"/>
              <w:rPr>
                <w:sz w:val="23"/>
                <w:szCs w:val="23"/>
                <w:color w:val="auto"/>
              </w:rPr>
            </w:pP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Net operating loss and other carryforwards</w:t>
            </w:r>
          </w:p>
        </w:tc>
        <w:tc>
          <w:tcPr>
            <w:tcW w:w="1020" w:type="dxa"/>
            <w:vAlign w:val="bottom"/>
          </w:tcPr>
          <w:p>
            <w:pPr>
              <w:jc w:val="right"/>
              <w:ind w:right="768"/>
              <w:spacing w:after="0"/>
              <w:rPr>
                <w:sz w:val="20"/>
                <w:szCs w:val="20"/>
                <w:color w:val="auto"/>
              </w:rPr>
            </w:pPr>
            <w:r>
              <w:rPr>
                <w:rFonts w:ascii="Arial" w:cs="Arial" w:eastAsia="Arial" w:hAnsi="Arial"/>
                <w:sz w:val="20"/>
                <w:szCs w:val="20"/>
                <w:color w:val="00162F"/>
              </w:rPr>
              <w:t>$</w:t>
            </w:r>
          </w:p>
        </w:tc>
        <w:tc>
          <w:tcPr>
            <w:tcW w:w="660" w:type="dxa"/>
            <w:vAlign w:val="bottom"/>
          </w:tcPr>
          <w:p>
            <w:pPr>
              <w:jc w:val="right"/>
              <w:spacing w:after="0"/>
              <w:rPr>
                <w:sz w:val="20"/>
                <w:szCs w:val="20"/>
                <w:color w:val="auto"/>
              </w:rPr>
            </w:pPr>
            <w:r>
              <w:rPr>
                <w:rFonts w:ascii="Arial" w:cs="Arial" w:eastAsia="Arial" w:hAnsi="Arial"/>
                <w:sz w:val="20"/>
                <w:szCs w:val="20"/>
                <w:color w:val="00162F"/>
              </w:rPr>
              <w:t>4,095</w:t>
            </w:r>
          </w:p>
        </w:tc>
        <w:tc>
          <w:tcPr>
            <w:tcW w:w="640" w:type="dxa"/>
            <w:vAlign w:val="bottom"/>
            <w:gridSpan w:val="2"/>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4,292</w:t>
            </w:r>
          </w:p>
        </w:tc>
      </w:tr>
      <w:tr>
        <w:trPr>
          <w:trHeight w:val="301"/>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Loyalty program liability</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1,949</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1,799</w:t>
            </w: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Leases</w:t>
            </w:r>
          </w:p>
        </w:tc>
        <w:tc>
          <w:tcPr>
            <w:tcW w:w="10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00162F"/>
              </w:rPr>
              <w:t>1,566</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1,596</w:t>
            </w:r>
          </w:p>
        </w:tc>
      </w:tr>
      <w:tr>
        <w:trPr>
          <w:trHeight w:val="301"/>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Pension benefits</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109</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234</w:t>
            </w: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Postretirement benefits other than pension benefits</w:t>
            </w:r>
          </w:p>
        </w:tc>
        <w:tc>
          <w:tcPr>
            <w:tcW w:w="10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00162F"/>
              </w:rPr>
              <w:t>260</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270</w:t>
            </w:r>
          </w:p>
        </w:tc>
      </w:tr>
      <w:tr>
        <w:trPr>
          <w:trHeight w:val="301"/>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Rent expense</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37</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60</w:t>
            </w:r>
          </w:p>
        </w:tc>
      </w:tr>
      <w:tr>
        <w:trPr>
          <w:trHeight w:val="287"/>
        </w:trPr>
        <w:tc>
          <w:tcPr>
            <w:tcW w:w="7260" w:type="dxa"/>
            <w:vAlign w:val="bottom"/>
            <w:tcBorders>
              <w:bottom w:val="single" w:sz="8" w:color="EDEDED"/>
            </w:tcBorders>
          </w:tcPr>
          <w:p>
            <w:pPr>
              <w:ind w:left="180"/>
              <w:spacing w:after="0"/>
              <w:rPr>
                <w:sz w:val="20"/>
                <w:szCs w:val="20"/>
                <w:color w:val="auto"/>
              </w:rPr>
            </w:pPr>
            <w:r>
              <w:rPr>
                <w:rFonts w:ascii="Arial" w:cs="Arial" w:eastAsia="Arial" w:hAnsi="Arial"/>
                <w:sz w:val="20"/>
                <w:szCs w:val="20"/>
                <w:color w:val="00162F"/>
              </w:rPr>
              <w:t>Other</w:t>
            </w:r>
          </w:p>
        </w:tc>
        <w:tc>
          <w:tcPr>
            <w:tcW w:w="1020" w:type="dxa"/>
            <w:vAlign w:val="bottom"/>
            <w:tcBorders>
              <w:bottom w:val="single" w:sz="8" w:color="00162F"/>
            </w:tcBorders>
          </w:tcPr>
          <w:p>
            <w:pPr>
              <w:spacing w:after="0"/>
              <w:rPr>
                <w:sz w:val="24"/>
                <w:szCs w:val="24"/>
                <w:color w:val="auto"/>
              </w:rPr>
            </w:pPr>
          </w:p>
        </w:tc>
        <w:tc>
          <w:tcPr>
            <w:tcW w:w="6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676</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775</w:t>
            </w:r>
          </w:p>
        </w:tc>
      </w:tr>
      <w:tr>
        <w:trPr>
          <w:trHeight w:val="287"/>
        </w:trPr>
        <w:tc>
          <w:tcPr>
            <w:tcW w:w="726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Total deferred tax assets</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8,692</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9,026</w:t>
            </w:r>
          </w:p>
        </w:tc>
      </w:tr>
      <w:tr>
        <w:trPr>
          <w:trHeight w:val="287"/>
        </w:trPr>
        <w:tc>
          <w:tcPr>
            <w:tcW w:w="7260" w:type="dxa"/>
            <w:vAlign w:val="bottom"/>
            <w:tcBorders>
              <w:bottom w:val="single" w:sz="8" w:color="EDEDED"/>
            </w:tcBorders>
          </w:tcPr>
          <w:p>
            <w:pPr>
              <w:ind w:left="400"/>
              <w:spacing w:after="0"/>
              <w:rPr>
                <w:sz w:val="20"/>
                <w:szCs w:val="20"/>
                <w:color w:val="auto"/>
              </w:rPr>
            </w:pPr>
            <w:r>
              <w:rPr>
                <w:rFonts w:ascii="Arial" w:cs="Arial" w:eastAsia="Arial" w:hAnsi="Arial"/>
                <w:sz w:val="20"/>
                <w:szCs w:val="20"/>
                <w:color w:val="00162F"/>
              </w:rPr>
              <w:t>Valuation allowance</w:t>
            </w:r>
          </w:p>
        </w:tc>
        <w:tc>
          <w:tcPr>
            <w:tcW w:w="1020" w:type="dxa"/>
            <w:vAlign w:val="bottom"/>
            <w:tcBorders>
              <w:bottom w:val="single" w:sz="8" w:color="00162F"/>
            </w:tcBorders>
          </w:tcPr>
          <w:p>
            <w:pPr>
              <w:spacing w:after="0"/>
              <w:rPr>
                <w:sz w:val="24"/>
                <w:szCs w:val="24"/>
                <w:color w:val="auto"/>
              </w:rPr>
            </w:pPr>
          </w:p>
        </w:tc>
        <w:tc>
          <w:tcPr>
            <w:tcW w:w="6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(22)</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(22)</w:t>
            </w:r>
          </w:p>
        </w:tc>
      </w:tr>
      <w:tr>
        <w:trPr>
          <w:trHeight w:val="297"/>
        </w:trPr>
        <w:tc>
          <w:tcPr>
            <w:tcW w:w="726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20"/>
                <w:szCs w:val="20"/>
                <w:color w:val="00162F"/>
              </w:rPr>
              <w:t>Net deferred tax assets</w:t>
            </w:r>
          </w:p>
        </w:tc>
        <w:tc>
          <w:tcPr>
            <w:tcW w:w="1020" w:type="dxa"/>
            <w:vAlign w:val="bottom"/>
            <w:tcBorders>
              <w:bottom w:val="single" w:sz="8" w:color="00162F"/>
            </w:tcBorders>
            <w:shd w:val="clear" w:color="auto" w:fill="EDEDED"/>
          </w:tcPr>
          <w:p>
            <w:pPr>
              <w:spacing w:after="0"/>
              <w:rPr>
                <w:sz w:val="24"/>
                <w:szCs w:val="24"/>
                <w:color w:val="auto"/>
              </w:rPr>
            </w:pPr>
          </w:p>
        </w:tc>
        <w:tc>
          <w:tcPr>
            <w:tcW w:w="6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8,670</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9,004</w:t>
            </w:r>
          </w:p>
        </w:tc>
      </w:tr>
      <w:tr>
        <w:trPr>
          <w:trHeight w:val="245"/>
        </w:trPr>
        <w:tc>
          <w:tcPr>
            <w:tcW w:w="7260" w:type="dxa"/>
            <w:vAlign w:val="bottom"/>
          </w:tcPr>
          <w:p>
            <w:pPr>
              <w:ind w:left="40"/>
              <w:spacing w:after="0"/>
              <w:rPr>
                <w:sz w:val="20"/>
                <w:szCs w:val="20"/>
                <w:color w:val="auto"/>
              </w:rPr>
            </w:pPr>
            <w:r>
              <w:rPr>
                <w:rFonts w:ascii="Arial" w:cs="Arial" w:eastAsia="Arial" w:hAnsi="Arial"/>
                <w:sz w:val="20"/>
                <w:szCs w:val="20"/>
                <w:color w:val="00162F"/>
              </w:rPr>
              <w:t>Deferred tax liabilities: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
        </w:trPr>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97"/>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Accelerated depreciation and amortization</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jc w:val="right"/>
              <w:spacing w:after="0"/>
              <w:rPr>
                <w:sz w:val="20"/>
                <w:szCs w:val="20"/>
                <w:color w:val="auto"/>
              </w:rPr>
            </w:pPr>
            <w:r>
              <w:rPr>
                <w:rFonts w:ascii="Arial" w:cs="Arial" w:eastAsia="Arial" w:hAnsi="Arial"/>
                <w:sz w:val="20"/>
                <w:szCs w:val="20"/>
                <w:color w:val="00162F"/>
                <w:w w:val="97"/>
              </w:rPr>
              <w:t>(4,543)</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(4,620)</w:t>
            </w: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Leases</w:t>
            </w:r>
          </w:p>
        </w:tc>
        <w:tc>
          <w:tcPr>
            <w:tcW w:w="10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00162F"/>
                <w:w w:val="97"/>
              </w:rPr>
              <w:t>(1,594)</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(1,656)</w:t>
            </w:r>
          </w:p>
        </w:tc>
      </w:tr>
      <w:tr>
        <w:trPr>
          <w:trHeight w:val="311"/>
        </w:trPr>
        <w:tc>
          <w:tcPr>
            <w:tcW w:w="726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Other</w:t>
            </w:r>
          </w:p>
        </w:tc>
        <w:tc>
          <w:tcPr>
            <w:tcW w:w="1020" w:type="dxa"/>
            <w:vAlign w:val="bottom"/>
            <w:tcBorders>
              <w:bottom w:val="single" w:sz="8" w:color="00162F"/>
            </w:tcBorders>
            <w:shd w:val="clear" w:color="auto" w:fill="EDEDED"/>
          </w:tcPr>
          <w:p>
            <w:pPr>
              <w:spacing w:after="0"/>
              <w:rPr>
                <w:sz w:val="24"/>
                <w:szCs w:val="24"/>
                <w:color w:val="auto"/>
              </w:rPr>
            </w:pPr>
          </w:p>
        </w:tc>
        <w:tc>
          <w:tcPr>
            <w:tcW w:w="6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(174)</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(252)</w:t>
            </w:r>
          </w:p>
        </w:tc>
      </w:tr>
      <w:tr>
        <w:trPr>
          <w:trHeight w:val="257"/>
        </w:trPr>
        <w:tc>
          <w:tcPr>
            <w:tcW w:w="7260" w:type="dxa"/>
            <w:vAlign w:val="bottom"/>
            <w:tcBorders>
              <w:bottom w:val="single" w:sz="8" w:color="EDEDED"/>
            </w:tcBorders>
          </w:tcPr>
          <w:p>
            <w:pPr>
              <w:ind w:left="400"/>
              <w:spacing w:after="0"/>
              <w:rPr>
                <w:sz w:val="20"/>
                <w:szCs w:val="20"/>
                <w:color w:val="auto"/>
              </w:rPr>
            </w:pPr>
            <w:r>
              <w:rPr>
                <w:rFonts w:ascii="Arial" w:cs="Arial" w:eastAsia="Arial" w:hAnsi="Arial"/>
                <w:sz w:val="20"/>
                <w:szCs w:val="20"/>
                <w:color w:val="00162F"/>
              </w:rPr>
              <w:t>Total deferred tax liabilities</w:t>
            </w:r>
          </w:p>
        </w:tc>
        <w:tc>
          <w:tcPr>
            <w:tcW w:w="1020" w:type="dxa"/>
            <w:vAlign w:val="bottom"/>
            <w:tcBorders>
              <w:bottom w:val="single" w:sz="8" w:color="00162F"/>
            </w:tcBorders>
          </w:tcPr>
          <w:p>
            <w:pPr>
              <w:spacing w:after="0"/>
              <w:rPr>
                <w:sz w:val="22"/>
                <w:szCs w:val="22"/>
                <w:color w:val="auto"/>
              </w:rPr>
            </w:pPr>
          </w:p>
        </w:tc>
        <w:tc>
          <w:tcPr>
            <w:tcW w:w="6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w w:val="97"/>
              </w:rPr>
              <w:t>(6,311)</w:t>
            </w:r>
          </w:p>
        </w:tc>
        <w:tc>
          <w:tcPr>
            <w:tcW w:w="60" w:type="dxa"/>
            <w:vAlign w:val="bottom"/>
            <w:tcBorders>
              <w:bottom w:val="single" w:sz="8" w:color="EDEDED"/>
            </w:tcBorders>
          </w:tcPr>
          <w:p>
            <w:pPr>
              <w:spacing w:after="0"/>
              <w:rPr>
                <w:sz w:val="22"/>
                <w:szCs w:val="22"/>
                <w:color w:val="auto"/>
              </w:rPr>
            </w:pPr>
          </w:p>
        </w:tc>
        <w:tc>
          <w:tcPr>
            <w:tcW w:w="580" w:type="dxa"/>
            <w:vAlign w:val="bottom"/>
            <w:tcBorders>
              <w:bottom w:val="single" w:sz="8" w:color="00162F"/>
            </w:tcBorders>
          </w:tcPr>
          <w:p>
            <w:pPr>
              <w:spacing w:after="0"/>
              <w:rPr>
                <w:sz w:val="22"/>
                <w:szCs w:val="22"/>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(6,528)</w:t>
            </w:r>
          </w:p>
        </w:tc>
      </w:tr>
      <w:tr>
        <w:trPr>
          <w:trHeight w:val="297"/>
        </w:trPr>
        <w:tc>
          <w:tcPr>
            <w:tcW w:w="72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Net deferred tax asset</w:t>
            </w:r>
          </w:p>
        </w:tc>
        <w:tc>
          <w:tcPr>
            <w:tcW w:w="1020" w:type="dxa"/>
            <w:vAlign w:val="bottom"/>
            <w:tcBorders>
              <w:bottom w:val="single" w:sz="8" w:color="00162F"/>
            </w:tcBorders>
            <w:shd w:val="clear" w:color="auto" w:fill="EDEDED"/>
          </w:tcPr>
          <w:p>
            <w:pPr>
              <w:jc w:val="right"/>
              <w:ind w:right="768"/>
              <w:spacing w:after="0"/>
              <w:rPr>
                <w:sz w:val="20"/>
                <w:szCs w:val="20"/>
                <w:color w:val="auto"/>
              </w:rPr>
            </w:pPr>
            <w:r>
              <w:rPr>
                <w:rFonts w:ascii="Arial" w:cs="Arial" w:eastAsia="Arial" w:hAnsi="Arial"/>
                <w:sz w:val="20"/>
                <w:szCs w:val="20"/>
                <w:color w:val="00162F"/>
              </w:rPr>
              <w:t>$</w:t>
            </w:r>
          </w:p>
        </w:tc>
        <w:tc>
          <w:tcPr>
            <w:tcW w:w="6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2,359</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-3236595</wp:posOffset>
            </wp:positionV>
            <wp:extent cx="22034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8">
                      <a:extLst>
                        <a:ext uri="{28A0092B-C50C-407E-A947-70E740481C1C}"/>
                      </a:extLst>
                    </a:blip>
                    <a:srcRect/>
                    <a:stretch>
                      <a:fillRect/>
                    </a:stretch>
                  </pic:blipFill>
                  <pic:spPr bwMode="auto">
                    <a:xfrm>
                      <a:off x="0" y="0"/>
                      <a:ext cx="22034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-1727835</wp:posOffset>
            </wp:positionV>
            <wp:extent cx="112522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9">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-1350645</wp:posOffset>
            </wp:positionV>
            <wp:extent cx="112522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0">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-1162685</wp:posOffset>
            </wp:positionV>
            <wp:extent cx="112522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1">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-408305</wp:posOffset>
            </wp:positionV>
            <wp:extent cx="112522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2">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-219710</wp:posOffset>
            </wp:positionV>
            <wp:extent cx="112522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3">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-43815</wp:posOffset>
            </wp:positionV>
            <wp:extent cx="2203450"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4">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At December 31, 2025, we had approximately $11.9 billion of gross federal NOLs and $6.0 billion of other carryforwards available to reduce future federal taxable income, of which $1.6 billion will expire beginning in 2033 if unused and $16.3 billion can be carried forward indefinitely. We also had approximately $5.0 billion of NOL carryforwards to reduce future state taxable income at December 31, 2025, which will expire in taxable years 2025 through 2045 if unused.</w:t>
      </w:r>
    </w:p>
    <w:p>
      <w:pPr>
        <w:spacing w:after="0" w:line="139"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Our ability to use our NOLs and other carryforwards depends on the amount of taxable income generated in future periods. We provide a valuation allowance for our deferred tax assets, which include our NOLs and other carryforwards,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spacing w:after="0" w:line="147"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In 2025, we recorded an income tax provision of $79 million with an effective rate of approximately 41.2%, which was substantially non-cash. Substantially all of our income before income taxes is attributable to the United States.</w:t>
      </w:r>
    </w:p>
    <w:p>
      <w:pPr>
        <w:spacing w:after="0" w:line="113"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We file our tax returns as prescribed by the tax laws of the jurisdictions in which we operate. Our 2022 through 2024 tax years are still subject to examination by the Internal Revenue Service. Various state, local and foreign jurisdiction tax years remain open to examination, and we are under examination, in administrative appeals or engaged in tax litigation in certain jurisdictions. We believe that the effect of any assessments will not be material to our consolidated financial statements.</w:t>
      </w:r>
    </w:p>
    <w:p>
      <w:pPr>
        <w:spacing w:after="0" w:line="139" w:lineRule="exact"/>
        <w:rPr>
          <w:sz w:val="20"/>
          <w:szCs w:val="20"/>
          <w:color w:val="auto"/>
        </w:rPr>
      </w:pPr>
    </w:p>
    <w:p>
      <w:pPr>
        <w:jc w:val="both"/>
        <w:ind w:firstLine="267"/>
        <w:spacing w:after="0" w:line="310" w:lineRule="auto"/>
        <w:rPr>
          <w:sz w:val="20"/>
          <w:szCs w:val="20"/>
          <w:color w:val="auto"/>
        </w:rPr>
      </w:pPr>
      <w:r>
        <w:rPr>
          <w:rFonts w:ascii="Arial" w:cs="Arial" w:eastAsia="Arial" w:hAnsi="Arial"/>
          <w:sz w:val="19"/>
          <w:szCs w:val="19"/>
          <w:color w:val="00162F"/>
        </w:rPr>
        <w:t>The amount of, and changes to, our uncertain tax positions were not material in any of the years presented. We accrue interest and penalties related to unrecognized tax benefits in interest expense and operating expense, respectively.</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109</w:t>
      </w:r>
    </w:p>
    <w:p>
      <w:pPr>
        <w:sectPr>
          <w:pgSz w:w="11880" w:h="15480" w:orient="portrait"/>
          <w:cols w:equalWidth="0" w:num="1">
            <w:col w:w="10680"/>
          </w:cols>
          <w:pgMar w:left="600" w:top="487" w:right="600" w:bottom="0" w:gutter="0" w:footer="0" w:header="0"/>
          <w:type w:val="continuous"/>
        </w:sectPr>
      </w:pPr>
    </w:p>
    <w:bookmarkStart w:id="110" w:name="page111"/>
    <w:bookmarkEnd w:id="110"/>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7. Fair Value Measurements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u w:val="single" w:color="auto"/>
          <w:color w:val="00162F"/>
        </w:rPr>
        <w:t>Assets Measured at Fair Value on a Recurring Basis</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143" w:lineRule="exact"/>
        <w:rPr>
          <w:sz w:val="20"/>
          <w:szCs w:val="20"/>
          <w:color w:val="auto"/>
        </w:rPr>
      </w:pPr>
    </w:p>
    <w:p>
      <w:pPr>
        <w:ind w:left="1420" w:hanging="712"/>
        <w:spacing w:after="0"/>
        <w:tabs>
          <w:tab w:leader="none" w:pos="1420" w:val="left"/>
        </w:tabs>
        <w:numPr>
          <w:ilvl w:val="0"/>
          <w:numId w:val="51"/>
        </w:numPr>
        <w:rPr>
          <w:rFonts w:ascii="Arial" w:cs="Arial" w:eastAsia="Arial" w:hAnsi="Arial"/>
          <w:sz w:val="20"/>
          <w:szCs w:val="20"/>
          <w:color w:val="00162F"/>
        </w:rPr>
      </w:pPr>
      <w:r>
        <w:rPr>
          <w:rFonts w:ascii="Arial" w:cs="Arial" w:eastAsia="Arial" w:hAnsi="Arial"/>
          <w:sz w:val="20"/>
          <w:szCs w:val="20"/>
          <w:color w:val="00162F"/>
        </w:rPr>
        <w:t>Level 1 – Observable inputs such as quoted prices in active markets;</w:t>
      </w:r>
    </w:p>
    <w:p>
      <w:pPr>
        <w:spacing w:after="0" w:line="185" w:lineRule="exact"/>
        <w:rPr>
          <w:rFonts w:ascii="Arial" w:cs="Arial" w:eastAsia="Arial" w:hAnsi="Arial"/>
          <w:sz w:val="20"/>
          <w:szCs w:val="20"/>
          <w:color w:val="00162F"/>
        </w:rPr>
      </w:pPr>
    </w:p>
    <w:p>
      <w:pPr>
        <w:ind w:left="1420" w:hanging="712"/>
        <w:spacing w:after="0" w:line="282" w:lineRule="auto"/>
        <w:tabs>
          <w:tab w:leader="none" w:pos="1420" w:val="left"/>
        </w:tabs>
        <w:numPr>
          <w:ilvl w:val="0"/>
          <w:numId w:val="51"/>
        </w:numPr>
        <w:rPr>
          <w:rFonts w:ascii="Arial" w:cs="Arial" w:eastAsia="Arial" w:hAnsi="Arial"/>
          <w:sz w:val="20"/>
          <w:szCs w:val="20"/>
          <w:color w:val="00162F"/>
        </w:rPr>
      </w:pPr>
      <w:r>
        <w:rPr>
          <w:rFonts w:ascii="Arial" w:cs="Arial" w:eastAsia="Arial" w:hAnsi="Arial"/>
          <w:sz w:val="20"/>
          <w:szCs w:val="20"/>
          <w:color w:val="00162F"/>
        </w:rPr>
        <w:t>Level 2 – Inputs, other than quoted prices in active markets, that are observable either directly or indirectly; and</w:t>
      </w:r>
    </w:p>
    <w:p>
      <w:pPr>
        <w:spacing w:after="0" w:line="112" w:lineRule="exact"/>
        <w:rPr>
          <w:rFonts w:ascii="Arial" w:cs="Arial" w:eastAsia="Arial" w:hAnsi="Arial"/>
          <w:sz w:val="20"/>
          <w:szCs w:val="20"/>
          <w:color w:val="00162F"/>
        </w:rPr>
      </w:pPr>
    </w:p>
    <w:p>
      <w:pPr>
        <w:ind w:left="1420" w:hanging="712"/>
        <w:spacing w:after="0" w:line="282" w:lineRule="auto"/>
        <w:tabs>
          <w:tab w:leader="none" w:pos="1420" w:val="left"/>
        </w:tabs>
        <w:numPr>
          <w:ilvl w:val="0"/>
          <w:numId w:val="51"/>
        </w:numPr>
        <w:rPr>
          <w:rFonts w:ascii="Arial" w:cs="Arial" w:eastAsia="Arial" w:hAnsi="Arial"/>
          <w:sz w:val="20"/>
          <w:szCs w:val="20"/>
          <w:color w:val="00162F"/>
        </w:rPr>
      </w:pPr>
      <w:r>
        <w:rPr>
          <w:rFonts w:ascii="Arial" w:cs="Arial" w:eastAsia="Arial" w:hAnsi="Arial"/>
          <w:sz w:val="20"/>
          <w:szCs w:val="20"/>
          <w:color w:val="00162F"/>
        </w:rPr>
        <w:t>Level 3 – Unobservable inputs in which there is little or no market data, which require the reporting entity to develop its own assumptions.</w:t>
      </w:r>
    </w:p>
    <w:p>
      <w:pPr>
        <w:spacing w:after="0" w:line="11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When available, we use quoted market prices to determine the fair value of our financial assets. If quoted market prices are not available, we measure fair value using valuation techniques that use, when possible, current market-based or independently-sourced market parameters, such as interest rates and currency rates.</w:t>
      </w:r>
    </w:p>
    <w:p>
      <w:pPr>
        <w:spacing w:after="0" w:line="129"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year ended December 31, 2025.</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Assets measured at fair value on a recurring basis are summarized below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80" w:type="dxa"/>
            <w:vAlign w:val="bottom"/>
            <w:tcBorders>
              <w:bottom w:val="single" w:sz="8" w:color="00162F"/>
            </w:tcBorders>
          </w:tcPr>
          <w:p>
            <w:pPr>
              <w:spacing w:after="0"/>
              <w:rPr>
                <w:sz w:val="18"/>
                <w:szCs w:val="18"/>
                <w:color w:val="auto"/>
              </w:rPr>
            </w:pPr>
          </w:p>
        </w:tc>
        <w:tc>
          <w:tcPr>
            <w:tcW w:w="5440" w:type="dxa"/>
            <w:vAlign w:val="bottom"/>
            <w:tcBorders>
              <w:bottom w:val="single" w:sz="8" w:color="00162F"/>
            </w:tcBorders>
            <w:gridSpan w:val="10"/>
          </w:tcPr>
          <w:p>
            <w:pPr>
              <w:ind w:left="680"/>
              <w:spacing w:after="0"/>
              <w:rPr>
                <w:sz w:val="20"/>
                <w:szCs w:val="20"/>
                <w:color w:val="auto"/>
              </w:rPr>
            </w:pPr>
            <w:r>
              <w:rPr>
                <w:rFonts w:ascii="Arial" w:cs="Arial" w:eastAsia="Arial" w:hAnsi="Arial"/>
                <w:sz w:val="16"/>
                <w:szCs w:val="16"/>
                <w:b w:val="1"/>
                <w:bCs w:val="1"/>
                <w:color w:val="00162F"/>
              </w:rPr>
              <w:t>Fair Value Measurements as of December 31, 2025</w:t>
            </w:r>
          </w:p>
        </w:tc>
      </w:tr>
      <w:tr>
        <w:trPr>
          <w:trHeight w:val="232"/>
        </w:trPr>
        <w:tc>
          <w:tcPr>
            <w:tcW w:w="4960" w:type="dxa"/>
            <w:vAlign w:val="bottom"/>
            <w:tcBorders>
              <w:bottom w:val="single" w:sz="8" w:color="EDEDED"/>
            </w:tcBorders>
          </w:tcPr>
          <w:p>
            <w:pPr>
              <w:spacing w:after="0"/>
              <w:rPr>
                <w:sz w:val="20"/>
                <w:szCs w:val="20"/>
                <w:color w:val="auto"/>
              </w:rPr>
            </w:pPr>
          </w:p>
        </w:tc>
        <w:tc>
          <w:tcPr>
            <w:tcW w:w="2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505"/>
              <w:spacing w:after="0"/>
              <w:rPr>
                <w:sz w:val="20"/>
                <w:szCs w:val="20"/>
                <w:color w:val="auto"/>
              </w:rPr>
            </w:pPr>
            <w:r>
              <w:rPr>
                <w:rFonts w:ascii="Arial" w:cs="Arial" w:eastAsia="Arial" w:hAnsi="Arial"/>
                <w:sz w:val="16"/>
                <w:szCs w:val="16"/>
                <w:b w:val="1"/>
                <w:bCs w:val="1"/>
                <w:color w:val="00162F"/>
              </w:rPr>
              <w:t>Total</w:t>
            </w:r>
          </w:p>
        </w:tc>
        <w:tc>
          <w:tcPr>
            <w:tcW w:w="60" w:type="dxa"/>
            <w:vAlign w:val="bottom"/>
            <w:tcBorders>
              <w:bottom w:val="single" w:sz="8" w:color="EDEDED"/>
            </w:tcBorders>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1120" w:type="dxa"/>
            <w:vAlign w:val="bottom"/>
            <w:tcBorders>
              <w:bottom w:val="single" w:sz="8" w:color="00162F"/>
            </w:tcBorders>
          </w:tcPr>
          <w:p>
            <w:pPr>
              <w:jc w:val="right"/>
              <w:ind w:right="403"/>
              <w:spacing w:after="0"/>
              <w:rPr>
                <w:sz w:val="20"/>
                <w:szCs w:val="20"/>
                <w:color w:val="auto"/>
              </w:rPr>
            </w:pPr>
            <w:r>
              <w:rPr>
                <w:rFonts w:ascii="Arial" w:cs="Arial" w:eastAsia="Arial" w:hAnsi="Arial"/>
                <w:sz w:val="16"/>
                <w:szCs w:val="16"/>
                <w:b w:val="1"/>
                <w:bCs w:val="1"/>
                <w:color w:val="00162F"/>
              </w:rPr>
              <w:t>Level 1</w:t>
            </w:r>
          </w:p>
        </w:tc>
        <w:tc>
          <w:tcPr>
            <w:tcW w:w="60" w:type="dxa"/>
            <w:vAlign w:val="bottom"/>
            <w:tcBorders>
              <w:bottom w:val="single" w:sz="8" w:color="EDEDED"/>
            </w:tcBorders>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1120" w:type="dxa"/>
            <w:vAlign w:val="bottom"/>
            <w:tcBorders>
              <w:bottom w:val="single" w:sz="8" w:color="00162F"/>
            </w:tcBorders>
          </w:tcPr>
          <w:p>
            <w:pPr>
              <w:jc w:val="right"/>
              <w:ind w:right="403"/>
              <w:spacing w:after="0"/>
              <w:rPr>
                <w:sz w:val="20"/>
                <w:szCs w:val="20"/>
                <w:color w:val="auto"/>
              </w:rPr>
            </w:pPr>
            <w:r>
              <w:rPr>
                <w:rFonts w:ascii="Arial" w:cs="Arial" w:eastAsia="Arial" w:hAnsi="Arial"/>
                <w:sz w:val="16"/>
                <w:szCs w:val="16"/>
                <w:b w:val="1"/>
                <w:bCs w:val="1"/>
                <w:color w:val="00162F"/>
              </w:rPr>
              <w:t>Level 2</w:t>
            </w:r>
          </w:p>
        </w:tc>
        <w:tc>
          <w:tcPr>
            <w:tcW w:w="80" w:type="dxa"/>
            <w:vAlign w:val="bottom"/>
            <w:tcBorders>
              <w:bottom w:val="single" w:sz="8" w:color="EDEDED"/>
            </w:tcBorders>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1120" w:type="dxa"/>
            <w:vAlign w:val="bottom"/>
            <w:tcBorders>
              <w:bottom w:val="single" w:sz="8" w:color="00162F"/>
            </w:tcBorders>
          </w:tcPr>
          <w:p>
            <w:pPr>
              <w:ind w:left="80"/>
              <w:spacing w:after="0"/>
              <w:rPr>
                <w:sz w:val="20"/>
                <w:szCs w:val="20"/>
                <w:color w:val="auto"/>
              </w:rPr>
            </w:pPr>
            <w:r>
              <w:rPr>
                <w:rFonts w:ascii="Arial" w:cs="Arial" w:eastAsia="Arial" w:hAnsi="Arial"/>
                <w:sz w:val="16"/>
                <w:szCs w:val="16"/>
                <w:b w:val="1"/>
                <w:bCs w:val="1"/>
                <w:color w:val="00162F"/>
              </w:rPr>
              <w:t>Level 3</w:t>
            </w:r>
          </w:p>
        </w:tc>
      </w:tr>
      <w:tr>
        <w:trPr>
          <w:trHeight w:val="267"/>
        </w:trPr>
        <w:tc>
          <w:tcPr>
            <w:tcW w:w="49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 xml:space="preserve">Short-term investments </w:t>
            </w:r>
            <w:r>
              <w:rPr>
                <w:rFonts w:ascii="Arial" w:cs="Arial" w:eastAsia="Arial" w:hAnsi="Arial"/>
                <w:sz w:val="12"/>
                <w:szCs w:val="12"/>
                <w:color w:val="00162F"/>
              </w:rPr>
              <w:t>(1), (2)</w:t>
            </w:r>
            <w:r>
              <w:rPr>
                <w:rFonts w:ascii="Arial" w:cs="Arial" w:eastAsia="Arial" w:hAnsi="Arial"/>
                <w:sz w:val="20"/>
                <w:szCs w:val="20"/>
                <w:color w:val="00162F"/>
              </w:rPr>
              <w:t>:</w:t>
            </w:r>
          </w:p>
        </w:tc>
        <w:tc>
          <w:tcPr>
            <w:tcW w:w="280" w:type="dxa"/>
            <w:vAlign w:val="bottom"/>
            <w:tcBorders>
              <w:bottom w:val="single" w:sz="8" w:color="EDEDED"/>
            </w:tcBorders>
            <w:shd w:val="clear" w:color="auto" w:fill="EDEDED"/>
          </w:tcPr>
          <w:p>
            <w:pPr>
              <w:spacing w:after="0"/>
              <w:rPr>
                <w:sz w:val="23"/>
                <w:szCs w:val="23"/>
                <w:color w:val="auto"/>
              </w:rPr>
            </w:pPr>
          </w:p>
        </w:tc>
        <w:tc>
          <w:tcPr>
            <w:tcW w:w="110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260" w:type="dxa"/>
            <w:vAlign w:val="bottom"/>
            <w:tcBorders>
              <w:bottom w:val="single" w:sz="8" w:color="EDEDED"/>
            </w:tcBorders>
            <w:shd w:val="clear" w:color="auto" w:fill="EDEDED"/>
          </w:tcPr>
          <w:p>
            <w:pPr>
              <w:spacing w:after="0"/>
              <w:rPr>
                <w:sz w:val="23"/>
                <w:szCs w:val="23"/>
                <w:color w:val="auto"/>
              </w:rPr>
            </w:pPr>
          </w:p>
        </w:tc>
        <w:tc>
          <w:tcPr>
            <w:tcW w:w="112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260" w:type="dxa"/>
            <w:vAlign w:val="bottom"/>
            <w:tcBorders>
              <w:bottom w:val="single" w:sz="8" w:color="EDEDED"/>
            </w:tcBorders>
            <w:shd w:val="clear" w:color="auto" w:fill="EDEDED"/>
          </w:tcPr>
          <w:p>
            <w:pPr>
              <w:spacing w:after="0"/>
              <w:rPr>
                <w:sz w:val="23"/>
                <w:szCs w:val="23"/>
                <w:color w:val="auto"/>
              </w:rPr>
            </w:pPr>
          </w:p>
        </w:tc>
        <w:tc>
          <w:tcPr>
            <w:tcW w:w="112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260" w:type="dxa"/>
            <w:vAlign w:val="bottom"/>
            <w:tcBorders>
              <w:bottom w:val="single" w:sz="8" w:color="EDEDED"/>
            </w:tcBorders>
            <w:shd w:val="clear" w:color="auto" w:fill="EDEDED"/>
          </w:tcPr>
          <w:p>
            <w:pPr>
              <w:spacing w:after="0"/>
              <w:rPr>
                <w:sz w:val="23"/>
                <w:szCs w:val="23"/>
                <w:color w:val="auto"/>
              </w:rPr>
            </w:pPr>
          </w:p>
        </w:tc>
        <w:tc>
          <w:tcPr>
            <w:tcW w:w="1120" w:type="dxa"/>
            <w:vAlign w:val="bottom"/>
            <w:tcBorders>
              <w:bottom w:val="single" w:sz="8" w:color="EDEDED"/>
            </w:tcBorders>
            <w:shd w:val="clear" w:color="auto" w:fill="EDEDED"/>
          </w:tcPr>
          <w:p>
            <w:pPr>
              <w:spacing w:after="0"/>
              <w:rPr>
                <w:sz w:val="23"/>
                <w:szCs w:val="23"/>
                <w:color w:val="auto"/>
              </w:rPr>
            </w:pPr>
          </w:p>
        </w:tc>
      </w:tr>
      <w:tr>
        <w:trPr>
          <w:trHeight w:val="293"/>
        </w:trPr>
        <w:tc>
          <w:tcPr>
            <w:tcW w:w="4960" w:type="dxa"/>
            <w:vAlign w:val="bottom"/>
          </w:tcPr>
          <w:p>
            <w:pPr>
              <w:ind w:left="180"/>
              <w:spacing w:after="0"/>
              <w:rPr>
                <w:sz w:val="20"/>
                <w:szCs w:val="20"/>
                <w:color w:val="auto"/>
              </w:rPr>
            </w:pPr>
            <w:r>
              <w:rPr>
                <w:rFonts w:ascii="Arial" w:cs="Arial" w:eastAsia="Arial" w:hAnsi="Arial"/>
                <w:sz w:val="20"/>
                <w:szCs w:val="20"/>
                <w:color w:val="00162F"/>
              </w:rPr>
              <w:t>Money market funds</w:t>
            </w:r>
          </w:p>
        </w:tc>
        <w:tc>
          <w:tcPr>
            <w:tcW w:w="280" w:type="dxa"/>
            <w:vAlign w:val="bottom"/>
          </w:tcPr>
          <w:p>
            <w:pPr>
              <w:jc w:val="right"/>
              <w:ind w:right="2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829</w:t>
            </w:r>
          </w:p>
        </w:tc>
        <w:tc>
          <w:tcPr>
            <w:tcW w:w="32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Pr>
          <w:p>
            <w:pPr>
              <w:jc w:val="right"/>
              <w:spacing w:after="0"/>
              <w:rPr>
                <w:sz w:val="20"/>
                <w:szCs w:val="20"/>
                <w:color w:val="auto"/>
              </w:rPr>
            </w:pPr>
            <w:r>
              <w:rPr>
                <w:rFonts w:ascii="Arial" w:cs="Arial" w:eastAsia="Arial" w:hAnsi="Arial"/>
                <w:sz w:val="20"/>
                <w:szCs w:val="20"/>
                <w:color w:val="00162F"/>
              </w:rPr>
              <w:t>829</w:t>
            </w:r>
          </w:p>
        </w:tc>
        <w:tc>
          <w:tcPr>
            <w:tcW w:w="32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Pr>
          <w:p>
            <w:pPr>
              <w:jc w:val="right"/>
              <w:spacing w:after="0"/>
              <w:rPr>
                <w:sz w:val="20"/>
                <w:szCs w:val="20"/>
                <w:color w:val="auto"/>
              </w:rPr>
            </w:pPr>
            <w:r>
              <w:rPr>
                <w:rFonts w:ascii="Arial" w:cs="Arial" w:eastAsia="Arial" w:hAnsi="Arial"/>
                <w:sz w:val="20"/>
                <w:szCs w:val="20"/>
                <w:color w:val="00162F"/>
              </w:rPr>
              <w:t>—</w:t>
            </w:r>
          </w:p>
        </w:tc>
        <w:tc>
          <w:tcPr>
            <w:tcW w:w="340" w:type="dxa"/>
            <w:vAlign w:val="bottom"/>
            <w:gridSpan w:val="2"/>
          </w:tcPr>
          <w:p>
            <w:pPr>
              <w:jc w:val="right"/>
              <w:ind w:right="1"/>
              <w:spacing w:after="0"/>
              <w:rPr>
                <w:sz w:val="20"/>
                <w:szCs w:val="20"/>
                <w:color w:val="auto"/>
              </w:rPr>
            </w:pPr>
            <w:r>
              <w:rPr>
                <w:rFonts w:ascii="Arial" w:cs="Arial" w:eastAsia="Arial" w:hAnsi="Arial"/>
                <w:sz w:val="20"/>
                <w:szCs w:val="20"/>
                <w:color w:val="00162F"/>
              </w:rPr>
              <w:t>$</w:t>
            </w:r>
          </w:p>
        </w:tc>
        <w:tc>
          <w:tcPr>
            <w:tcW w:w="1120" w:type="dxa"/>
            <w:vAlign w:val="bottom"/>
          </w:tcPr>
          <w:p>
            <w:pPr>
              <w:ind w:left="840"/>
              <w:spacing w:after="0"/>
              <w:rPr>
                <w:sz w:val="20"/>
                <w:szCs w:val="20"/>
                <w:color w:val="auto"/>
              </w:rPr>
            </w:pPr>
            <w:r>
              <w:rPr>
                <w:rFonts w:ascii="Arial" w:cs="Arial" w:eastAsia="Arial" w:hAnsi="Arial"/>
                <w:sz w:val="20"/>
                <w:szCs w:val="20"/>
                <w:color w:val="00162F"/>
              </w:rPr>
              <w:t>—</w:t>
            </w:r>
          </w:p>
        </w:tc>
      </w:tr>
      <w:tr>
        <w:trPr>
          <w:trHeight w:val="301"/>
        </w:trPr>
        <w:tc>
          <w:tcPr>
            <w:tcW w:w="49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Corporate obligations</w:t>
            </w:r>
          </w:p>
        </w:tc>
        <w:tc>
          <w:tcPr>
            <w:tcW w:w="2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3,063</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3,063</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ind w:left="840"/>
              <w:spacing w:after="0"/>
              <w:rPr>
                <w:sz w:val="20"/>
                <w:szCs w:val="20"/>
                <w:color w:val="auto"/>
              </w:rPr>
            </w:pPr>
            <w:r>
              <w:rPr>
                <w:rFonts w:ascii="Arial" w:cs="Arial" w:eastAsia="Arial" w:hAnsi="Arial"/>
                <w:sz w:val="20"/>
                <w:szCs w:val="20"/>
                <w:color w:val="00162F"/>
              </w:rPr>
              <w:t>—</w:t>
            </w:r>
          </w:p>
        </w:tc>
      </w:tr>
      <w:tr>
        <w:trPr>
          <w:trHeight w:val="293"/>
        </w:trPr>
        <w:tc>
          <w:tcPr>
            <w:tcW w:w="4960" w:type="dxa"/>
            <w:vAlign w:val="bottom"/>
          </w:tcPr>
          <w:p>
            <w:pPr>
              <w:ind w:left="180"/>
              <w:spacing w:after="0"/>
              <w:rPr>
                <w:sz w:val="20"/>
                <w:szCs w:val="20"/>
                <w:color w:val="auto"/>
              </w:rPr>
            </w:pPr>
            <w:r>
              <w:rPr>
                <w:rFonts w:ascii="Arial" w:cs="Arial" w:eastAsia="Arial" w:hAnsi="Arial"/>
                <w:sz w:val="20"/>
                <w:szCs w:val="20"/>
                <w:color w:val="00162F"/>
              </w:rPr>
              <w:t>Bank notes/certificates of deposit/time deposits</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590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590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ind w:left="840"/>
              <w:spacing w:after="0"/>
              <w:rPr>
                <w:sz w:val="20"/>
                <w:szCs w:val="20"/>
                <w:color w:val="auto"/>
              </w:rPr>
            </w:pPr>
            <w:r>
              <w:rPr>
                <w:rFonts w:ascii="Arial" w:cs="Arial" w:eastAsia="Arial" w:hAnsi="Arial"/>
                <w:sz w:val="20"/>
                <w:szCs w:val="20"/>
                <w:color w:val="00162F"/>
              </w:rPr>
              <w:t>—</w:t>
            </w:r>
          </w:p>
        </w:tc>
      </w:tr>
      <w:tr>
        <w:trPr>
          <w:trHeight w:val="291"/>
        </w:trPr>
        <w:tc>
          <w:tcPr>
            <w:tcW w:w="496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Repurchase agreements</w:t>
            </w:r>
          </w:p>
        </w:tc>
        <w:tc>
          <w:tcPr>
            <w:tcW w:w="28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400</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spacing w:after="0"/>
              <w:rPr>
                <w:sz w:val="24"/>
                <w:szCs w:val="24"/>
                <w:color w:val="auto"/>
              </w:rPr>
            </w:pP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spacing w:after="0"/>
              <w:rPr>
                <w:sz w:val="24"/>
                <w:szCs w:val="24"/>
                <w:color w:val="auto"/>
              </w:rPr>
            </w:pP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400</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spacing w:after="0"/>
              <w:rPr>
                <w:sz w:val="24"/>
                <w:szCs w:val="24"/>
                <w:color w:val="auto"/>
              </w:rPr>
            </w:pPr>
          </w:p>
        </w:tc>
        <w:tc>
          <w:tcPr>
            <w:tcW w:w="1120" w:type="dxa"/>
            <w:vAlign w:val="bottom"/>
            <w:tcBorders>
              <w:bottom w:val="single" w:sz="8" w:color="00162F"/>
            </w:tcBorders>
            <w:shd w:val="clear" w:color="auto" w:fill="EDEDED"/>
          </w:tcPr>
          <w:p>
            <w:pPr>
              <w:ind w:left="840"/>
              <w:spacing w:after="0"/>
              <w:rPr>
                <w:sz w:val="20"/>
                <w:szCs w:val="20"/>
                <w:color w:val="auto"/>
              </w:rPr>
            </w:pPr>
            <w:r>
              <w:rPr>
                <w:rFonts w:ascii="Arial" w:cs="Arial" w:eastAsia="Arial" w:hAnsi="Arial"/>
                <w:sz w:val="20"/>
                <w:szCs w:val="20"/>
                <w:color w:val="00162F"/>
              </w:rPr>
              <w:t>—</w:t>
            </w:r>
          </w:p>
        </w:tc>
      </w:tr>
      <w:tr>
        <w:trPr>
          <w:trHeight w:val="283"/>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4,882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829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4,053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ind w:left="840"/>
              <w:spacing w:after="0"/>
              <w:rPr>
                <w:sz w:val="20"/>
                <w:szCs w:val="20"/>
                <w:color w:val="auto"/>
              </w:rPr>
            </w:pPr>
            <w:r>
              <w:rPr>
                <w:rFonts w:ascii="Arial" w:cs="Arial" w:eastAsia="Arial" w:hAnsi="Arial"/>
                <w:sz w:val="20"/>
                <w:szCs w:val="20"/>
                <w:color w:val="00162F"/>
              </w:rPr>
              <w:t>—</w:t>
            </w:r>
          </w:p>
        </w:tc>
      </w:tr>
      <w:tr>
        <w:trPr>
          <w:trHeight w:val="301"/>
        </w:trPr>
        <w:tc>
          <w:tcPr>
            <w:tcW w:w="49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xml:space="preserve">Restricted cash and short-term investments </w:t>
            </w:r>
            <w:r>
              <w:rPr>
                <w:rFonts w:ascii="Arial" w:cs="Arial" w:eastAsia="Arial" w:hAnsi="Arial"/>
                <w:sz w:val="12"/>
                <w:szCs w:val="12"/>
                <w:color w:val="00162F"/>
              </w:rPr>
              <w:t>(1), (3)</w:t>
            </w:r>
          </w:p>
        </w:tc>
        <w:tc>
          <w:tcPr>
            <w:tcW w:w="2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735</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425</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310</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ind w:left="840"/>
              <w:spacing w:after="0"/>
              <w:rPr>
                <w:sz w:val="20"/>
                <w:szCs w:val="20"/>
                <w:color w:val="auto"/>
              </w:rPr>
            </w:pPr>
            <w:r>
              <w:rPr>
                <w:rFonts w:ascii="Arial" w:cs="Arial" w:eastAsia="Arial" w:hAnsi="Arial"/>
                <w:sz w:val="20"/>
                <w:szCs w:val="20"/>
                <w:color w:val="00162F"/>
              </w:rPr>
              <w:t>—</w:t>
            </w:r>
          </w:p>
        </w:tc>
      </w:tr>
      <w:tr>
        <w:trPr>
          <w:trHeight w:val="287"/>
        </w:trPr>
        <w:tc>
          <w:tcPr>
            <w:tcW w:w="496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 xml:space="preserve">Long-term investments </w:t>
            </w:r>
            <w:r>
              <w:rPr>
                <w:rFonts w:ascii="Arial" w:cs="Arial" w:eastAsia="Arial" w:hAnsi="Arial"/>
                <w:sz w:val="12"/>
                <w:szCs w:val="12"/>
                <w:color w:val="00162F"/>
              </w:rPr>
              <w:t>(4)</w:t>
            </w:r>
          </w:p>
        </w:tc>
        <w:tc>
          <w:tcPr>
            <w:tcW w:w="2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209</w:t>
            </w:r>
          </w:p>
        </w:tc>
        <w:tc>
          <w:tcPr>
            <w:tcW w:w="6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11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209</w:t>
            </w:r>
          </w:p>
        </w:tc>
        <w:tc>
          <w:tcPr>
            <w:tcW w:w="6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11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1120" w:type="dxa"/>
            <w:vAlign w:val="bottom"/>
            <w:tcBorders>
              <w:bottom w:val="single" w:sz="8" w:color="00162F"/>
            </w:tcBorders>
          </w:tcPr>
          <w:p>
            <w:pPr>
              <w:ind w:left="840"/>
              <w:spacing w:after="0"/>
              <w:rPr>
                <w:sz w:val="20"/>
                <w:szCs w:val="20"/>
                <w:color w:val="auto"/>
              </w:rPr>
            </w:pPr>
            <w:r>
              <w:rPr>
                <w:rFonts w:ascii="Arial" w:cs="Arial" w:eastAsia="Arial" w:hAnsi="Arial"/>
                <w:sz w:val="20"/>
                <w:szCs w:val="20"/>
                <w:color w:val="00162F"/>
              </w:rPr>
              <w:t>—</w:t>
            </w:r>
          </w:p>
        </w:tc>
      </w:tr>
      <w:tr>
        <w:trPr>
          <w:trHeight w:val="297"/>
        </w:trPr>
        <w:tc>
          <w:tcPr>
            <w:tcW w:w="49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Total</w:t>
            </w:r>
          </w:p>
        </w:tc>
        <w:tc>
          <w:tcPr>
            <w:tcW w:w="28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5,826</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1,463</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4,363</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120" w:type="dxa"/>
            <w:vAlign w:val="bottom"/>
            <w:tcBorders>
              <w:bottom w:val="single" w:sz="8" w:color="00162F"/>
            </w:tcBorders>
            <w:shd w:val="clear" w:color="auto" w:fill="EDEDED"/>
          </w:tcPr>
          <w:p>
            <w:pPr>
              <w:ind w:left="840"/>
              <w:spacing w:after="0"/>
              <w:rPr>
                <w:sz w:val="20"/>
                <w:szCs w:val="20"/>
                <w:color w:val="auto"/>
              </w:rPr>
            </w:pPr>
            <w:r>
              <w:rPr>
                <w:rFonts w:ascii="Arial" w:cs="Arial" w:eastAsia="Arial" w:hAnsi="Arial"/>
                <w:sz w:val="20"/>
                <w:szCs w:val="20"/>
                <w:color w:val="00162F"/>
              </w:rPr>
              <w:t>—</w:t>
            </w:r>
          </w:p>
        </w:tc>
      </w:tr>
      <w:tr>
        <w:trPr>
          <w:trHeight w:val="411"/>
        </w:trPr>
        <w:tc>
          <w:tcPr>
            <w:tcW w:w="4960" w:type="dxa"/>
            <w:vAlign w:val="bottom"/>
          </w:tcPr>
          <w:p>
            <w:pPr>
              <w:spacing w:after="0"/>
              <w:rPr>
                <w:sz w:val="24"/>
                <w:szCs w:val="24"/>
                <w:color w:val="auto"/>
              </w:rPr>
            </w:pPr>
          </w:p>
        </w:tc>
        <w:tc>
          <w:tcPr>
            <w:tcW w:w="280" w:type="dxa"/>
            <w:vAlign w:val="bottom"/>
            <w:tcBorders>
              <w:bottom w:val="single" w:sz="8" w:color="00162F"/>
            </w:tcBorders>
          </w:tcPr>
          <w:p>
            <w:pPr>
              <w:spacing w:after="0"/>
              <w:rPr>
                <w:sz w:val="24"/>
                <w:szCs w:val="24"/>
                <w:color w:val="auto"/>
              </w:rPr>
            </w:pPr>
          </w:p>
        </w:tc>
        <w:tc>
          <w:tcPr>
            <w:tcW w:w="5440" w:type="dxa"/>
            <w:vAlign w:val="bottom"/>
            <w:tcBorders>
              <w:bottom w:val="single" w:sz="8" w:color="00162F"/>
            </w:tcBorders>
            <w:gridSpan w:val="10"/>
          </w:tcPr>
          <w:p>
            <w:pPr>
              <w:ind w:left="680"/>
              <w:spacing w:after="0"/>
              <w:rPr>
                <w:sz w:val="20"/>
                <w:szCs w:val="20"/>
                <w:color w:val="auto"/>
              </w:rPr>
            </w:pPr>
            <w:r>
              <w:rPr>
                <w:rFonts w:ascii="Arial" w:cs="Arial" w:eastAsia="Arial" w:hAnsi="Arial"/>
                <w:sz w:val="16"/>
                <w:szCs w:val="16"/>
                <w:b w:val="1"/>
                <w:bCs w:val="1"/>
                <w:color w:val="00162F"/>
              </w:rPr>
              <w:t>Fair Value Measurements as of December 31, 2024</w:t>
            </w:r>
          </w:p>
        </w:tc>
      </w:tr>
      <w:tr>
        <w:trPr>
          <w:trHeight w:val="232"/>
        </w:trPr>
        <w:tc>
          <w:tcPr>
            <w:tcW w:w="4960" w:type="dxa"/>
            <w:vAlign w:val="bottom"/>
            <w:tcBorders>
              <w:bottom w:val="single" w:sz="8" w:color="EDEDED"/>
            </w:tcBorders>
          </w:tcPr>
          <w:p>
            <w:pPr>
              <w:spacing w:after="0"/>
              <w:rPr>
                <w:sz w:val="20"/>
                <w:szCs w:val="20"/>
                <w:color w:val="auto"/>
              </w:rPr>
            </w:pPr>
          </w:p>
        </w:tc>
        <w:tc>
          <w:tcPr>
            <w:tcW w:w="2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505"/>
              <w:spacing w:after="0"/>
              <w:rPr>
                <w:sz w:val="20"/>
                <w:szCs w:val="20"/>
                <w:color w:val="auto"/>
              </w:rPr>
            </w:pPr>
            <w:r>
              <w:rPr>
                <w:rFonts w:ascii="Arial" w:cs="Arial" w:eastAsia="Arial" w:hAnsi="Arial"/>
                <w:sz w:val="16"/>
                <w:szCs w:val="16"/>
                <w:b w:val="1"/>
                <w:bCs w:val="1"/>
                <w:color w:val="00162F"/>
              </w:rPr>
              <w:t>Total</w:t>
            </w:r>
          </w:p>
        </w:tc>
        <w:tc>
          <w:tcPr>
            <w:tcW w:w="60" w:type="dxa"/>
            <w:vAlign w:val="bottom"/>
            <w:tcBorders>
              <w:bottom w:val="single" w:sz="8" w:color="EDEDED"/>
            </w:tcBorders>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1120" w:type="dxa"/>
            <w:vAlign w:val="bottom"/>
            <w:tcBorders>
              <w:bottom w:val="single" w:sz="8" w:color="00162F"/>
            </w:tcBorders>
          </w:tcPr>
          <w:p>
            <w:pPr>
              <w:jc w:val="right"/>
              <w:ind w:right="403"/>
              <w:spacing w:after="0"/>
              <w:rPr>
                <w:sz w:val="20"/>
                <w:szCs w:val="20"/>
                <w:color w:val="auto"/>
              </w:rPr>
            </w:pPr>
            <w:r>
              <w:rPr>
                <w:rFonts w:ascii="Arial" w:cs="Arial" w:eastAsia="Arial" w:hAnsi="Arial"/>
                <w:sz w:val="16"/>
                <w:szCs w:val="16"/>
                <w:b w:val="1"/>
                <w:bCs w:val="1"/>
                <w:color w:val="00162F"/>
              </w:rPr>
              <w:t>Level 1</w:t>
            </w:r>
          </w:p>
        </w:tc>
        <w:tc>
          <w:tcPr>
            <w:tcW w:w="60" w:type="dxa"/>
            <w:vAlign w:val="bottom"/>
            <w:tcBorders>
              <w:bottom w:val="single" w:sz="8" w:color="EDEDED"/>
            </w:tcBorders>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1120" w:type="dxa"/>
            <w:vAlign w:val="bottom"/>
            <w:tcBorders>
              <w:bottom w:val="single" w:sz="8" w:color="00162F"/>
            </w:tcBorders>
          </w:tcPr>
          <w:p>
            <w:pPr>
              <w:jc w:val="right"/>
              <w:ind w:right="403"/>
              <w:spacing w:after="0"/>
              <w:rPr>
                <w:sz w:val="20"/>
                <w:szCs w:val="20"/>
                <w:color w:val="auto"/>
              </w:rPr>
            </w:pPr>
            <w:r>
              <w:rPr>
                <w:rFonts w:ascii="Arial" w:cs="Arial" w:eastAsia="Arial" w:hAnsi="Arial"/>
                <w:sz w:val="16"/>
                <w:szCs w:val="16"/>
                <w:b w:val="1"/>
                <w:bCs w:val="1"/>
                <w:color w:val="00162F"/>
              </w:rPr>
              <w:t>Level 2</w:t>
            </w:r>
          </w:p>
        </w:tc>
        <w:tc>
          <w:tcPr>
            <w:tcW w:w="80" w:type="dxa"/>
            <w:vAlign w:val="bottom"/>
            <w:tcBorders>
              <w:bottom w:val="single" w:sz="8" w:color="EDEDED"/>
            </w:tcBorders>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1120" w:type="dxa"/>
            <w:vAlign w:val="bottom"/>
            <w:tcBorders>
              <w:bottom w:val="single" w:sz="8" w:color="00162F"/>
            </w:tcBorders>
          </w:tcPr>
          <w:p>
            <w:pPr>
              <w:ind w:left="80"/>
              <w:spacing w:after="0"/>
              <w:rPr>
                <w:sz w:val="20"/>
                <w:szCs w:val="20"/>
                <w:color w:val="auto"/>
              </w:rPr>
            </w:pPr>
            <w:r>
              <w:rPr>
                <w:rFonts w:ascii="Arial" w:cs="Arial" w:eastAsia="Arial" w:hAnsi="Arial"/>
                <w:sz w:val="16"/>
                <w:szCs w:val="16"/>
                <w:b w:val="1"/>
                <w:bCs w:val="1"/>
                <w:color w:val="00162F"/>
              </w:rPr>
              <w:t>Level 3</w:t>
            </w:r>
          </w:p>
        </w:tc>
      </w:tr>
      <w:tr>
        <w:trPr>
          <w:trHeight w:val="267"/>
        </w:trPr>
        <w:tc>
          <w:tcPr>
            <w:tcW w:w="49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 xml:space="preserve">Short-term investments </w:t>
            </w:r>
            <w:r>
              <w:rPr>
                <w:rFonts w:ascii="Arial" w:cs="Arial" w:eastAsia="Arial" w:hAnsi="Arial"/>
                <w:sz w:val="12"/>
                <w:szCs w:val="12"/>
                <w:color w:val="00162F"/>
              </w:rPr>
              <w:t>(1)</w:t>
            </w:r>
            <w:r>
              <w:rPr>
                <w:rFonts w:ascii="Arial" w:cs="Arial" w:eastAsia="Arial" w:hAnsi="Arial"/>
                <w:sz w:val="20"/>
                <w:szCs w:val="20"/>
                <w:color w:val="00162F"/>
              </w:rPr>
              <w:t>:</w:t>
            </w:r>
          </w:p>
        </w:tc>
        <w:tc>
          <w:tcPr>
            <w:tcW w:w="280" w:type="dxa"/>
            <w:vAlign w:val="bottom"/>
            <w:tcBorders>
              <w:bottom w:val="single" w:sz="8" w:color="EDEDED"/>
            </w:tcBorders>
            <w:shd w:val="clear" w:color="auto" w:fill="EDEDED"/>
          </w:tcPr>
          <w:p>
            <w:pPr>
              <w:spacing w:after="0"/>
              <w:rPr>
                <w:sz w:val="23"/>
                <w:szCs w:val="23"/>
                <w:color w:val="auto"/>
              </w:rPr>
            </w:pPr>
          </w:p>
        </w:tc>
        <w:tc>
          <w:tcPr>
            <w:tcW w:w="110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260" w:type="dxa"/>
            <w:vAlign w:val="bottom"/>
            <w:tcBorders>
              <w:bottom w:val="single" w:sz="8" w:color="EDEDED"/>
            </w:tcBorders>
            <w:shd w:val="clear" w:color="auto" w:fill="EDEDED"/>
          </w:tcPr>
          <w:p>
            <w:pPr>
              <w:spacing w:after="0"/>
              <w:rPr>
                <w:sz w:val="23"/>
                <w:szCs w:val="23"/>
                <w:color w:val="auto"/>
              </w:rPr>
            </w:pPr>
          </w:p>
        </w:tc>
        <w:tc>
          <w:tcPr>
            <w:tcW w:w="112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260" w:type="dxa"/>
            <w:vAlign w:val="bottom"/>
            <w:tcBorders>
              <w:bottom w:val="single" w:sz="8" w:color="EDEDED"/>
            </w:tcBorders>
            <w:shd w:val="clear" w:color="auto" w:fill="EDEDED"/>
          </w:tcPr>
          <w:p>
            <w:pPr>
              <w:spacing w:after="0"/>
              <w:rPr>
                <w:sz w:val="23"/>
                <w:szCs w:val="23"/>
                <w:color w:val="auto"/>
              </w:rPr>
            </w:pPr>
          </w:p>
        </w:tc>
        <w:tc>
          <w:tcPr>
            <w:tcW w:w="112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260" w:type="dxa"/>
            <w:vAlign w:val="bottom"/>
            <w:tcBorders>
              <w:bottom w:val="single" w:sz="8" w:color="EDEDED"/>
            </w:tcBorders>
            <w:shd w:val="clear" w:color="auto" w:fill="EDEDED"/>
          </w:tcPr>
          <w:p>
            <w:pPr>
              <w:spacing w:after="0"/>
              <w:rPr>
                <w:sz w:val="23"/>
                <w:szCs w:val="23"/>
                <w:color w:val="auto"/>
              </w:rPr>
            </w:pPr>
          </w:p>
        </w:tc>
        <w:tc>
          <w:tcPr>
            <w:tcW w:w="1120" w:type="dxa"/>
            <w:vAlign w:val="bottom"/>
            <w:tcBorders>
              <w:bottom w:val="single" w:sz="8" w:color="EDEDED"/>
            </w:tcBorders>
            <w:shd w:val="clear" w:color="auto" w:fill="EDEDED"/>
          </w:tcPr>
          <w:p>
            <w:pPr>
              <w:spacing w:after="0"/>
              <w:rPr>
                <w:sz w:val="23"/>
                <w:szCs w:val="23"/>
                <w:color w:val="auto"/>
              </w:rPr>
            </w:pPr>
          </w:p>
        </w:tc>
      </w:tr>
      <w:tr>
        <w:trPr>
          <w:trHeight w:val="293"/>
        </w:trPr>
        <w:tc>
          <w:tcPr>
            <w:tcW w:w="4960" w:type="dxa"/>
            <w:vAlign w:val="bottom"/>
          </w:tcPr>
          <w:p>
            <w:pPr>
              <w:ind w:left="180"/>
              <w:spacing w:after="0"/>
              <w:rPr>
                <w:sz w:val="20"/>
                <w:szCs w:val="20"/>
                <w:color w:val="auto"/>
              </w:rPr>
            </w:pPr>
            <w:r>
              <w:rPr>
                <w:rFonts w:ascii="Arial" w:cs="Arial" w:eastAsia="Arial" w:hAnsi="Arial"/>
                <w:sz w:val="20"/>
                <w:szCs w:val="20"/>
                <w:color w:val="00162F"/>
              </w:rPr>
              <w:t>Money market funds</w:t>
            </w:r>
          </w:p>
        </w:tc>
        <w:tc>
          <w:tcPr>
            <w:tcW w:w="280" w:type="dxa"/>
            <w:vAlign w:val="bottom"/>
          </w:tcPr>
          <w:p>
            <w:pPr>
              <w:jc w:val="right"/>
              <w:ind w:right="2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680</w:t>
            </w:r>
          </w:p>
        </w:tc>
        <w:tc>
          <w:tcPr>
            <w:tcW w:w="32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Pr>
          <w:p>
            <w:pPr>
              <w:jc w:val="right"/>
              <w:spacing w:after="0"/>
              <w:rPr>
                <w:sz w:val="20"/>
                <w:szCs w:val="20"/>
                <w:color w:val="auto"/>
              </w:rPr>
            </w:pPr>
            <w:r>
              <w:rPr>
                <w:rFonts w:ascii="Arial" w:cs="Arial" w:eastAsia="Arial" w:hAnsi="Arial"/>
                <w:sz w:val="20"/>
                <w:szCs w:val="20"/>
                <w:color w:val="00162F"/>
              </w:rPr>
              <w:t>680</w:t>
            </w:r>
          </w:p>
        </w:tc>
        <w:tc>
          <w:tcPr>
            <w:tcW w:w="32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Pr>
          <w:p>
            <w:pPr>
              <w:jc w:val="right"/>
              <w:spacing w:after="0"/>
              <w:rPr>
                <w:sz w:val="20"/>
                <w:szCs w:val="20"/>
                <w:color w:val="auto"/>
              </w:rPr>
            </w:pPr>
            <w:r>
              <w:rPr>
                <w:rFonts w:ascii="Arial" w:cs="Arial" w:eastAsia="Arial" w:hAnsi="Arial"/>
                <w:sz w:val="20"/>
                <w:szCs w:val="20"/>
                <w:color w:val="00162F"/>
              </w:rPr>
              <w:t>—</w:t>
            </w:r>
          </w:p>
        </w:tc>
        <w:tc>
          <w:tcPr>
            <w:tcW w:w="340" w:type="dxa"/>
            <w:vAlign w:val="bottom"/>
            <w:gridSpan w:val="2"/>
          </w:tcPr>
          <w:p>
            <w:pPr>
              <w:jc w:val="right"/>
              <w:ind w:right="1"/>
              <w:spacing w:after="0"/>
              <w:rPr>
                <w:sz w:val="20"/>
                <w:szCs w:val="20"/>
                <w:color w:val="auto"/>
              </w:rPr>
            </w:pPr>
            <w:r>
              <w:rPr>
                <w:rFonts w:ascii="Arial" w:cs="Arial" w:eastAsia="Arial" w:hAnsi="Arial"/>
                <w:sz w:val="20"/>
                <w:szCs w:val="20"/>
                <w:color w:val="00162F"/>
              </w:rPr>
              <w:t>$</w:t>
            </w:r>
          </w:p>
        </w:tc>
        <w:tc>
          <w:tcPr>
            <w:tcW w:w="1120" w:type="dxa"/>
            <w:vAlign w:val="bottom"/>
          </w:tcPr>
          <w:p>
            <w:pPr>
              <w:ind w:left="840"/>
              <w:spacing w:after="0"/>
              <w:rPr>
                <w:sz w:val="20"/>
                <w:szCs w:val="20"/>
                <w:color w:val="auto"/>
              </w:rPr>
            </w:pPr>
            <w:r>
              <w:rPr>
                <w:rFonts w:ascii="Arial" w:cs="Arial" w:eastAsia="Arial" w:hAnsi="Arial"/>
                <w:sz w:val="20"/>
                <w:szCs w:val="20"/>
                <w:color w:val="00162F"/>
              </w:rPr>
              <w:t>—</w:t>
            </w:r>
          </w:p>
        </w:tc>
      </w:tr>
      <w:tr>
        <w:trPr>
          <w:trHeight w:val="301"/>
        </w:trPr>
        <w:tc>
          <w:tcPr>
            <w:tcW w:w="49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Corporate obligations</w:t>
            </w:r>
          </w:p>
        </w:tc>
        <w:tc>
          <w:tcPr>
            <w:tcW w:w="2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2,909</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2,909</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ind w:left="840"/>
              <w:spacing w:after="0"/>
              <w:rPr>
                <w:sz w:val="20"/>
                <w:szCs w:val="20"/>
                <w:color w:val="auto"/>
              </w:rPr>
            </w:pPr>
            <w:r>
              <w:rPr>
                <w:rFonts w:ascii="Arial" w:cs="Arial" w:eastAsia="Arial" w:hAnsi="Arial"/>
                <w:sz w:val="20"/>
                <w:szCs w:val="20"/>
                <w:color w:val="00162F"/>
              </w:rPr>
              <w:t>—</w:t>
            </w:r>
          </w:p>
        </w:tc>
      </w:tr>
      <w:tr>
        <w:trPr>
          <w:trHeight w:val="293"/>
        </w:trPr>
        <w:tc>
          <w:tcPr>
            <w:tcW w:w="4960" w:type="dxa"/>
            <w:vAlign w:val="bottom"/>
          </w:tcPr>
          <w:p>
            <w:pPr>
              <w:ind w:left="180"/>
              <w:spacing w:after="0"/>
              <w:rPr>
                <w:sz w:val="20"/>
                <w:szCs w:val="20"/>
                <w:color w:val="auto"/>
              </w:rPr>
            </w:pPr>
            <w:r>
              <w:rPr>
                <w:rFonts w:ascii="Arial" w:cs="Arial" w:eastAsia="Arial" w:hAnsi="Arial"/>
                <w:sz w:val="20"/>
                <w:szCs w:val="20"/>
                <w:color w:val="00162F"/>
              </w:rPr>
              <w:t>Bank notes/certificates of deposit/time deposits</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2,041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2,041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ind w:left="840"/>
              <w:spacing w:after="0"/>
              <w:rPr>
                <w:sz w:val="20"/>
                <w:szCs w:val="20"/>
                <w:color w:val="auto"/>
              </w:rPr>
            </w:pPr>
            <w:r>
              <w:rPr>
                <w:rFonts w:ascii="Arial" w:cs="Arial" w:eastAsia="Arial" w:hAnsi="Arial"/>
                <w:sz w:val="20"/>
                <w:szCs w:val="20"/>
                <w:color w:val="00162F"/>
              </w:rPr>
              <w:t>—</w:t>
            </w:r>
          </w:p>
        </w:tc>
      </w:tr>
      <w:tr>
        <w:trPr>
          <w:trHeight w:val="291"/>
        </w:trPr>
        <w:tc>
          <w:tcPr>
            <w:tcW w:w="496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Repurchase agreements</w:t>
            </w:r>
          </w:p>
        </w:tc>
        <w:tc>
          <w:tcPr>
            <w:tcW w:w="28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550</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spacing w:after="0"/>
              <w:rPr>
                <w:sz w:val="24"/>
                <w:szCs w:val="24"/>
                <w:color w:val="auto"/>
              </w:rPr>
            </w:pP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spacing w:after="0"/>
              <w:rPr>
                <w:sz w:val="24"/>
                <w:szCs w:val="24"/>
                <w:color w:val="auto"/>
              </w:rPr>
            </w:pP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550</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spacing w:after="0"/>
              <w:rPr>
                <w:sz w:val="24"/>
                <w:szCs w:val="24"/>
                <w:color w:val="auto"/>
              </w:rPr>
            </w:pPr>
          </w:p>
        </w:tc>
        <w:tc>
          <w:tcPr>
            <w:tcW w:w="1120" w:type="dxa"/>
            <w:vAlign w:val="bottom"/>
            <w:tcBorders>
              <w:bottom w:val="single" w:sz="8" w:color="00162F"/>
            </w:tcBorders>
            <w:shd w:val="clear" w:color="auto" w:fill="EDEDED"/>
          </w:tcPr>
          <w:p>
            <w:pPr>
              <w:ind w:left="840"/>
              <w:spacing w:after="0"/>
              <w:rPr>
                <w:sz w:val="20"/>
                <w:szCs w:val="20"/>
                <w:color w:val="auto"/>
              </w:rPr>
            </w:pPr>
            <w:r>
              <w:rPr>
                <w:rFonts w:ascii="Arial" w:cs="Arial" w:eastAsia="Arial" w:hAnsi="Arial"/>
                <w:sz w:val="20"/>
                <w:szCs w:val="20"/>
                <w:color w:val="00162F"/>
              </w:rPr>
              <w:t>—</w:t>
            </w:r>
          </w:p>
        </w:tc>
      </w:tr>
      <w:tr>
        <w:trPr>
          <w:trHeight w:val="283"/>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6,180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680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5,500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ind w:left="840"/>
              <w:spacing w:after="0"/>
              <w:rPr>
                <w:sz w:val="20"/>
                <w:szCs w:val="20"/>
                <w:color w:val="auto"/>
              </w:rPr>
            </w:pPr>
            <w:r>
              <w:rPr>
                <w:rFonts w:ascii="Arial" w:cs="Arial" w:eastAsia="Arial" w:hAnsi="Arial"/>
                <w:sz w:val="20"/>
                <w:szCs w:val="20"/>
                <w:color w:val="00162F"/>
              </w:rPr>
              <w:t>—</w:t>
            </w:r>
          </w:p>
        </w:tc>
      </w:tr>
      <w:tr>
        <w:trPr>
          <w:trHeight w:val="301"/>
        </w:trPr>
        <w:tc>
          <w:tcPr>
            <w:tcW w:w="49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xml:space="preserve">Restricted cash and short-term investments </w:t>
            </w:r>
            <w:r>
              <w:rPr>
                <w:rFonts w:ascii="Arial" w:cs="Arial" w:eastAsia="Arial" w:hAnsi="Arial"/>
                <w:sz w:val="12"/>
                <w:szCs w:val="12"/>
                <w:color w:val="00162F"/>
              </w:rPr>
              <w:t>(1), (3)</w:t>
            </w:r>
          </w:p>
        </w:tc>
        <w:tc>
          <w:tcPr>
            <w:tcW w:w="2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732</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442</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290</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120" w:type="dxa"/>
            <w:vAlign w:val="bottom"/>
            <w:shd w:val="clear" w:color="auto" w:fill="EDEDED"/>
          </w:tcPr>
          <w:p>
            <w:pPr>
              <w:ind w:left="840"/>
              <w:spacing w:after="0"/>
              <w:rPr>
                <w:sz w:val="20"/>
                <w:szCs w:val="20"/>
                <w:color w:val="auto"/>
              </w:rPr>
            </w:pPr>
            <w:r>
              <w:rPr>
                <w:rFonts w:ascii="Arial" w:cs="Arial" w:eastAsia="Arial" w:hAnsi="Arial"/>
                <w:sz w:val="20"/>
                <w:szCs w:val="20"/>
                <w:color w:val="00162F"/>
              </w:rPr>
              <w:t>—</w:t>
            </w:r>
          </w:p>
        </w:tc>
      </w:tr>
      <w:tr>
        <w:trPr>
          <w:trHeight w:val="287"/>
        </w:trPr>
        <w:tc>
          <w:tcPr>
            <w:tcW w:w="496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 xml:space="preserve">Long-term investments </w:t>
            </w:r>
            <w:r>
              <w:rPr>
                <w:rFonts w:ascii="Arial" w:cs="Arial" w:eastAsia="Arial" w:hAnsi="Arial"/>
                <w:sz w:val="12"/>
                <w:szCs w:val="12"/>
                <w:color w:val="00162F"/>
              </w:rPr>
              <w:t>(4)</w:t>
            </w:r>
          </w:p>
        </w:tc>
        <w:tc>
          <w:tcPr>
            <w:tcW w:w="2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161</w:t>
            </w:r>
          </w:p>
        </w:tc>
        <w:tc>
          <w:tcPr>
            <w:tcW w:w="6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11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161</w:t>
            </w:r>
          </w:p>
        </w:tc>
        <w:tc>
          <w:tcPr>
            <w:tcW w:w="6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11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1120" w:type="dxa"/>
            <w:vAlign w:val="bottom"/>
            <w:tcBorders>
              <w:bottom w:val="single" w:sz="8" w:color="00162F"/>
            </w:tcBorders>
          </w:tcPr>
          <w:p>
            <w:pPr>
              <w:ind w:left="840"/>
              <w:spacing w:after="0"/>
              <w:rPr>
                <w:sz w:val="20"/>
                <w:szCs w:val="20"/>
                <w:color w:val="auto"/>
              </w:rPr>
            </w:pPr>
            <w:r>
              <w:rPr>
                <w:rFonts w:ascii="Arial" w:cs="Arial" w:eastAsia="Arial" w:hAnsi="Arial"/>
                <w:sz w:val="20"/>
                <w:szCs w:val="20"/>
                <w:color w:val="00162F"/>
              </w:rPr>
              <w:t>—</w:t>
            </w:r>
          </w:p>
        </w:tc>
      </w:tr>
      <w:tr>
        <w:trPr>
          <w:trHeight w:val="297"/>
        </w:trPr>
        <w:tc>
          <w:tcPr>
            <w:tcW w:w="49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Total</w:t>
            </w:r>
          </w:p>
        </w:tc>
        <w:tc>
          <w:tcPr>
            <w:tcW w:w="28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7,073</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1,283</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5,790</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120" w:type="dxa"/>
            <w:vAlign w:val="bottom"/>
            <w:tcBorders>
              <w:bottom w:val="single" w:sz="8" w:color="00162F"/>
            </w:tcBorders>
            <w:shd w:val="clear" w:color="auto" w:fill="EDEDED"/>
          </w:tcPr>
          <w:p>
            <w:pPr>
              <w:ind w:left="840"/>
              <w:spacing w:after="0"/>
              <w:rPr>
                <w:sz w:val="20"/>
                <w:szCs w:val="20"/>
                <w:color w:val="auto"/>
              </w:rPr>
            </w:pPr>
            <w:r>
              <w:rPr>
                <w:rFonts w:ascii="Arial" w:cs="Arial" w:eastAsia="Arial" w:hAnsi="Arial"/>
                <w:sz w:val="20"/>
                <w:szCs w:val="20"/>
                <w:color w:val="00162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-3883660</wp:posOffset>
            </wp:positionV>
            <wp:extent cx="3689350" cy="501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5">
                      <a:extLst>
                        <a:ext uri="{28A0092B-C50C-407E-A947-70E740481C1C}"/>
                      </a:extLst>
                    </a:blip>
                    <a:srcRect/>
                    <a:stretch>
                      <a:fillRect/>
                    </a:stretch>
                  </pic:blipFill>
                  <pic:spPr bwMode="auto">
                    <a:xfrm>
                      <a:off x="0" y="0"/>
                      <a:ext cx="3689350" cy="5016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-2940685</wp:posOffset>
            </wp:positionV>
            <wp:extent cx="2787650" cy="501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6">
                      <a:extLst>
                        <a:ext uri="{28A0092B-C50C-407E-A947-70E740481C1C}"/>
                      </a:extLst>
                    </a:blip>
                    <a:srcRect/>
                    <a:stretch>
                      <a:fillRect/>
                    </a:stretch>
                  </pic:blipFill>
                  <pic:spPr bwMode="auto">
                    <a:xfrm>
                      <a:off x="0" y="0"/>
                      <a:ext cx="2787650" cy="5016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-2375535</wp:posOffset>
            </wp:positionV>
            <wp:extent cx="2787650" cy="501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7">
                      <a:extLst>
                        <a:ext uri="{28A0092B-C50C-407E-A947-70E740481C1C}"/>
                      </a:extLst>
                    </a:blip>
                    <a:srcRect/>
                    <a:stretch>
                      <a:fillRect/>
                    </a:stretch>
                  </pic:blipFill>
                  <pic:spPr bwMode="auto">
                    <a:xfrm>
                      <a:off x="0" y="0"/>
                      <a:ext cx="2787650" cy="5016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-2199005</wp:posOffset>
            </wp:positionV>
            <wp:extent cx="3689350" cy="755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8">
                      <a:extLst>
                        <a:ext uri="{28A0092B-C50C-407E-A947-70E740481C1C}"/>
                      </a:extLst>
                    </a:blip>
                    <a:srcRect/>
                    <a:stretch>
                      <a:fillRect/>
                    </a:stretch>
                  </pic:blipFill>
                  <pic:spPr bwMode="auto">
                    <a:xfrm>
                      <a:off x="0" y="0"/>
                      <a:ext cx="3689350" cy="7556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-1740535</wp:posOffset>
            </wp:positionV>
            <wp:extent cx="3689350" cy="501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9">
                      <a:extLst>
                        <a:ext uri="{28A0092B-C50C-407E-A947-70E740481C1C}"/>
                      </a:extLst>
                    </a:blip>
                    <a:srcRect/>
                    <a:stretch>
                      <a:fillRect/>
                    </a:stretch>
                  </pic:blipFill>
                  <pic:spPr bwMode="auto">
                    <a:xfrm>
                      <a:off x="0" y="0"/>
                      <a:ext cx="3689350" cy="5016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-797560</wp:posOffset>
            </wp:positionV>
            <wp:extent cx="2787650" cy="501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0">
                      <a:extLst>
                        <a:ext uri="{28A0092B-C50C-407E-A947-70E740481C1C}"/>
                      </a:extLst>
                    </a:blip>
                    <a:srcRect/>
                    <a:stretch>
                      <a:fillRect/>
                    </a:stretch>
                  </pic:blipFill>
                  <pic:spPr bwMode="auto">
                    <a:xfrm>
                      <a:off x="0" y="0"/>
                      <a:ext cx="2787650" cy="5016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-231775</wp:posOffset>
            </wp:positionV>
            <wp:extent cx="2787650" cy="501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1">
                      <a:extLst>
                        <a:ext uri="{28A0092B-C50C-407E-A947-70E740481C1C}"/>
                      </a:extLst>
                    </a:blip>
                    <a:srcRect/>
                    <a:stretch>
                      <a:fillRect/>
                    </a:stretch>
                  </pic:blipFill>
                  <pic:spPr bwMode="auto">
                    <a:xfrm>
                      <a:off x="0" y="0"/>
                      <a:ext cx="2787650" cy="5016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-55880</wp:posOffset>
            </wp:positionV>
            <wp:extent cx="3689350" cy="755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2">
                      <a:extLst>
                        <a:ext uri="{28A0092B-C50C-407E-A947-70E740481C1C}"/>
                      </a:extLst>
                    </a:blip>
                    <a:srcRect/>
                    <a:stretch>
                      <a:fillRect/>
                    </a:stretch>
                  </pic:blipFill>
                  <pic:spPr bwMode="auto">
                    <a:xfrm>
                      <a:off x="0" y="0"/>
                      <a:ext cx="3689350" cy="75565"/>
                    </a:xfrm>
                    <a:prstGeom prst="rect">
                      <a:avLst/>
                    </a:prstGeom>
                    <a:noFill/>
                  </pic:spPr>
                </pic:pic>
              </a:graphicData>
            </a:graphic>
          </wp:anchor>
        </w:drawing>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110</w:t>
      </w:r>
    </w:p>
    <w:p>
      <w:pPr>
        <w:sectPr>
          <w:pgSz w:w="11880" w:h="15480" w:orient="portrait"/>
          <w:cols w:equalWidth="0" w:num="1">
            <w:col w:w="10680"/>
          </w:cols>
          <w:pgMar w:left="600" w:top="487" w:right="600" w:bottom="0" w:gutter="0" w:footer="0" w:header="0"/>
          <w:type w:val="continuous"/>
        </w:sectPr>
      </w:pPr>
    </w:p>
    <w:bookmarkStart w:id="111" w:name="page112"/>
    <w:bookmarkEnd w:id="111"/>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125412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3">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5" w:hanging="365"/>
        <w:spacing w:after="0" w:line="282" w:lineRule="auto"/>
        <w:tabs>
          <w:tab w:leader="none" w:pos="365" w:val="left"/>
        </w:tabs>
        <w:numPr>
          <w:ilvl w:val="0"/>
          <w:numId w:val="52"/>
        </w:numPr>
        <w:rPr>
          <w:rFonts w:ascii="Arial" w:cs="Arial" w:eastAsia="Arial" w:hAnsi="Arial"/>
          <w:sz w:val="13"/>
          <w:szCs w:val="13"/>
          <w:color w:val="00162F"/>
        </w:rPr>
      </w:pPr>
      <w:r>
        <w:rPr>
          <w:rFonts w:ascii="Arial" w:cs="Arial" w:eastAsia="Arial" w:hAnsi="Arial"/>
          <w:sz w:val="20"/>
          <w:szCs w:val="20"/>
          <w:color w:val="00162F"/>
        </w:rPr>
        <w:t>All short-term investments are classified as available-for-sale and stated at fair value. Unrealized gains and losses are recorded in accumulated other comprehensive loss at each reporting period. There were no credit losses.</w:t>
      </w:r>
    </w:p>
    <w:p>
      <w:pPr>
        <w:spacing w:after="0" w:line="112" w:lineRule="exact"/>
        <w:rPr>
          <w:rFonts w:ascii="Arial" w:cs="Arial" w:eastAsia="Arial" w:hAnsi="Arial"/>
          <w:sz w:val="13"/>
          <w:szCs w:val="13"/>
          <w:color w:val="00162F"/>
        </w:rPr>
      </w:pPr>
    </w:p>
    <w:p>
      <w:pPr>
        <w:ind w:left="365" w:hanging="365"/>
        <w:spacing w:after="0"/>
        <w:tabs>
          <w:tab w:leader="none" w:pos="365" w:val="left"/>
        </w:tabs>
        <w:numPr>
          <w:ilvl w:val="0"/>
          <w:numId w:val="52"/>
        </w:numPr>
        <w:rPr>
          <w:rFonts w:ascii="Arial" w:cs="Arial" w:eastAsia="Arial" w:hAnsi="Arial"/>
          <w:sz w:val="13"/>
          <w:szCs w:val="13"/>
          <w:color w:val="00162F"/>
        </w:rPr>
      </w:pPr>
      <w:r>
        <w:rPr>
          <w:rFonts w:ascii="Arial" w:cs="Arial" w:eastAsia="Arial" w:hAnsi="Arial"/>
          <w:sz w:val="20"/>
          <w:szCs w:val="20"/>
          <w:color w:val="00162F"/>
        </w:rPr>
        <w:t>Our short-term investments as of December 31, 2025 mature in one year or less.</w:t>
      </w:r>
    </w:p>
    <w:p>
      <w:pPr>
        <w:spacing w:after="0" w:line="185" w:lineRule="exact"/>
        <w:rPr>
          <w:rFonts w:ascii="Arial" w:cs="Arial" w:eastAsia="Arial" w:hAnsi="Arial"/>
          <w:sz w:val="13"/>
          <w:szCs w:val="13"/>
          <w:color w:val="00162F"/>
        </w:rPr>
      </w:pPr>
    </w:p>
    <w:p>
      <w:pPr>
        <w:jc w:val="both"/>
        <w:ind w:left="365" w:hanging="365"/>
        <w:spacing w:after="0" w:line="259" w:lineRule="auto"/>
        <w:tabs>
          <w:tab w:leader="none" w:pos="365" w:val="left"/>
        </w:tabs>
        <w:numPr>
          <w:ilvl w:val="0"/>
          <w:numId w:val="52"/>
        </w:numPr>
        <w:rPr>
          <w:rFonts w:ascii="Arial" w:cs="Arial" w:eastAsia="Arial" w:hAnsi="Arial"/>
          <w:sz w:val="13"/>
          <w:szCs w:val="13"/>
          <w:color w:val="00162F"/>
        </w:rPr>
      </w:pPr>
      <w:r>
        <w:rPr>
          <w:rFonts w:ascii="Arial" w:cs="Arial" w:eastAsia="Arial" w:hAnsi="Arial"/>
          <w:sz w:val="20"/>
          <w:szCs w:val="20"/>
          <w:color w:val="00162F"/>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Tulsa Maintenance Base. Restricted short-term investments principally mature in one year or less.</w:t>
      </w:r>
    </w:p>
    <w:p>
      <w:pPr>
        <w:spacing w:after="0" w:line="135"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52"/>
        </w:numPr>
        <w:rPr>
          <w:rFonts w:ascii="Arial" w:cs="Arial" w:eastAsia="Arial" w:hAnsi="Arial"/>
          <w:sz w:val="13"/>
          <w:szCs w:val="13"/>
          <w:color w:val="00162F"/>
        </w:rPr>
      </w:pPr>
      <w:r>
        <w:rPr>
          <w:rFonts w:ascii="Arial" w:cs="Arial" w:eastAsia="Arial" w:hAnsi="Arial"/>
          <w:sz w:val="20"/>
          <w:szCs w:val="20"/>
          <w:color w:val="00162F"/>
        </w:rPr>
        <w:t>Long-term investments primarily include our equity investment in China Southern Airlines Company Limited (China Southern Airlines). See Note 8 for further information on our equity investments.</w:t>
      </w:r>
    </w:p>
    <w:p>
      <w:pPr>
        <w:spacing w:after="0" w:line="203"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u w:val="single" w:color="auto"/>
          <w:color w:val="00162F"/>
        </w:rPr>
        <w:t>Fair Value of Debt</w:t>
      </w:r>
    </w:p>
    <w:p>
      <w:pPr>
        <w:spacing w:after="0" w:line="95"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The fair value of our long-term debt was estimated using quoted market prices or discounted cash flow analyses based on our current estimated incremental borrowing rates for similar types of borrowing arrangements. The fair value of the Convertible Notes, which would have been classified as Level 2, was $1.2 billion as of December 31, 2024.</w:t>
      </w:r>
    </w:p>
    <w:p>
      <w:pPr>
        <w:spacing w:after="0" w:line="129"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The carrying value and estimated fair value of our long-term debt, including current maturities, were as follows (in millions):</w:t>
      </w:r>
    </w:p>
    <w:p>
      <w:pPr>
        <w:spacing w:after="0" w:line="103"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02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920" w:type="dxa"/>
            <w:vAlign w:val="bottom"/>
            <w:tcBorders>
              <w:bottom w:val="single" w:sz="8" w:color="00162F"/>
            </w:tcBorders>
          </w:tcPr>
          <w:p>
            <w:pPr>
              <w:spacing w:after="0"/>
              <w:rPr>
                <w:sz w:val="18"/>
                <w:szCs w:val="18"/>
                <w:color w:val="auto"/>
              </w:rPr>
            </w:pPr>
          </w:p>
        </w:tc>
        <w:tc>
          <w:tcPr>
            <w:tcW w:w="1480" w:type="dxa"/>
            <w:vAlign w:val="bottom"/>
            <w:tcBorders>
              <w:bottom w:val="single" w:sz="8" w:color="00162F"/>
            </w:tcBorders>
            <w:gridSpan w:val="6"/>
          </w:tcPr>
          <w:p>
            <w:pPr>
              <w:jc w:val="center"/>
              <w:spacing w:after="0"/>
              <w:rPr>
                <w:sz w:val="20"/>
                <w:szCs w:val="20"/>
                <w:color w:val="auto"/>
              </w:rPr>
            </w:pPr>
            <w:r>
              <w:rPr>
                <w:rFonts w:ascii="Arial" w:cs="Arial" w:eastAsia="Arial" w:hAnsi="Arial"/>
                <w:sz w:val="16"/>
                <w:szCs w:val="16"/>
                <w:b w:val="1"/>
                <w:bCs w:val="1"/>
                <w:color w:val="00162F"/>
                <w:w w:val="99"/>
              </w:rPr>
              <w:t>December 31, 2025</w:t>
            </w:r>
          </w:p>
        </w:tc>
        <w:tc>
          <w:tcPr>
            <w:tcW w:w="320" w:type="dxa"/>
            <w:vAlign w:val="bottom"/>
            <w:tcBorders>
              <w:bottom w:val="single" w:sz="8" w:color="00162F"/>
            </w:tcBorders>
          </w:tcPr>
          <w:p>
            <w:pPr>
              <w:spacing w:after="0"/>
              <w:rPr>
                <w:sz w:val="18"/>
                <w:szCs w:val="18"/>
                <w:color w:val="auto"/>
              </w:rPr>
            </w:pPr>
          </w:p>
        </w:tc>
        <w:tc>
          <w:tcPr>
            <w:tcW w:w="90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260" w:type="dxa"/>
            <w:vAlign w:val="bottom"/>
            <w:tcBorders>
              <w:bottom w:val="single" w:sz="8" w:color="00162F"/>
            </w:tcBorders>
          </w:tcPr>
          <w:p>
            <w:pPr>
              <w:spacing w:after="0"/>
              <w:rPr>
                <w:sz w:val="18"/>
                <w:szCs w:val="18"/>
                <w:color w:val="auto"/>
              </w:rPr>
            </w:pPr>
          </w:p>
        </w:tc>
        <w:tc>
          <w:tcPr>
            <w:tcW w:w="1000" w:type="dxa"/>
            <w:vAlign w:val="bottom"/>
            <w:tcBorders>
              <w:bottom w:val="single" w:sz="8" w:color="00162F"/>
            </w:tcBorders>
          </w:tcPr>
          <w:p>
            <w:pPr>
              <w:spacing w:after="0"/>
              <w:rPr>
                <w:sz w:val="18"/>
                <w:szCs w:val="18"/>
                <w:color w:val="auto"/>
              </w:rPr>
            </w:pPr>
          </w:p>
        </w:tc>
      </w:tr>
      <w:tr>
        <w:trPr>
          <w:trHeight w:val="218"/>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00162F"/>
              </w:rPr>
              <w:t>Carrying</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b w:val="1"/>
                <w:bCs w:val="1"/>
                <w:color w:val="00162F"/>
              </w:rPr>
              <w:t>Fair Value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4080" w:type="dxa"/>
            <w:vAlign w:val="bottom"/>
            <w:tcBorders>
              <w:bottom w:val="single" w:sz="8" w:color="EDEDED"/>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020" w:type="dxa"/>
            <w:vAlign w:val="bottom"/>
            <w:tcBorders>
              <w:bottom w:val="single" w:sz="8" w:color="00162F"/>
            </w:tcBorders>
          </w:tcPr>
          <w:p>
            <w:pPr>
              <w:jc w:val="center"/>
              <w:ind w:right="154"/>
              <w:spacing w:after="0"/>
              <w:rPr>
                <w:sz w:val="20"/>
                <w:szCs w:val="20"/>
                <w:color w:val="auto"/>
              </w:rPr>
            </w:pPr>
            <w:r>
              <w:rPr>
                <w:rFonts w:ascii="Arial" w:cs="Arial" w:eastAsia="Arial" w:hAnsi="Arial"/>
                <w:sz w:val="16"/>
                <w:szCs w:val="16"/>
                <w:b w:val="1"/>
                <w:bCs w:val="1"/>
                <w:color w:val="00162F"/>
                <w:w w:val="98"/>
              </w:rPr>
              <w:t>Value</w:t>
            </w:r>
          </w:p>
        </w:tc>
        <w:tc>
          <w:tcPr>
            <w:tcW w:w="80" w:type="dxa"/>
            <w:vAlign w:val="bottom"/>
            <w:tcBorders>
              <w:bottom w:val="single" w:sz="8" w:color="EDEDED"/>
            </w:tcBorders>
          </w:tcPr>
          <w:p>
            <w:pPr>
              <w:spacing w:after="0"/>
              <w:rPr>
                <w:sz w:val="18"/>
                <w:szCs w:val="18"/>
                <w:color w:val="auto"/>
              </w:rPr>
            </w:pPr>
          </w:p>
        </w:tc>
        <w:tc>
          <w:tcPr>
            <w:tcW w:w="300" w:type="dxa"/>
            <w:vAlign w:val="bottom"/>
            <w:tcBorders>
              <w:top w:val="single" w:sz="8" w:color="00162F"/>
              <w:bottom w:val="single" w:sz="8" w:color="00162F"/>
            </w:tcBorders>
          </w:tcPr>
          <w:p>
            <w:pPr>
              <w:spacing w:after="0"/>
              <w:rPr>
                <w:sz w:val="18"/>
                <w:szCs w:val="18"/>
                <w:color w:val="auto"/>
              </w:rPr>
            </w:pPr>
          </w:p>
        </w:tc>
        <w:tc>
          <w:tcPr>
            <w:tcW w:w="920" w:type="dxa"/>
            <w:vAlign w:val="bottom"/>
            <w:tcBorders>
              <w:top w:val="single" w:sz="8" w:color="00162F"/>
              <w:bottom w:val="single" w:sz="8" w:color="00162F"/>
            </w:tcBorders>
          </w:tcPr>
          <w:p>
            <w:pPr>
              <w:jc w:val="right"/>
              <w:ind w:right="311"/>
              <w:spacing w:after="0"/>
              <w:rPr>
                <w:sz w:val="20"/>
                <w:szCs w:val="20"/>
                <w:color w:val="auto"/>
              </w:rPr>
            </w:pPr>
            <w:r>
              <w:rPr>
                <w:rFonts w:ascii="Arial" w:cs="Arial" w:eastAsia="Arial" w:hAnsi="Arial"/>
                <w:sz w:val="16"/>
                <w:szCs w:val="16"/>
                <w:b w:val="1"/>
                <w:bCs w:val="1"/>
                <w:color w:val="00162F"/>
              </w:rPr>
              <w:t>Total</w:t>
            </w:r>
          </w:p>
        </w:tc>
        <w:tc>
          <w:tcPr>
            <w:tcW w:w="40" w:type="dxa"/>
            <w:vAlign w:val="bottom"/>
            <w:tcBorders>
              <w:top w:val="single" w:sz="8" w:color="00162F"/>
              <w:bottom w:val="single" w:sz="8" w:color="00162F"/>
            </w:tcBorders>
          </w:tcPr>
          <w:p>
            <w:pPr>
              <w:spacing w:after="0"/>
              <w:rPr>
                <w:sz w:val="18"/>
                <w:szCs w:val="18"/>
                <w:color w:val="auto"/>
              </w:rPr>
            </w:pPr>
          </w:p>
        </w:tc>
        <w:tc>
          <w:tcPr>
            <w:tcW w:w="80" w:type="dxa"/>
            <w:vAlign w:val="bottom"/>
            <w:tcBorders>
              <w:top w:val="single" w:sz="8" w:color="00162F"/>
              <w:bottom w:val="single" w:sz="8" w:color="EDEDED"/>
            </w:tcBorders>
          </w:tcPr>
          <w:p>
            <w:pPr>
              <w:spacing w:after="0"/>
              <w:rPr>
                <w:sz w:val="18"/>
                <w:szCs w:val="18"/>
                <w:color w:val="auto"/>
              </w:rPr>
            </w:pPr>
          </w:p>
        </w:tc>
        <w:tc>
          <w:tcPr>
            <w:tcW w:w="260" w:type="dxa"/>
            <w:vAlign w:val="bottom"/>
            <w:tcBorders>
              <w:top w:val="single" w:sz="8" w:color="00162F"/>
              <w:bottom w:val="single" w:sz="8" w:color="00162F"/>
            </w:tcBorders>
          </w:tcPr>
          <w:p>
            <w:pPr>
              <w:spacing w:after="0"/>
              <w:rPr>
                <w:sz w:val="18"/>
                <w:szCs w:val="18"/>
                <w:color w:val="auto"/>
              </w:rPr>
            </w:pPr>
          </w:p>
        </w:tc>
        <w:tc>
          <w:tcPr>
            <w:tcW w:w="1000" w:type="dxa"/>
            <w:vAlign w:val="bottom"/>
            <w:tcBorders>
              <w:top w:val="single" w:sz="8" w:color="00162F"/>
              <w:bottom w:val="single" w:sz="8" w:color="00162F"/>
            </w:tcBorders>
          </w:tcPr>
          <w:p>
            <w:pPr>
              <w:jc w:val="center"/>
              <w:ind w:right="194"/>
              <w:spacing w:after="0"/>
              <w:rPr>
                <w:sz w:val="20"/>
                <w:szCs w:val="20"/>
                <w:color w:val="auto"/>
              </w:rPr>
            </w:pPr>
            <w:r>
              <w:rPr>
                <w:rFonts w:ascii="Arial" w:cs="Arial" w:eastAsia="Arial" w:hAnsi="Arial"/>
                <w:sz w:val="16"/>
                <w:szCs w:val="16"/>
                <w:b w:val="1"/>
                <w:bCs w:val="1"/>
                <w:color w:val="00162F"/>
                <w:w w:val="95"/>
              </w:rPr>
              <w:t>Level 1</w:t>
            </w:r>
          </w:p>
        </w:tc>
        <w:tc>
          <w:tcPr>
            <w:tcW w:w="60" w:type="dxa"/>
            <w:vAlign w:val="bottom"/>
            <w:tcBorders>
              <w:bottom w:val="single" w:sz="8" w:color="EDEDED"/>
            </w:tcBorders>
          </w:tcPr>
          <w:p>
            <w:pPr>
              <w:spacing w:after="0"/>
              <w:rPr>
                <w:sz w:val="18"/>
                <w:szCs w:val="18"/>
                <w:color w:val="auto"/>
              </w:rPr>
            </w:pPr>
          </w:p>
        </w:tc>
        <w:tc>
          <w:tcPr>
            <w:tcW w:w="40" w:type="dxa"/>
            <w:vAlign w:val="bottom"/>
            <w:tcBorders>
              <w:top w:val="single" w:sz="8" w:color="00162F"/>
              <w:bottom w:val="single" w:sz="8" w:color="00162F"/>
            </w:tcBorders>
          </w:tcPr>
          <w:p>
            <w:pPr>
              <w:spacing w:after="0"/>
              <w:rPr>
                <w:sz w:val="18"/>
                <w:szCs w:val="18"/>
                <w:color w:val="auto"/>
              </w:rPr>
            </w:pPr>
          </w:p>
        </w:tc>
        <w:tc>
          <w:tcPr>
            <w:tcW w:w="320" w:type="dxa"/>
            <w:vAlign w:val="bottom"/>
            <w:tcBorders>
              <w:top w:val="single" w:sz="8" w:color="00162F"/>
              <w:bottom w:val="single" w:sz="8" w:color="00162F"/>
            </w:tcBorders>
          </w:tcPr>
          <w:p>
            <w:pPr>
              <w:spacing w:after="0"/>
              <w:rPr>
                <w:sz w:val="18"/>
                <w:szCs w:val="18"/>
                <w:color w:val="auto"/>
              </w:rPr>
            </w:pPr>
          </w:p>
        </w:tc>
        <w:tc>
          <w:tcPr>
            <w:tcW w:w="900" w:type="dxa"/>
            <w:vAlign w:val="bottom"/>
            <w:tcBorders>
              <w:top w:val="single" w:sz="8" w:color="00162F"/>
              <w:bottom w:val="single" w:sz="8" w:color="00162F"/>
            </w:tcBorders>
          </w:tcPr>
          <w:p>
            <w:pPr>
              <w:jc w:val="right"/>
              <w:ind w:right="271"/>
              <w:spacing w:after="0"/>
              <w:rPr>
                <w:sz w:val="20"/>
                <w:szCs w:val="20"/>
                <w:color w:val="auto"/>
              </w:rPr>
            </w:pPr>
            <w:r>
              <w:rPr>
                <w:rFonts w:ascii="Arial" w:cs="Arial" w:eastAsia="Arial" w:hAnsi="Arial"/>
                <w:sz w:val="16"/>
                <w:szCs w:val="16"/>
                <w:b w:val="1"/>
                <w:bCs w:val="1"/>
                <w:color w:val="00162F"/>
                <w:w w:val="95"/>
              </w:rPr>
              <w:t>Level 2</w:t>
            </w:r>
          </w:p>
        </w:tc>
        <w:tc>
          <w:tcPr>
            <w:tcW w:w="80" w:type="dxa"/>
            <w:vAlign w:val="bottom"/>
            <w:tcBorders>
              <w:top w:val="single" w:sz="8" w:color="00162F"/>
              <w:bottom w:val="single" w:sz="8" w:color="EDEDED"/>
            </w:tcBorders>
          </w:tcPr>
          <w:p>
            <w:pPr>
              <w:spacing w:after="0"/>
              <w:rPr>
                <w:sz w:val="18"/>
                <w:szCs w:val="18"/>
                <w:color w:val="auto"/>
              </w:rPr>
            </w:pPr>
          </w:p>
        </w:tc>
        <w:tc>
          <w:tcPr>
            <w:tcW w:w="260" w:type="dxa"/>
            <w:vAlign w:val="bottom"/>
            <w:tcBorders>
              <w:top w:val="single" w:sz="8" w:color="00162F"/>
              <w:bottom w:val="single" w:sz="8" w:color="00162F"/>
            </w:tcBorders>
          </w:tcPr>
          <w:p>
            <w:pPr>
              <w:spacing w:after="0"/>
              <w:rPr>
                <w:sz w:val="18"/>
                <w:szCs w:val="18"/>
                <w:color w:val="auto"/>
              </w:rPr>
            </w:pPr>
          </w:p>
        </w:tc>
        <w:tc>
          <w:tcPr>
            <w:tcW w:w="1000" w:type="dxa"/>
            <w:vAlign w:val="bottom"/>
            <w:tcBorders>
              <w:top w:val="single" w:sz="8" w:color="00162F"/>
              <w:bottom w:val="single" w:sz="8" w:color="00162F"/>
            </w:tcBorders>
          </w:tcPr>
          <w:p>
            <w:pPr>
              <w:jc w:val="right"/>
              <w:ind w:right="271"/>
              <w:spacing w:after="0"/>
              <w:rPr>
                <w:sz w:val="20"/>
                <w:szCs w:val="20"/>
                <w:color w:val="auto"/>
              </w:rPr>
            </w:pPr>
            <w:r>
              <w:rPr>
                <w:rFonts w:ascii="Arial" w:cs="Arial" w:eastAsia="Arial" w:hAnsi="Arial"/>
                <w:sz w:val="16"/>
                <w:szCs w:val="16"/>
                <w:b w:val="1"/>
                <w:bCs w:val="1"/>
                <w:color w:val="00162F"/>
              </w:rPr>
              <w:t>Level 3</w:t>
            </w:r>
          </w:p>
        </w:tc>
      </w:tr>
      <w:tr>
        <w:trPr>
          <w:trHeight w:val="297"/>
        </w:trPr>
        <w:tc>
          <w:tcPr>
            <w:tcW w:w="408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Long-term debt, including current maturities</w:t>
            </w:r>
          </w:p>
        </w:tc>
        <w:tc>
          <w:tcPr>
            <w:tcW w:w="2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28,280</w:t>
            </w: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9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28,582</w:t>
            </w:r>
          </w:p>
        </w:tc>
        <w:tc>
          <w:tcPr>
            <w:tcW w:w="40" w:type="dxa"/>
            <w:vAlign w:val="bottom"/>
            <w:tcBorders>
              <w:bottom w:val="single" w:sz="8" w:color="00162F"/>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000" w:type="dxa"/>
            <w:vAlign w:val="bottom"/>
            <w:tcBorders>
              <w:bottom w:val="single" w:sz="8" w:color="00162F"/>
            </w:tcBorders>
            <w:shd w:val="clear" w:color="auto" w:fill="EDEDED"/>
          </w:tcPr>
          <w:p>
            <w:pPr>
              <w:ind w:left="720"/>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00162F"/>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jc w:val="right"/>
              <w:ind w:right="101"/>
              <w:spacing w:after="0"/>
              <w:rPr>
                <w:sz w:val="20"/>
                <w:szCs w:val="20"/>
                <w:color w:val="auto"/>
              </w:rPr>
            </w:pPr>
            <w:r>
              <w:rPr>
                <w:rFonts w:ascii="Arial" w:cs="Arial" w:eastAsia="Arial" w:hAnsi="Arial"/>
                <w:sz w:val="20"/>
                <w:szCs w:val="20"/>
                <w:color w:val="00162F"/>
                <w:w w:val="89"/>
              </w:rPr>
              <w:t>$</w:t>
            </w:r>
          </w:p>
        </w:tc>
        <w:tc>
          <w:tcPr>
            <w:tcW w:w="9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25,051</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0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3,531</w:t>
            </w:r>
          </w:p>
        </w:tc>
      </w:tr>
      <w:tr>
        <w:trPr>
          <w:trHeight w:val="510"/>
        </w:trPr>
        <w:tc>
          <w:tcPr>
            <w:tcW w:w="4080" w:type="dxa"/>
            <w:vAlign w:val="bottom"/>
          </w:tcPr>
          <w:p>
            <w:pPr>
              <w:spacing w:after="0"/>
              <w:rPr>
                <w:sz w:val="24"/>
                <w:szCs w:val="24"/>
                <w:color w:val="auto"/>
              </w:rPr>
            </w:pPr>
          </w:p>
        </w:tc>
        <w:tc>
          <w:tcPr>
            <w:tcW w:w="240" w:type="dxa"/>
            <w:vAlign w:val="bottom"/>
            <w:tcBorders>
              <w:bottom w:val="single" w:sz="8" w:color="00162F"/>
            </w:tcBorders>
          </w:tcPr>
          <w:p>
            <w:pPr>
              <w:spacing w:after="0"/>
              <w:rPr>
                <w:sz w:val="24"/>
                <w:szCs w:val="24"/>
                <w:color w:val="auto"/>
              </w:rPr>
            </w:pPr>
          </w:p>
        </w:tc>
        <w:tc>
          <w:tcPr>
            <w:tcW w:w="1020" w:type="dxa"/>
            <w:vAlign w:val="bottom"/>
            <w:tcBorders>
              <w:bottom w:val="single" w:sz="8" w:color="00162F"/>
            </w:tcBorders>
          </w:tcPr>
          <w:p>
            <w:pPr>
              <w:spacing w:after="0"/>
              <w:rPr>
                <w:sz w:val="24"/>
                <w:szCs w:val="24"/>
                <w:color w:val="auto"/>
              </w:rPr>
            </w:pPr>
          </w:p>
        </w:tc>
        <w:tc>
          <w:tcPr>
            <w:tcW w:w="80" w:type="dxa"/>
            <w:vAlign w:val="bottom"/>
            <w:tcBorders>
              <w:bottom w:val="single" w:sz="8" w:color="00162F"/>
            </w:tcBorders>
          </w:tcPr>
          <w:p>
            <w:pPr>
              <w:spacing w:after="0"/>
              <w:rPr>
                <w:sz w:val="24"/>
                <w:szCs w:val="24"/>
                <w:color w:val="auto"/>
              </w:rPr>
            </w:pPr>
          </w:p>
        </w:tc>
        <w:tc>
          <w:tcPr>
            <w:tcW w:w="300" w:type="dxa"/>
            <w:vAlign w:val="bottom"/>
            <w:tcBorders>
              <w:bottom w:val="single" w:sz="8" w:color="00162F"/>
            </w:tcBorders>
          </w:tcPr>
          <w:p>
            <w:pPr>
              <w:spacing w:after="0"/>
              <w:rPr>
                <w:sz w:val="24"/>
                <w:szCs w:val="24"/>
                <w:color w:val="auto"/>
              </w:rPr>
            </w:pPr>
          </w:p>
        </w:tc>
        <w:tc>
          <w:tcPr>
            <w:tcW w:w="920" w:type="dxa"/>
            <w:vAlign w:val="bottom"/>
            <w:tcBorders>
              <w:bottom w:val="single" w:sz="8" w:color="00162F"/>
            </w:tcBorders>
          </w:tcPr>
          <w:p>
            <w:pPr>
              <w:spacing w:after="0"/>
              <w:rPr>
                <w:sz w:val="24"/>
                <w:szCs w:val="24"/>
                <w:color w:val="auto"/>
              </w:rPr>
            </w:pPr>
          </w:p>
        </w:tc>
        <w:tc>
          <w:tcPr>
            <w:tcW w:w="1480" w:type="dxa"/>
            <w:vAlign w:val="bottom"/>
            <w:tcBorders>
              <w:bottom w:val="single" w:sz="8" w:color="00162F"/>
            </w:tcBorders>
            <w:gridSpan w:val="6"/>
          </w:tcPr>
          <w:p>
            <w:pPr>
              <w:jc w:val="center"/>
              <w:spacing w:after="0"/>
              <w:rPr>
                <w:sz w:val="20"/>
                <w:szCs w:val="20"/>
                <w:color w:val="auto"/>
              </w:rPr>
            </w:pPr>
            <w:r>
              <w:rPr>
                <w:rFonts w:ascii="Arial" w:cs="Arial" w:eastAsia="Arial" w:hAnsi="Arial"/>
                <w:sz w:val="16"/>
                <w:szCs w:val="16"/>
                <w:b w:val="1"/>
                <w:bCs w:val="1"/>
                <w:color w:val="00162F"/>
                <w:w w:val="99"/>
              </w:rPr>
              <w:t>December 31, 2024</w:t>
            </w:r>
          </w:p>
        </w:tc>
        <w:tc>
          <w:tcPr>
            <w:tcW w:w="320" w:type="dxa"/>
            <w:vAlign w:val="bottom"/>
            <w:tcBorders>
              <w:bottom w:val="single" w:sz="8" w:color="00162F"/>
            </w:tcBorders>
          </w:tcPr>
          <w:p>
            <w:pPr>
              <w:spacing w:after="0"/>
              <w:rPr>
                <w:sz w:val="24"/>
                <w:szCs w:val="24"/>
                <w:color w:val="auto"/>
              </w:rPr>
            </w:pPr>
          </w:p>
        </w:tc>
        <w:tc>
          <w:tcPr>
            <w:tcW w:w="900" w:type="dxa"/>
            <w:vAlign w:val="bottom"/>
            <w:tcBorders>
              <w:bottom w:val="single" w:sz="8" w:color="00162F"/>
            </w:tcBorders>
          </w:tcPr>
          <w:p>
            <w:pPr>
              <w:spacing w:after="0"/>
              <w:rPr>
                <w:sz w:val="24"/>
                <w:szCs w:val="24"/>
                <w:color w:val="auto"/>
              </w:rPr>
            </w:pPr>
          </w:p>
        </w:tc>
        <w:tc>
          <w:tcPr>
            <w:tcW w:w="80" w:type="dxa"/>
            <w:vAlign w:val="bottom"/>
            <w:tcBorders>
              <w:bottom w:val="single" w:sz="8" w:color="00162F"/>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spacing w:after="0"/>
              <w:rPr>
                <w:sz w:val="24"/>
                <w:szCs w:val="24"/>
                <w:color w:val="auto"/>
              </w:rPr>
            </w:pPr>
          </w:p>
        </w:tc>
      </w:tr>
      <w:tr>
        <w:trPr>
          <w:trHeight w:val="218"/>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00162F"/>
              </w:rPr>
              <w:t>Carrying</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b w:val="1"/>
                <w:bCs w:val="1"/>
                <w:color w:val="00162F"/>
              </w:rPr>
              <w:t>Fair Value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4080" w:type="dxa"/>
            <w:vAlign w:val="bottom"/>
            <w:tcBorders>
              <w:bottom w:val="single" w:sz="8" w:color="EDEDED"/>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020" w:type="dxa"/>
            <w:vAlign w:val="bottom"/>
            <w:tcBorders>
              <w:bottom w:val="single" w:sz="8" w:color="00162F"/>
            </w:tcBorders>
          </w:tcPr>
          <w:p>
            <w:pPr>
              <w:jc w:val="center"/>
              <w:ind w:right="154"/>
              <w:spacing w:after="0"/>
              <w:rPr>
                <w:sz w:val="20"/>
                <w:szCs w:val="20"/>
                <w:color w:val="auto"/>
              </w:rPr>
            </w:pPr>
            <w:r>
              <w:rPr>
                <w:rFonts w:ascii="Arial" w:cs="Arial" w:eastAsia="Arial" w:hAnsi="Arial"/>
                <w:sz w:val="16"/>
                <w:szCs w:val="16"/>
                <w:b w:val="1"/>
                <w:bCs w:val="1"/>
                <w:color w:val="00162F"/>
                <w:w w:val="98"/>
              </w:rPr>
              <w:t>Value</w:t>
            </w:r>
          </w:p>
        </w:tc>
        <w:tc>
          <w:tcPr>
            <w:tcW w:w="80" w:type="dxa"/>
            <w:vAlign w:val="bottom"/>
            <w:tcBorders>
              <w:bottom w:val="single" w:sz="8" w:color="EDEDED"/>
            </w:tcBorders>
          </w:tcPr>
          <w:p>
            <w:pPr>
              <w:spacing w:after="0"/>
              <w:rPr>
                <w:sz w:val="18"/>
                <w:szCs w:val="18"/>
                <w:color w:val="auto"/>
              </w:rPr>
            </w:pPr>
          </w:p>
        </w:tc>
        <w:tc>
          <w:tcPr>
            <w:tcW w:w="300" w:type="dxa"/>
            <w:vAlign w:val="bottom"/>
            <w:tcBorders>
              <w:top w:val="single" w:sz="8" w:color="00162F"/>
              <w:bottom w:val="single" w:sz="8" w:color="00162F"/>
            </w:tcBorders>
          </w:tcPr>
          <w:p>
            <w:pPr>
              <w:spacing w:after="0"/>
              <w:rPr>
                <w:sz w:val="18"/>
                <w:szCs w:val="18"/>
                <w:color w:val="auto"/>
              </w:rPr>
            </w:pPr>
          </w:p>
        </w:tc>
        <w:tc>
          <w:tcPr>
            <w:tcW w:w="920" w:type="dxa"/>
            <w:vAlign w:val="bottom"/>
            <w:tcBorders>
              <w:top w:val="single" w:sz="8" w:color="00162F"/>
              <w:bottom w:val="single" w:sz="8" w:color="00162F"/>
            </w:tcBorders>
          </w:tcPr>
          <w:p>
            <w:pPr>
              <w:jc w:val="right"/>
              <w:ind w:right="311"/>
              <w:spacing w:after="0"/>
              <w:rPr>
                <w:sz w:val="20"/>
                <w:szCs w:val="20"/>
                <w:color w:val="auto"/>
              </w:rPr>
            </w:pPr>
            <w:r>
              <w:rPr>
                <w:rFonts w:ascii="Arial" w:cs="Arial" w:eastAsia="Arial" w:hAnsi="Arial"/>
                <w:sz w:val="16"/>
                <w:szCs w:val="16"/>
                <w:b w:val="1"/>
                <w:bCs w:val="1"/>
                <w:color w:val="00162F"/>
              </w:rPr>
              <w:t>Total</w:t>
            </w:r>
          </w:p>
        </w:tc>
        <w:tc>
          <w:tcPr>
            <w:tcW w:w="40" w:type="dxa"/>
            <w:vAlign w:val="bottom"/>
            <w:tcBorders>
              <w:top w:val="single" w:sz="8" w:color="00162F"/>
              <w:bottom w:val="single" w:sz="8" w:color="00162F"/>
            </w:tcBorders>
          </w:tcPr>
          <w:p>
            <w:pPr>
              <w:spacing w:after="0"/>
              <w:rPr>
                <w:sz w:val="18"/>
                <w:szCs w:val="18"/>
                <w:color w:val="auto"/>
              </w:rPr>
            </w:pPr>
          </w:p>
        </w:tc>
        <w:tc>
          <w:tcPr>
            <w:tcW w:w="80" w:type="dxa"/>
            <w:vAlign w:val="bottom"/>
            <w:tcBorders>
              <w:top w:val="single" w:sz="8" w:color="00162F"/>
              <w:bottom w:val="single" w:sz="8" w:color="EDEDED"/>
            </w:tcBorders>
          </w:tcPr>
          <w:p>
            <w:pPr>
              <w:spacing w:after="0"/>
              <w:rPr>
                <w:sz w:val="18"/>
                <w:szCs w:val="18"/>
                <w:color w:val="auto"/>
              </w:rPr>
            </w:pPr>
          </w:p>
        </w:tc>
        <w:tc>
          <w:tcPr>
            <w:tcW w:w="260" w:type="dxa"/>
            <w:vAlign w:val="bottom"/>
            <w:tcBorders>
              <w:top w:val="single" w:sz="8" w:color="00162F"/>
              <w:bottom w:val="single" w:sz="8" w:color="00162F"/>
            </w:tcBorders>
          </w:tcPr>
          <w:p>
            <w:pPr>
              <w:spacing w:after="0"/>
              <w:rPr>
                <w:sz w:val="18"/>
                <w:szCs w:val="18"/>
                <w:color w:val="auto"/>
              </w:rPr>
            </w:pPr>
          </w:p>
        </w:tc>
        <w:tc>
          <w:tcPr>
            <w:tcW w:w="1000" w:type="dxa"/>
            <w:vAlign w:val="bottom"/>
            <w:tcBorders>
              <w:top w:val="single" w:sz="8" w:color="00162F"/>
              <w:bottom w:val="single" w:sz="8" w:color="00162F"/>
            </w:tcBorders>
          </w:tcPr>
          <w:p>
            <w:pPr>
              <w:jc w:val="center"/>
              <w:ind w:right="194"/>
              <w:spacing w:after="0"/>
              <w:rPr>
                <w:sz w:val="20"/>
                <w:szCs w:val="20"/>
                <w:color w:val="auto"/>
              </w:rPr>
            </w:pPr>
            <w:r>
              <w:rPr>
                <w:rFonts w:ascii="Arial" w:cs="Arial" w:eastAsia="Arial" w:hAnsi="Arial"/>
                <w:sz w:val="16"/>
                <w:szCs w:val="16"/>
                <w:b w:val="1"/>
                <w:bCs w:val="1"/>
                <w:color w:val="00162F"/>
                <w:w w:val="95"/>
              </w:rPr>
              <w:t>Level 1</w:t>
            </w:r>
          </w:p>
        </w:tc>
        <w:tc>
          <w:tcPr>
            <w:tcW w:w="60" w:type="dxa"/>
            <w:vAlign w:val="bottom"/>
            <w:tcBorders>
              <w:bottom w:val="single" w:sz="8" w:color="EDEDED"/>
            </w:tcBorders>
          </w:tcPr>
          <w:p>
            <w:pPr>
              <w:spacing w:after="0"/>
              <w:rPr>
                <w:sz w:val="18"/>
                <w:szCs w:val="18"/>
                <w:color w:val="auto"/>
              </w:rPr>
            </w:pPr>
          </w:p>
        </w:tc>
        <w:tc>
          <w:tcPr>
            <w:tcW w:w="40" w:type="dxa"/>
            <w:vAlign w:val="bottom"/>
            <w:tcBorders>
              <w:top w:val="single" w:sz="8" w:color="00162F"/>
              <w:bottom w:val="single" w:sz="8" w:color="00162F"/>
            </w:tcBorders>
          </w:tcPr>
          <w:p>
            <w:pPr>
              <w:spacing w:after="0"/>
              <w:rPr>
                <w:sz w:val="18"/>
                <w:szCs w:val="18"/>
                <w:color w:val="auto"/>
              </w:rPr>
            </w:pPr>
          </w:p>
        </w:tc>
        <w:tc>
          <w:tcPr>
            <w:tcW w:w="320" w:type="dxa"/>
            <w:vAlign w:val="bottom"/>
            <w:tcBorders>
              <w:top w:val="single" w:sz="8" w:color="00162F"/>
              <w:bottom w:val="single" w:sz="8" w:color="00162F"/>
            </w:tcBorders>
          </w:tcPr>
          <w:p>
            <w:pPr>
              <w:spacing w:after="0"/>
              <w:rPr>
                <w:sz w:val="18"/>
                <w:szCs w:val="18"/>
                <w:color w:val="auto"/>
              </w:rPr>
            </w:pPr>
          </w:p>
        </w:tc>
        <w:tc>
          <w:tcPr>
            <w:tcW w:w="900" w:type="dxa"/>
            <w:vAlign w:val="bottom"/>
            <w:tcBorders>
              <w:top w:val="single" w:sz="8" w:color="00162F"/>
              <w:bottom w:val="single" w:sz="8" w:color="00162F"/>
            </w:tcBorders>
          </w:tcPr>
          <w:p>
            <w:pPr>
              <w:jc w:val="right"/>
              <w:ind w:right="271"/>
              <w:spacing w:after="0"/>
              <w:rPr>
                <w:sz w:val="20"/>
                <w:szCs w:val="20"/>
                <w:color w:val="auto"/>
              </w:rPr>
            </w:pPr>
            <w:r>
              <w:rPr>
                <w:rFonts w:ascii="Arial" w:cs="Arial" w:eastAsia="Arial" w:hAnsi="Arial"/>
                <w:sz w:val="16"/>
                <w:szCs w:val="16"/>
                <w:b w:val="1"/>
                <w:bCs w:val="1"/>
                <w:color w:val="00162F"/>
                <w:w w:val="95"/>
              </w:rPr>
              <w:t>Level 2</w:t>
            </w:r>
          </w:p>
        </w:tc>
        <w:tc>
          <w:tcPr>
            <w:tcW w:w="80" w:type="dxa"/>
            <w:vAlign w:val="bottom"/>
            <w:tcBorders>
              <w:top w:val="single" w:sz="8" w:color="00162F"/>
              <w:bottom w:val="single" w:sz="8" w:color="EDEDED"/>
            </w:tcBorders>
          </w:tcPr>
          <w:p>
            <w:pPr>
              <w:spacing w:after="0"/>
              <w:rPr>
                <w:sz w:val="18"/>
                <w:szCs w:val="18"/>
                <w:color w:val="auto"/>
              </w:rPr>
            </w:pPr>
          </w:p>
        </w:tc>
        <w:tc>
          <w:tcPr>
            <w:tcW w:w="260" w:type="dxa"/>
            <w:vAlign w:val="bottom"/>
            <w:tcBorders>
              <w:top w:val="single" w:sz="8" w:color="00162F"/>
              <w:bottom w:val="single" w:sz="8" w:color="00162F"/>
            </w:tcBorders>
          </w:tcPr>
          <w:p>
            <w:pPr>
              <w:spacing w:after="0"/>
              <w:rPr>
                <w:sz w:val="18"/>
                <w:szCs w:val="18"/>
                <w:color w:val="auto"/>
              </w:rPr>
            </w:pPr>
          </w:p>
        </w:tc>
        <w:tc>
          <w:tcPr>
            <w:tcW w:w="1000" w:type="dxa"/>
            <w:vAlign w:val="bottom"/>
            <w:tcBorders>
              <w:top w:val="single" w:sz="8" w:color="00162F"/>
              <w:bottom w:val="single" w:sz="8" w:color="00162F"/>
            </w:tcBorders>
          </w:tcPr>
          <w:p>
            <w:pPr>
              <w:jc w:val="right"/>
              <w:ind w:right="271"/>
              <w:spacing w:after="0"/>
              <w:rPr>
                <w:sz w:val="20"/>
                <w:szCs w:val="20"/>
                <w:color w:val="auto"/>
              </w:rPr>
            </w:pPr>
            <w:r>
              <w:rPr>
                <w:rFonts w:ascii="Arial" w:cs="Arial" w:eastAsia="Arial" w:hAnsi="Arial"/>
                <w:sz w:val="16"/>
                <w:szCs w:val="16"/>
                <w:b w:val="1"/>
                <w:bCs w:val="1"/>
                <w:color w:val="00162F"/>
              </w:rPr>
              <w:t>Level 3</w:t>
            </w:r>
          </w:p>
        </w:tc>
      </w:tr>
      <w:tr>
        <w:trPr>
          <w:trHeight w:val="297"/>
        </w:trPr>
        <w:tc>
          <w:tcPr>
            <w:tcW w:w="408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Long-term debt, including current maturities</w:t>
            </w:r>
          </w:p>
        </w:tc>
        <w:tc>
          <w:tcPr>
            <w:tcW w:w="2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29,813</w:t>
            </w: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9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30,010</w:t>
            </w:r>
          </w:p>
        </w:tc>
        <w:tc>
          <w:tcPr>
            <w:tcW w:w="40" w:type="dxa"/>
            <w:vAlign w:val="bottom"/>
            <w:tcBorders>
              <w:bottom w:val="single" w:sz="8" w:color="00162F"/>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000" w:type="dxa"/>
            <w:vAlign w:val="bottom"/>
            <w:tcBorders>
              <w:bottom w:val="single" w:sz="8" w:color="00162F"/>
            </w:tcBorders>
            <w:shd w:val="clear" w:color="auto" w:fill="EDEDED"/>
          </w:tcPr>
          <w:p>
            <w:pPr>
              <w:ind w:left="720"/>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00162F"/>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jc w:val="right"/>
              <w:ind w:right="101"/>
              <w:spacing w:after="0"/>
              <w:rPr>
                <w:sz w:val="20"/>
                <w:szCs w:val="20"/>
                <w:color w:val="auto"/>
              </w:rPr>
            </w:pPr>
            <w:r>
              <w:rPr>
                <w:rFonts w:ascii="Arial" w:cs="Arial" w:eastAsia="Arial" w:hAnsi="Arial"/>
                <w:sz w:val="20"/>
                <w:szCs w:val="20"/>
                <w:color w:val="00162F"/>
                <w:w w:val="89"/>
              </w:rPr>
              <w:t>$</w:t>
            </w:r>
          </w:p>
        </w:tc>
        <w:tc>
          <w:tcPr>
            <w:tcW w:w="9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26,402</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0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-1221740</wp:posOffset>
            </wp:positionV>
            <wp:extent cx="97155" cy="56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4">
                      <a:extLst>
                        <a:ext uri="{28A0092B-C50C-407E-A947-70E740481C1C}"/>
                      </a:extLst>
                    </a:blip>
                    <a:srcRect/>
                    <a:stretch>
                      <a:fillRect/>
                    </a:stretch>
                  </pic:blipFill>
                  <pic:spPr bwMode="auto">
                    <a:xfrm>
                      <a:off x="0" y="0"/>
                      <a:ext cx="97155" cy="5651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-1221740</wp:posOffset>
            </wp:positionV>
            <wp:extent cx="97155" cy="56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5">
                      <a:extLst>
                        <a:ext uri="{28A0092B-C50C-407E-A947-70E740481C1C}"/>
                      </a:extLst>
                    </a:blip>
                    <a:srcRect/>
                    <a:stretch>
                      <a:fillRect/>
                    </a:stretch>
                  </pic:blipFill>
                  <pic:spPr bwMode="auto">
                    <a:xfrm>
                      <a:off x="0" y="0"/>
                      <a:ext cx="97155" cy="5651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-895350</wp:posOffset>
            </wp:positionV>
            <wp:extent cx="4245610" cy="755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6">
                      <a:extLst>
                        <a:ext uri="{28A0092B-C50C-407E-A947-70E740481C1C}"/>
                      </a:extLst>
                    </a:blip>
                    <a:srcRect/>
                    <a:stretch>
                      <a:fillRect/>
                    </a:stretch>
                  </pic:blipFill>
                  <pic:spPr bwMode="auto">
                    <a:xfrm>
                      <a:off x="0" y="0"/>
                      <a:ext cx="4245610" cy="7556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-382905</wp:posOffset>
            </wp:positionV>
            <wp:extent cx="97155" cy="56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7">
                      <a:extLst>
                        <a:ext uri="{28A0092B-C50C-407E-A947-70E740481C1C}"/>
                      </a:extLst>
                    </a:blip>
                    <a:srcRect/>
                    <a:stretch>
                      <a:fillRect/>
                    </a:stretch>
                  </pic:blipFill>
                  <pic:spPr bwMode="auto">
                    <a:xfrm>
                      <a:off x="0" y="0"/>
                      <a:ext cx="97155" cy="5651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-382905</wp:posOffset>
            </wp:positionV>
            <wp:extent cx="97155" cy="56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8">
                      <a:extLst>
                        <a:ext uri="{28A0092B-C50C-407E-A947-70E740481C1C}"/>
                      </a:extLst>
                    </a:blip>
                    <a:srcRect/>
                    <a:stretch>
                      <a:fillRect/>
                    </a:stretch>
                  </pic:blipFill>
                  <pic:spPr bwMode="auto">
                    <a:xfrm>
                      <a:off x="0" y="0"/>
                      <a:ext cx="97155" cy="5651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-231775</wp:posOffset>
            </wp:positionV>
            <wp:extent cx="2545715" cy="501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9">
                      <a:extLst>
                        <a:ext uri="{28A0092B-C50C-407E-A947-70E740481C1C}"/>
                      </a:extLst>
                    </a:blip>
                    <a:srcRect/>
                    <a:stretch>
                      <a:fillRect/>
                    </a:stretch>
                  </pic:blipFill>
                  <pic:spPr bwMode="auto">
                    <a:xfrm>
                      <a:off x="0" y="0"/>
                      <a:ext cx="2545715" cy="5016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-55880</wp:posOffset>
            </wp:positionV>
            <wp:extent cx="4245610" cy="755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0">
                      <a:extLst>
                        <a:ext uri="{28A0092B-C50C-407E-A947-70E740481C1C}"/>
                      </a:extLst>
                    </a:blip>
                    <a:srcRect/>
                    <a:stretch>
                      <a:fillRect/>
                    </a:stretch>
                  </pic:blipFill>
                  <pic:spPr bwMode="auto">
                    <a:xfrm>
                      <a:off x="0" y="0"/>
                      <a:ext cx="4245610" cy="75565"/>
                    </a:xfrm>
                    <a:prstGeom prst="rect">
                      <a:avLst/>
                    </a:prstGeom>
                    <a:noFill/>
                  </pic:spPr>
                </pic:pic>
              </a:graphicData>
            </a:graphic>
          </wp:anchor>
        </w:drawing>
      </w:r>
    </w:p>
    <w:p>
      <w:pPr>
        <w:spacing w:after="0" w:line="261"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8. Investments</w:t>
      </w:r>
    </w:p>
    <w:p>
      <w:pPr>
        <w:spacing w:after="0" w:line="97"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To help expand our network and as part of our ongoing commitment to sustainability, we enter into various commercial relationships or other strategic partnerships, including equity investments, with other airlines and companies.</w:t>
      </w:r>
    </w:p>
    <w:p>
      <w:pPr>
        <w:spacing w:after="0" w:line="113"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Our equity investments, ownership interest and carrying value were as follows: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Borders>
              <w:bottom w:val="single" w:sz="8" w:color="00162F"/>
            </w:tcBorders>
            <w:gridSpan w:val="4"/>
          </w:tcPr>
          <w:p>
            <w:pPr>
              <w:jc w:val="center"/>
              <w:spacing w:after="0"/>
              <w:rPr>
                <w:sz w:val="20"/>
                <w:szCs w:val="20"/>
                <w:color w:val="auto"/>
              </w:rPr>
            </w:pPr>
            <w:r>
              <w:rPr>
                <w:rFonts w:ascii="Arial" w:cs="Arial" w:eastAsia="Arial" w:hAnsi="Arial"/>
                <w:sz w:val="16"/>
                <w:szCs w:val="16"/>
                <w:b w:val="1"/>
                <w:bCs w:val="1"/>
                <w:color w:val="00162F"/>
                <w:w w:val="99"/>
              </w:rPr>
              <w:t>Ownership Interest</w:t>
            </w:r>
          </w:p>
        </w:tc>
        <w:tc>
          <w:tcPr>
            <w:tcW w:w="80" w:type="dxa"/>
            <w:vAlign w:val="bottom"/>
          </w:tcPr>
          <w:p>
            <w:pPr>
              <w:spacing w:after="0"/>
              <w:rPr>
                <w:sz w:val="18"/>
                <w:szCs w:val="18"/>
                <w:color w:val="auto"/>
              </w:rPr>
            </w:pPr>
          </w:p>
        </w:tc>
        <w:tc>
          <w:tcPr>
            <w:tcW w:w="320" w:type="dxa"/>
            <w:vAlign w:val="bottom"/>
            <w:tcBorders>
              <w:bottom w:val="single" w:sz="8" w:color="00162F"/>
            </w:tcBorders>
          </w:tcPr>
          <w:p>
            <w:pPr>
              <w:spacing w:after="0"/>
              <w:rPr>
                <w:sz w:val="18"/>
                <w:szCs w:val="18"/>
                <w:color w:val="auto"/>
              </w:rPr>
            </w:pPr>
          </w:p>
        </w:tc>
        <w:tc>
          <w:tcPr>
            <w:tcW w:w="2700" w:type="dxa"/>
            <w:vAlign w:val="bottom"/>
            <w:tcBorders>
              <w:bottom w:val="single" w:sz="8" w:color="00162F"/>
            </w:tcBorders>
            <w:gridSpan w:val="4"/>
          </w:tcPr>
          <w:p>
            <w:pPr>
              <w:jc w:val="right"/>
              <w:ind w:right="405"/>
              <w:spacing w:after="0"/>
              <w:rPr>
                <w:sz w:val="20"/>
                <w:szCs w:val="20"/>
                <w:color w:val="auto"/>
              </w:rPr>
            </w:pPr>
            <w:r>
              <w:rPr>
                <w:rFonts w:ascii="Arial" w:cs="Arial" w:eastAsia="Arial" w:hAnsi="Arial"/>
                <w:sz w:val="16"/>
                <w:szCs w:val="16"/>
                <w:b w:val="1"/>
                <w:bCs w:val="1"/>
                <w:color w:val="00162F"/>
              </w:rPr>
              <w:t>Carrying Value (in millions)</w:t>
            </w:r>
          </w:p>
        </w:tc>
      </w:tr>
      <w:tr>
        <w:trPr>
          <w:trHeight w:val="232"/>
        </w:trPr>
        <w:tc>
          <w:tcPr>
            <w:tcW w:w="1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00162F"/>
            </w:tcBorders>
            <w:gridSpan w:val="3"/>
          </w:tcPr>
          <w:p>
            <w:pPr>
              <w:jc w:val="center"/>
              <w:ind w:left="793"/>
              <w:spacing w:after="0"/>
              <w:rPr>
                <w:sz w:val="20"/>
                <w:szCs w:val="20"/>
                <w:color w:val="auto"/>
              </w:rPr>
            </w:pPr>
            <w:r>
              <w:rPr>
                <w:rFonts w:ascii="Arial" w:cs="Arial" w:eastAsia="Arial" w:hAnsi="Arial"/>
                <w:sz w:val="16"/>
                <w:szCs w:val="16"/>
                <w:b w:val="1"/>
                <w:bCs w:val="1"/>
                <w:color w:val="00162F"/>
                <w:w w:val="99"/>
              </w:rPr>
              <w:t>December 31,</w:t>
            </w:r>
          </w:p>
        </w:tc>
        <w:tc>
          <w:tcPr>
            <w:tcW w:w="880" w:type="dxa"/>
            <w:vAlign w:val="bottom"/>
            <w:tcBorders>
              <w:bottom w:val="single" w:sz="8" w:color="00162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740" w:type="dxa"/>
            <w:vAlign w:val="bottom"/>
            <w:tcBorders>
              <w:bottom w:val="single" w:sz="8" w:color="00162F"/>
            </w:tcBorders>
            <w:gridSpan w:val="3"/>
          </w:tcPr>
          <w:p>
            <w:pPr>
              <w:jc w:val="right"/>
              <w:ind w:right="40"/>
              <w:spacing w:after="0"/>
              <w:rPr>
                <w:sz w:val="20"/>
                <w:szCs w:val="20"/>
                <w:color w:val="auto"/>
              </w:rPr>
            </w:pPr>
            <w:r>
              <w:rPr>
                <w:rFonts w:ascii="Arial" w:cs="Arial" w:eastAsia="Arial" w:hAnsi="Arial"/>
                <w:sz w:val="16"/>
                <w:szCs w:val="16"/>
                <w:b w:val="1"/>
                <w:bCs w:val="1"/>
                <w:color w:val="00162F"/>
              </w:rPr>
              <w:t>December 31,</w:t>
            </w:r>
          </w:p>
        </w:tc>
        <w:tc>
          <w:tcPr>
            <w:tcW w:w="960" w:type="dxa"/>
            <w:vAlign w:val="bottom"/>
            <w:tcBorders>
              <w:bottom w:val="single" w:sz="8" w:color="00162F"/>
            </w:tcBorders>
          </w:tcPr>
          <w:p>
            <w:pPr>
              <w:spacing w:after="0"/>
              <w:rPr>
                <w:sz w:val="20"/>
                <w:szCs w:val="20"/>
                <w:color w:val="auto"/>
              </w:rPr>
            </w:pPr>
          </w:p>
        </w:tc>
      </w:tr>
      <w:tr>
        <w:trPr>
          <w:trHeight w:val="232"/>
        </w:trPr>
        <w:tc>
          <w:tcPr>
            <w:tcW w:w="1960" w:type="dxa"/>
            <w:vAlign w:val="bottom"/>
            <w:tcBorders>
              <w:bottom w:val="single" w:sz="8" w:color="EDEDED"/>
            </w:tcBorders>
          </w:tcPr>
          <w:p>
            <w:pPr>
              <w:spacing w:after="0"/>
              <w:rPr>
                <w:sz w:val="20"/>
                <w:szCs w:val="20"/>
                <w:color w:val="auto"/>
              </w:rPr>
            </w:pPr>
          </w:p>
        </w:tc>
        <w:tc>
          <w:tcPr>
            <w:tcW w:w="480" w:type="dxa"/>
            <w:vAlign w:val="bottom"/>
            <w:tcBorders>
              <w:bottom w:val="single" w:sz="8" w:color="EDEDED"/>
            </w:tcBorders>
          </w:tcPr>
          <w:p>
            <w:pPr>
              <w:spacing w:after="0"/>
              <w:rPr>
                <w:sz w:val="20"/>
                <w:szCs w:val="20"/>
                <w:color w:val="auto"/>
              </w:rPr>
            </w:pPr>
          </w:p>
        </w:tc>
        <w:tc>
          <w:tcPr>
            <w:tcW w:w="224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8"/>
              </w:rPr>
              <w:t>Accounting Treatment</w:t>
            </w:r>
          </w:p>
        </w:tc>
        <w:tc>
          <w:tcPr>
            <w:tcW w:w="60" w:type="dxa"/>
            <w:vAlign w:val="bottom"/>
            <w:tcBorders>
              <w:bottom w:val="single" w:sz="8" w:color="EDEDED"/>
            </w:tcBorders>
          </w:tcPr>
          <w:p>
            <w:pPr>
              <w:spacing w:after="0"/>
              <w:rPr>
                <w:sz w:val="20"/>
                <w:szCs w:val="20"/>
                <w:color w:val="auto"/>
              </w:rPr>
            </w:pPr>
          </w:p>
        </w:tc>
        <w:tc>
          <w:tcPr>
            <w:tcW w:w="1380" w:type="dxa"/>
            <w:vAlign w:val="bottom"/>
            <w:tcBorders>
              <w:bottom w:val="single" w:sz="8" w:color="00162F"/>
            </w:tcBorders>
          </w:tcPr>
          <w:p>
            <w:pPr>
              <w:jc w:val="right"/>
              <w:ind w:right="413"/>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500" w:type="dxa"/>
            <w:vAlign w:val="bottom"/>
            <w:tcBorders>
              <w:bottom w:val="single" w:sz="8" w:color="00162F"/>
            </w:tcBorders>
          </w:tcPr>
          <w:p>
            <w:pPr>
              <w:spacing w:after="0"/>
              <w:rPr>
                <w:sz w:val="20"/>
                <w:szCs w:val="20"/>
                <w:color w:val="auto"/>
              </w:rPr>
            </w:pPr>
          </w:p>
        </w:tc>
        <w:tc>
          <w:tcPr>
            <w:tcW w:w="880" w:type="dxa"/>
            <w:vAlign w:val="bottom"/>
            <w:tcBorders>
              <w:bottom w:val="single" w:sz="8" w:color="00162F"/>
            </w:tcBorders>
          </w:tcPr>
          <w:p>
            <w:pPr>
              <w:jc w:val="right"/>
              <w:ind w:right="428"/>
              <w:spacing w:after="0"/>
              <w:rPr>
                <w:sz w:val="20"/>
                <w:szCs w:val="20"/>
                <w:color w:val="auto"/>
              </w:rPr>
            </w:pPr>
            <w:r>
              <w:rPr>
                <w:rFonts w:ascii="Arial" w:cs="Arial" w:eastAsia="Arial" w:hAnsi="Arial"/>
                <w:sz w:val="16"/>
                <w:szCs w:val="16"/>
                <w:b w:val="1"/>
                <w:bCs w:val="1"/>
                <w:color w:val="00162F"/>
                <w:w w:val="95"/>
              </w:rPr>
              <w:t>2024</w:t>
            </w:r>
          </w:p>
        </w:tc>
        <w:tc>
          <w:tcPr>
            <w:tcW w:w="80" w:type="dxa"/>
            <w:vAlign w:val="bottom"/>
            <w:tcBorders>
              <w:bottom w:val="single" w:sz="8" w:color="EDEDED"/>
            </w:tcBorders>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140" w:type="dxa"/>
            <w:vAlign w:val="bottom"/>
            <w:tcBorders>
              <w:bottom w:val="single" w:sz="8" w:color="00162F"/>
            </w:tcBorders>
          </w:tcPr>
          <w:p>
            <w:pPr>
              <w:jc w:val="right"/>
              <w:ind w:right="470"/>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520" w:type="dxa"/>
            <w:vAlign w:val="bottom"/>
            <w:tcBorders>
              <w:bottom w:val="single" w:sz="8" w:color="00162F"/>
            </w:tcBorders>
          </w:tcPr>
          <w:p>
            <w:pPr>
              <w:spacing w:after="0"/>
              <w:rPr>
                <w:sz w:val="20"/>
                <w:szCs w:val="20"/>
                <w:color w:val="auto"/>
              </w:rPr>
            </w:pPr>
          </w:p>
        </w:tc>
        <w:tc>
          <w:tcPr>
            <w:tcW w:w="960" w:type="dxa"/>
            <w:vAlign w:val="bottom"/>
            <w:tcBorders>
              <w:bottom w:val="single" w:sz="8" w:color="00162F"/>
            </w:tcBorders>
          </w:tcPr>
          <w:p>
            <w:pPr>
              <w:jc w:val="right"/>
              <w:ind w:right="465"/>
              <w:spacing w:after="0"/>
              <w:rPr>
                <w:sz w:val="20"/>
                <w:szCs w:val="20"/>
                <w:color w:val="auto"/>
              </w:rPr>
            </w:pPr>
            <w:r>
              <w:rPr>
                <w:rFonts w:ascii="Arial" w:cs="Arial" w:eastAsia="Arial" w:hAnsi="Arial"/>
                <w:sz w:val="16"/>
                <w:szCs w:val="16"/>
                <w:b w:val="1"/>
                <w:bCs w:val="1"/>
                <w:color w:val="00162F"/>
              </w:rPr>
              <w:t>2024</w:t>
            </w:r>
          </w:p>
        </w:tc>
      </w:tr>
      <w:tr>
        <w:trPr>
          <w:trHeight w:val="287"/>
        </w:trPr>
        <w:tc>
          <w:tcPr>
            <w:tcW w:w="244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Republic Holdings </w:t>
            </w:r>
            <w:r>
              <w:rPr>
                <w:rFonts w:ascii="Arial" w:cs="Arial" w:eastAsia="Arial" w:hAnsi="Arial"/>
                <w:sz w:val="12"/>
                <w:szCs w:val="12"/>
                <w:color w:val="00162F"/>
              </w:rPr>
              <w:t>(1)</w:t>
            </w:r>
          </w:p>
        </w:tc>
        <w:tc>
          <w:tcPr>
            <w:tcW w:w="2240" w:type="dxa"/>
            <w:vAlign w:val="bottom"/>
            <w:shd w:val="clear" w:color="auto" w:fill="EDEDED"/>
          </w:tcPr>
          <w:p>
            <w:pPr>
              <w:jc w:val="center"/>
              <w:spacing w:after="0"/>
              <w:rPr>
                <w:sz w:val="20"/>
                <w:szCs w:val="20"/>
                <w:color w:val="auto"/>
              </w:rPr>
            </w:pPr>
            <w:r>
              <w:rPr>
                <w:rFonts w:ascii="Arial" w:cs="Arial" w:eastAsia="Arial" w:hAnsi="Arial"/>
                <w:sz w:val="20"/>
                <w:szCs w:val="20"/>
                <w:color w:val="00162F"/>
              </w:rPr>
              <w:t>Equity Method</w:t>
            </w:r>
          </w:p>
        </w:tc>
        <w:tc>
          <w:tcPr>
            <w:tcW w:w="60" w:type="dxa"/>
            <w:vAlign w:val="bottom"/>
            <w:shd w:val="clear" w:color="auto" w:fill="EDEDED"/>
          </w:tcPr>
          <w:p>
            <w:pPr>
              <w:spacing w:after="0"/>
              <w:rPr>
                <w:sz w:val="24"/>
                <w:szCs w:val="24"/>
                <w:color w:val="auto"/>
              </w:rPr>
            </w:pPr>
          </w:p>
        </w:tc>
        <w:tc>
          <w:tcPr>
            <w:tcW w:w="13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20.8 %</w:t>
            </w:r>
          </w:p>
        </w:tc>
        <w:tc>
          <w:tcPr>
            <w:tcW w:w="8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25.0 %</w:t>
            </w:r>
          </w:p>
        </w:tc>
        <w:tc>
          <w:tcPr>
            <w:tcW w:w="400" w:type="dxa"/>
            <w:vAlign w:val="bottom"/>
            <w:gridSpan w:val="2"/>
            <w:shd w:val="clear" w:color="auto" w:fill="EDEDED"/>
          </w:tcPr>
          <w:p>
            <w:pPr>
              <w:jc w:val="right"/>
              <w:ind w:right="160"/>
              <w:spacing w:after="0"/>
              <w:rPr>
                <w:sz w:val="20"/>
                <w:szCs w:val="20"/>
                <w:color w:val="auto"/>
              </w:rPr>
            </w:pPr>
            <w:r>
              <w:rPr>
                <w:rFonts w:ascii="Arial" w:cs="Arial" w:eastAsia="Arial" w:hAnsi="Arial"/>
                <w:sz w:val="20"/>
                <w:szCs w:val="20"/>
                <w:color w:val="00162F"/>
              </w:rPr>
              <w:t>$</w:t>
            </w: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254</w:t>
            </w:r>
          </w:p>
        </w:tc>
        <w:tc>
          <w:tcPr>
            <w:tcW w:w="600" w:type="dxa"/>
            <w:vAlign w:val="bottom"/>
            <w:gridSpan w:val="2"/>
            <w:shd w:val="clear" w:color="auto" w:fill="EDEDED"/>
          </w:tcPr>
          <w:p>
            <w:pPr>
              <w:jc w:val="right"/>
              <w:ind w:right="360"/>
              <w:spacing w:after="0"/>
              <w:rPr>
                <w:sz w:val="20"/>
                <w:szCs w:val="20"/>
                <w:color w:val="auto"/>
              </w:rPr>
            </w:pPr>
            <w:r>
              <w:rPr>
                <w:rFonts w:ascii="Arial" w:cs="Arial" w:eastAsia="Arial" w:hAnsi="Arial"/>
                <w:sz w:val="20"/>
                <w:szCs w:val="20"/>
                <w:color w:val="00162F"/>
              </w:rPr>
              <w:t>$</w:t>
            </w:r>
          </w:p>
        </w:tc>
        <w:tc>
          <w:tcPr>
            <w:tcW w:w="960" w:type="dxa"/>
            <w:vAlign w:val="bottom"/>
            <w:shd w:val="clear" w:color="auto" w:fill="EDEDED"/>
          </w:tcPr>
          <w:p>
            <w:pPr>
              <w:jc w:val="right"/>
              <w:ind w:right="5"/>
              <w:spacing w:after="0"/>
              <w:rPr>
                <w:sz w:val="20"/>
                <w:szCs w:val="20"/>
                <w:color w:val="auto"/>
              </w:rPr>
            </w:pPr>
            <w:r>
              <w:rPr>
                <w:rFonts w:ascii="Arial" w:cs="Arial" w:eastAsia="Arial" w:hAnsi="Arial"/>
                <w:sz w:val="20"/>
                <w:szCs w:val="20"/>
                <w:color w:val="00162F"/>
              </w:rPr>
              <w:t>253</w:t>
            </w:r>
          </w:p>
        </w:tc>
      </w:tr>
      <w:tr>
        <w:trPr>
          <w:trHeight w:val="293"/>
        </w:trPr>
        <w:tc>
          <w:tcPr>
            <w:tcW w:w="2440" w:type="dxa"/>
            <w:vAlign w:val="bottom"/>
            <w:gridSpan w:val="2"/>
          </w:tcPr>
          <w:p>
            <w:pPr>
              <w:ind w:left="40"/>
              <w:spacing w:after="0"/>
              <w:rPr>
                <w:sz w:val="20"/>
                <w:szCs w:val="20"/>
                <w:color w:val="auto"/>
              </w:rPr>
            </w:pPr>
            <w:r>
              <w:rPr>
                <w:rFonts w:ascii="Arial" w:cs="Arial" w:eastAsia="Arial" w:hAnsi="Arial"/>
                <w:sz w:val="20"/>
                <w:szCs w:val="20"/>
                <w:color w:val="00162F"/>
              </w:rPr>
              <w:t>China Southern Airlines</w:t>
            </w:r>
          </w:p>
        </w:tc>
        <w:tc>
          <w:tcPr>
            <w:tcW w:w="2300" w:type="dxa"/>
            <w:vAlign w:val="bottom"/>
            <w:gridSpan w:val="2"/>
          </w:tcPr>
          <w:p>
            <w:pPr>
              <w:jc w:val="center"/>
              <w:ind w:right="60"/>
              <w:spacing w:after="0"/>
              <w:rPr>
                <w:sz w:val="20"/>
                <w:szCs w:val="20"/>
                <w:color w:val="auto"/>
              </w:rPr>
            </w:pPr>
            <w:r>
              <w:rPr>
                <w:rFonts w:ascii="Arial" w:cs="Arial" w:eastAsia="Arial" w:hAnsi="Arial"/>
                <w:sz w:val="20"/>
                <w:szCs w:val="20"/>
                <w:color w:val="00162F"/>
                <w:w w:val="96"/>
              </w:rPr>
              <w:t>Fair Value</w:t>
            </w:r>
          </w:p>
        </w:tc>
        <w:tc>
          <w:tcPr>
            <w:tcW w:w="1380" w:type="dxa"/>
            <w:vAlign w:val="bottom"/>
          </w:tcPr>
          <w:p>
            <w:pPr>
              <w:jc w:val="right"/>
              <w:spacing w:after="0"/>
              <w:rPr>
                <w:sz w:val="20"/>
                <w:szCs w:val="20"/>
                <w:color w:val="auto"/>
              </w:rPr>
            </w:pPr>
            <w:r>
              <w:rPr>
                <w:rFonts w:ascii="Arial" w:cs="Arial" w:eastAsia="Arial" w:hAnsi="Arial"/>
                <w:sz w:val="20"/>
                <w:szCs w:val="20"/>
                <w:color w:val="00162F"/>
              </w:rPr>
              <w:t>1.5 %</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00162F"/>
              </w:rPr>
              <w:t>1.5 %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203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5"/>
              <w:spacing w:after="0"/>
              <w:rPr>
                <w:sz w:val="20"/>
                <w:szCs w:val="20"/>
                <w:color w:val="auto"/>
              </w:rPr>
            </w:pPr>
            <w:r>
              <w:rPr>
                <w:rFonts w:ascii="Arial" w:cs="Arial" w:eastAsia="Arial" w:hAnsi="Arial"/>
                <w:sz w:val="20"/>
                <w:szCs w:val="20"/>
                <w:color w:val="00162F"/>
              </w:rPr>
              <w:t>142</w:t>
            </w:r>
          </w:p>
        </w:tc>
      </w:tr>
      <w:tr>
        <w:trPr>
          <w:trHeight w:val="311"/>
        </w:trPr>
        <w:tc>
          <w:tcPr>
            <w:tcW w:w="244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Other investments </w:t>
            </w:r>
            <w:r>
              <w:rPr>
                <w:rFonts w:ascii="Arial" w:cs="Arial" w:eastAsia="Arial" w:hAnsi="Arial"/>
                <w:sz w:val="12"/>
                <w:szCs w:val="12"/>
                <w:color w:val="00162F"/>
              </w:rPr>
              <w:t>(2)</w:t>
            </w:r>
          </w:p>
        </w:tc>
        <w:tc>
          <w:tcPr>
            <w:tcW w:w="2300" w:type="dxa"/>
            <w:vAlign w:val="bottom"/>
            <w:tcBorders>
              <w:bottom w:val="single" w:sz="8" w:color="EDEDED"/>
            </w:tcBorders>
            <w:gridSpan w:val="2"/>
            <w:shd w:val="clear" w:color="auto" w:fill="EDEDED"/>
          </w:tcPr>
          <w:p>
            <w:pPr>
              <w:jc w:val="center"/>
              <w:ind w:right="60"/>
              <w:spacing w:after="0"/>
              <w:rPr>
                <w:sz w:val="20"/>
                <w:szCs w:val="20"/>
                <w:color w:val="auto"/>
              </w:rPr>
            </w:pPr>
            <w:r>
              <w:rPr>
                <w:rFonts w:ascii="Arial" w:cs="Arial" w:eastAsia="Arial" w:hAnsi="Arial"/>
                <w:sz w:val="20"/>
                <w:szCs w:val="20"/>
                <w:color w:val="00162F"/>
                <w:w w:val="94"/>
              </w:rPr>
              <w:t>Various</w:t>
            </w:r>
          </w:p>
        </w:tc>
        <w:tc>
          <w:tcPr>
            <w:tcW w:w="138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500" w:type="dxa"/>
            <w:vAlign w:val="bottom"/>
            <w:tcBorders>
              <w:bottom w:val="single" w:sz="8" w:color="EDEDED"/>
            </w:tcBorders>
            <w:shd w:val="clear" w:color="auto" w:fill="EDEDED"/>
          </w:tcPr>
          <w:p>
            <w:pPr>
              <w:spacing w:after="0"/>
              <w:rPr>
                <w:sz w:val="24"/>
                <w:szCs w:val="24"/>
                <w:color w:val="auto"/>
              </w:rPr>
            </w:pPr>
          </w:p>
        </w:tc>
        <w:tc>
          <w:tcPr>
            <w:tcW w:w="88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1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146</w:t>
            </w:r>
          </w:p>
        </w:tc>
        <w:tc>
          <w:tcPr>
            <w:tcW w:w="80" w:type="dxa"/>
            <w:vAlign w:val="bottom"/>
            <w:tcBorders>
              <w:bottom w:val="single" w:sz="8" w:color="EDEDED"/>
            </w:tcBorders>
            <w:shd w:val="clear" w:color="auto" w:fill="EDEDED"/>
          </w:tcPr>
          <w:p>
            <w:pPr>
              <w:spacing w:after="0"/>
              <w:rPr>
                <w:sz w:val="24"/>
                <w:szCs w:val="24"/>
                <w:color w:val="auto"/>
              </w:rPr>
            </w:pPr>
          </w:p>
        </w:tc>
        <w:tc>
          <w:tcPr>
            <w:tcW w:w="520" w:type="dxa"/>
            <w:vAlign w:val="bottom"/>
            <w:tcBorders>
              <w:bottom w:val="single" w:sz="8" w:color="00162F"/>
            </w:tcBorders>
            <w:shd w:val="clear" w:color="auto" w:fill="EDEDED"/>
          </w:tcPr>
          <w:p>
            <w:pPr>
              <w:spacing w:after="0"/>
              <w:rPr>
                <w:sz w:val="24"/>
                <w:szCs w:val="24"/>
                <w:color w:val="auto"/>
              </w:rPr>
            </w:pPr>
          </w:p>
        </w:tc>
        <w:tc>
          <w:tcPr>
            <w:tcW w:w="960" w:type="dxa"/>
            <w:vAlign w:val="bottom"/>
            <w:tcBorders>
              <w:bottom w:val="single" w:sz="8" w:color="00162F"/>
            </w:tcBorders>
            <w:shd w:val="clear" w:color="auto" w:fill="EDEDED"/>
          </w:tcPr>
          <w:p>
            <w:pPr>
              <w:jc w:val="right"/>
              <w:ind w:right="5"/>
              <w:spacing w:after="0"/>
              <w:rPr>
                <w:sz w:val="20"/>
                <w:szCs w:val="20"/>
                <w:color w:val="auto"/>
              </w:rPr>
            </w:pPr>
            <w:r>
              <w:rPr>
                <w:rFonts w:ascii="Arial" w:cs="Arial" w:eastAsia="Arial" w:hAnsi="Arial"/>
                <w:sz w:val="20"/>
                <w:szCs w:val="20"/>
                <w:color w:val="00162F"/>
              </w:rPr>
              <w:t>120</w:t>
            </w:r>
          </w:p>
        </w:tc>
      </w:tr>
      <w:tr>
        <w:trPr>
          <w:trHeight w:val="237"/>
        </w:trPr>
        <w:tc>
          <w:tcPr>
            <w:tcW w:w="2440" w:type="dxa"/>
            <w:vAlign w:val="bottom"/>
            <w:gridSpan w:val="2"/>
          </w:tcPr>
          <w:p>
            <w:pPr>
              <w:ind w:left="280"/>
              <w:spacing w:after="0"/>
              <w:rPr>
                <w:sz w:val="20"/>
                <w:szCs w:val="20"/>
                <w:color w:val="auto"/>
              </w:rPr>
            </w:pPr>
            <w:r>
              <w:rPr>
                <w:rFonts w:ascii="Arial" w:cs="Arial" w:eastAsia="Arial" w:hAnsi="Arial"/>
                <w:sz w:val="20"/>
                <w:szCs w:val="20"/>
                <w:color w:val="00162F"/>
              </w:rPr>
              <w:t>Total</w:t>
            </w:r>
          </w:p>
        </w:tc>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00162F"/>
              </w:rPr>
              <w:t>$</w:t>
            </w:r>
          </w:p>
        </w:tc>
        <w:tc>
          <w:tcPr>
            <w:tcW w:w="1140" w:type="dxa"/>
            <w:vAlign w:val="bottom"/>
          </w:tcPr>
          <w:p>
            <w:pPr>
              <w:jc w:val="right"/>
              <w:spacing w:after="0"/>
              <w:rPr>
                <w:sz w:val="20"/>
                <w:szCs w:val="20"/>
                <w:color w:val="auto"/>
              </w:rPr>
            </w:pPr>
            <w:r>
              <w:rPr>
                <w:rFonts w:ascii="Arial" w:cs="Arial" w:eastAsia="Arial" w:hAnsi="Arial"/>
                <w:sz w:val="20"/>
                <w:szCs w:val="20"/>
                <w:color w:val="00162F"/>
              </w:rPr>
              <w:t>603</w:t>
            </w:r>
          </w:p>
        </w:tc>
        <w:tc>
          <w:tcPr>
            <w:tcW w:w="600" w:type="dxa"/>
            <w:vAlign w:val="bottom"/>
            <w:gridSpan w:val="2"/>
          </w:tcPr>
          <w:p>
            <w:pPr>
              <w:jc w:val="right"/>
              <w:ind w:right="360"/>
              <w:spacing w:after="0"/>
              <w:rPr>
                <w:sz w:val="20"/>
                <w:szCs w:val="20"/>
                <w:color w:val="auto"/>
              </w:rPr>
            </w:pPr>
            <w:r>
              <w:rPr>
                <w:rFonts w:ascii="Arial" w:cs="Arial" w:eastAsia="Arial" w:hAnsi="Arial"/>
                <w:sz w:val="20"/>
                <w:szCs w:val="20"/>
                <w:color w:val="00162F"/>
              </w:rPr>
              <w:t>$</w:t>
            </w:r>
          </w:p>
        </w:tc>
        <w:tc>
          <w:tcPr>
            <w:tcW w:w="960" w:type="dxa"/>
            <w:vAlign w:val="bottom"/>
          </w:tcPr>
          <w:p>
            <w:pPr>
              <w:jc w:val="right"/>
              <w:ind w:right="5"/>
              <w:spacing w:after="0"/>
              <w:rPr>
                <w:sz w:val="20"/>
                <w:szCs w:val="20"/>
                <w:color w:val="auto"/>
              </w:rPr>
            </w:pPr>
            <w:r>
              <w:rPr>
                <w:rFonts w:ascii="Arial" w:cs="Arial" w:eastAsia="Arial" w:hAnsi="Arial"/>
                <w:sz w:val="20"/>
                <w:szCs w:val="20"/>
                <w:color w:val="00162F"/>
              </w:rPr>
              <w:t>515</w:t>
            </w:r>
          </w:p>
        </w:tc>
      </w:tr>
      <w:tr>
        <w:trPr>
          <w:trHeight w:val="20"/>
        </w:trPr>
        <w:tc>
          <w:tcPr>
            <w:tcW w:w="1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11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162F"/>
              <w:bottom w:val="single" w:sz="8" w:color="00162F"/>
            </w:tcBorders>
          </w:tcPr>
          <w:p>
            <w:pPr>
              <w:spacing w:after="0" w:line="20" w:lineRule="exact"/>
              <w:rPr>
                <w:sz w:val="1"/>
                <w:szCs w:val="1"/>
                <w:color w:val="auto"/>
              </w:rPr>
            </w:pPr>
          </w:p>
        </w:tc>
        <w:tc>
          <w:tcPr>
            <w:tcW w:w="960" w:type="dxa"/>
            <w:vAlign w:val="bottom"/>
            <w:tcBorders>
              <w:top w:val="single" w:sz="8" w:color="00162F"/>
              <w:bottom w:val="single" w:sz="8" w:color="00162F"/>
            </w:tcBorders>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4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-895350</wp:posOffset>
            </wp:positionV>
            <wp:extent cx="5273675" cy="501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1">
                      <a:extLst>
                        <a:ext uri="{28A0092B-C50C-407E-A947-70E740481C1C}"/>
                      </a:extLst>
                    </a:blip>
                    <a:srcRect/>
                    <a:stretch>
                      <a:fillRect/>
                    </a:stretch>
                  </pic:blipFill>
                  <pic:spPr bwMode="auto">
                    <a:xfrm>
                      <a:off x="0" y="0"/>
                      <a:ext cx="5273675" cy="5016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-329565</wp:posOffset>
            </wp:positionV>
            <wp:extent cx="1005840" cy="501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2">
                      <a:extLst>
                        <a:ext uri="{28A0092B-C50C-407E-A947-70E740481C1C}"/>
                      </a:extLst>
                    </a:blip>
                    <a:srcRect/>
                    <a:stretch>
                      <a:fillRect/>
                    </a:stretch>
                  </pic:blipFill>
                  <pic:spPr bwMode="auto">
                    <a:xfrm>
                      <a:off x="0" y="0"/>
                      <a:ext cx="1005840" cy="50165"/>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-153670</wp:posOffset>
            </wp:positionV>
            <wp:extent cx="983615" cy="755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3">
                      <a:extLst>
                        <a:ext uri="{28A0092B-C50C-407E-A947-70E740481C1C}"/>
                      </a:extLst>
                    </a:blip>
                    <a:srcRect/>
                    <a:stretch>
                      <a:fillRect/>
                    </a:stretch>
                  </pic:blipFill>
                  <pic:spPr bwMode="auto">
                    <a:xfrm>
                      <a:off x="0" y="0"/>
                      <a:ext cx="983615" cy="75565"/>
                    </a:xfrm>
                    <a:prstGeom prst="rect">
                      <a:avLst/>
                    </a:prstGeom>
                    <a:noFill/>
                  </pic:spPr>
                </pic:pic>
              </a:graphicData>
            </a:graphic>
          </wp:anchor>
        </w:drawing>
      </w:r>
    </w:p>
    <w:p>
      <w:pPr>
        <w:spacing w:after="0" w:line="14" w:lineRule="exact"/>
        <w:rPr>
          <w:sz w:val="20"/>
          <w:szCs w:val="20"/>
          <w:color w:val="auto"/>
        </w:rPr>
      </w:pPr>
    </w:p>
    <w:p>
      <w:pPr>
        <w:ind w:left="365" w:hanging="365"/>
        <w:spacing w:after="0" w:line="282" w:lineRule="auto"/>
        <w:tabs>
          <w:tab w:leader="none" w:pos="365" w:val="left"/>
        </w:tabs>
        <w:numPr>
          <w:ilvl w:val="0"/>
          <w:numId w:val="53"/>
        </w:numPr>
        <w:rPr>
          <w:rFonts w:ascii="Arial" w:cs="Arial" w:eastAsia="Arial" w:hAnsi="Arial"/>
          <w:sz w:val="13"/>
          <w:szCs w:val="13"/>
          <w:color w:val="00162F"/>
        </w:rPr>
      </w:pPr>
      <w:r>
        <w:rPr>
          <w:rFonts w:ascii="Arial" w:cs="Arial" w:eastAsia="Arial" w:hAnsi="Arial"/>
          <w:sz w:val="20"/>
          <w:szCs w:val="20"/>
          <w:color w:val="00162F"/>
        </w:rPr>
        <w:t>In November 2025, Republic Holdings completed a merger with Mesa Air Group, Inc. As a result, our equity interest in Republic Holdings decreased from 25.0% to 20.8%.</w:t>
      </w:r>
    </w:p>
    <w:p>
      <w:pPr>
        <w:spacing w:after="0" w:line="112" w:lineRule="exact"/>
        <w:rPr>
          <w:rFonts w:ascii="Arial" w:cs="Arial" w:eastAsia="Arial" w:hAnsi="Arial"/>
          <w:sz w:val="13"/>
          <w:szCs w:val="13"/>
          <w:color w:val="00162F"/>
        </w:rPr>
      </w:pPr>
    </w:p>
    <w:p>
      <w:pPr>
        <w:ind w:left="365" w:hanging="365"/>
        <w:spacing w:after="0"/>
        <w:tabs>
          <w:tab w:leader="none" w:pos="365" w:val="left"/>
        </w:tabs>
        <w:numPr>
          <w:ilvl w:val="0"/>
          <w:numId w:val="53"/>
        </w:numPr>
        <w:rPr>
          <w:rFonts w:ascii="Arial" w:cs="Arial" w:eastAsia="Arial" w:hAnsi="Arial"/>
          <w:sz w:val="13"/>
          <w:szCs w:val="13"/>
          <w:color w:val="00162F"/>
        </w:rPr>
      </w:pPr>
      <w:r>
        <w:rPr>
          <w:rFonts w:ascii="Arial" w:cs="Arial" w:eastAsia="Arial" w:hAnsi="Arial"/>
          <w:sz w:val="20"/>
          <w:szCs w:val="20"/>
          <w:color w:val="00162F"/>
        </w:rPr>
        <w:t>Primarily includes our investment in JetSMART Holdings Limited, which is accounted for under the equity method.</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111</w:t>
      </w:r>
    </w:p>
    <w:p>
      <w:pPr>
        <w:sectPr>
          <w:pgSz w:w="11880" w:h="15480" w:orient="portrait"/>
          <w:cols w:equalWidth="0" w:num="1">
            <w:col w:w="10685"/>
          </w:cols>
          <w:pgMar w:left="595" w:top="487" w:right="600" w:bottom="0" w:gutter="0" w:footer="0" w:header="0"/>
          <w:type w:val="continuous"/>
        </w:sectPr>
      </w:pPr>
    </w:p>
    <w:bookmarkStart w:id="112" w:name="page113"/>
    <w:bookmarkEnd w:id="112"/>
    <w:p>
      <w:pPr>
        <w:ind w:left="925"/>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5"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9. Employee Benefit Plans</w:t>
      </w:r>
    </w:p>
    <w:p>
      <w:pPr>
        <w:spacing w:after="0" w:line="97" w:lineRule="exact"/>
        <w:rPr>
          <w:sz w:val="20"/>
          <w:szCs w:val="20"/>
          <w:color w:val="auto"/>
        </w:rPr>
      </w:pPr>
    </w:p>
    <w:p>
      <w:pPr>
        <w:jc w:val="both"/>
        <w:ind w:left="5" w:firstLine="267"/>
        <w:spacing w:after="0" w:line="253" w:lineRule="auto"/>
        <w:rPr>
          <w:sz w:val="20"/>
          <w:szCs w:val="20"/>
          <w:color w:val="auto"/>
        </w:rPr>
      </w:pPr>
      <w:r>
        <w:rPr>
          <w:rFonts w:ascii="Arial" w:cs="Arial" w:eastAsia="Arial" w:hAnsi="Arial"/>
          <w:sz w:val="20"/>
          <w:szCs w:val="20"/>
          <w:color w:val="00162F"/>
        </w:rPr>
        <w:t>We sponsor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our defined benefit pension plans were frozen and we began providing enhanced benefits under our defined contribution pension plans for certain employee groups. We use a December 31 measurement date for all of our defined benefit pension plans. We also provide certain retiree medical and other postretirement benefits, including health care and life insurance benefits to retired employees and notional retiree health reimbursement arrangements for eligible participants.</w:t>
      </w:r>
    </w:p>
    <w:p>
      <w:pPr>
        <w:spacing w:after="0" w:line="234"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Benefit Obligations, Fair Value of Plan Assets and Funded Status</w:t>
      </w:r>
    </w:p>
    <w:p>
      <w:pPr>
        <w:spacing w:after="0" w:line="95"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The following tables provide a reconciliation of the changes in the pension and retiree medical and other postretirement benefits obligations, fair value of plan assets and funded status as of December 31, 2025 and 2024:</w:t>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5"/>
            <w:vMerge w:val="restart"/>
          </w:tcPr>
          <w:p>
            <w:pPr>
              <w:jc w:val="right"/>
              <w:ind w:right="643"/>
              <w:spacing w:after="0"/>
              <w:rPr>
                <w:sz w:val="20"/>
                <w:szCs w:val="20"/>
                <w:color w:val="auto"/>
              </w:rPr>
            </w:pPr>
            <w:r>
              <w:rPr>
                <w:rFonts w:ascii="Arial" w:cs="Arial" w:eastAsia="Arial" w:hAnsi="Arial"/>
                <w:sz w:val="16"/>
                <w:szCs w:val="16"/>
                <w:b w:val="1"/>
                <w:bCs w:val="1"/>
                <w:color w:val="00162F"/>
              </w:rPr>
              <w:t>Pension Benefits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6"/>
          </w:tcPr>
          <w:p>
            <w:pPr>
              <w:jc w:val="right"/>
              <w:ind w:right="562"/>
              <w:spacing w:after="0"/>
              <w:rPr>
                <w:sz w:val="20"/>
                <w:szCs w:val="20"/>
                <w:color w:val="auto"/>
              </w:rPr>
            </w:pPr>
            <w:r>
              <w:rPr>
                <w:rFonts w:ascii="Arial" w:cs="Arial" w:eastAsia="Arial" w:hAnsi="Arial"/>
                <w:sz w:val="16"/>
                <w:szCs w:val="16"/>
                <w:b w:val="1"/>
                <w:bCs w:val="1"/>
                <w:color w:val="00162F"/>
              </w:rPr>
              <w:t>Retiree Medical and</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Borders>
              <w:bottom w:val="single" w:sz="8" w:color="00162F"/>
            </w:tcBorders>
          </w:tcPr>
          <w:p>
            <w:pPr>
              <w:spacing w:after="0"/>
              <w:rPr>
                <w:sz w:val="18"/>
                <w:szCs w:val="18"/>
                <w:color w:val="auto"/>
              </w:rPr>
            </w:pPr>
          </w:p>
        </w:tc>
        <w:tc>
          <w:tcPr>
            <w:tcW w:w="320" w:type="dxa"/>
            <w:vAlign w:val="bottom"/>
            <w:tcBorders>
              <w:bottom w:val="single" w:sz="8" w:color="00162F"/>
            </w:tcBorders>
          </w:tcPr>
          <w:p>
            <w:pPr>
              <w:spacing w:after="0"/>
              <w:rPr>
                <w:sz w:val="18"/>
                <w:szCs w:val="18"/>
                <w:color w:val="auto"/>
              </w:rPr>
            </w:pPr>
          </w:p>
        </w:tc>
        <w:tc>
          <w:tcPr>
            <w:tcW w:w="2440" w:type="dxa"/>
            <w:vAlign w:val="bottom"/>
            <w:tcBorders>
              <w:bottom w:val="single" w:sz="8" w:color="00162F"/>
            </w:tcBorders>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00162F"/>
            </w:tcBorders>
          </w:tcPr>
          <w:p>
            <w:pPr>
              <w:spacing w:after="0"/>
              <w:rPr>
                <w:sz w:val="18"/>
                <w:szCs w:val="18"/>
                <w:color w:val="auto"/>
              </w:rPr>
            </w:pPr>
          </w:p>
        </w:tc>
        <w:tc>
          <w:tcPr>
            <w:tcW w:w="200" w:type="dxa"/>
            <w:vAlign w:val="bottom"/>
            <w:tcBorders>
              <w:bottom w:val="single" w:sz="8" w:color="00162F"/>
            </w:tcBorders>
          </w:tcPr>
          <w:p>
            <w:pPr>
              <w:spacing w:after="0"/>
              <w:rPr>
                <w:sz w:val="18"/>
                <w:szCs w:val="18"/>
                <w:color w:val="auto"/>
              </w:rPr>
            </w:pPr>
          </w:p>
        </w:tc>
        <w:tc>
          <w:tcPr>
            <w:tcW w:w="2560" w:type="dxa"/>
            <w:vAlign w:val="bottom"/>
            <w:tcBorders>
              <w:bottom w:val="single" w:sz="8" w:color="00162F"/>
            </w:tcBorders>
            <w:gridSpan w:val="6"/>
          </w:tcPr>
          <w:p>
            <w:pPr>
              <w:jc w:val="right"/>
              <w:ind w:right="162"/>
              <w:spacing w:after="0"/>
              <w:rPr>
                <w:sz w:val="20"/>
                <w:szCs w:val="20"/>
                <w:color w:val="auto"/>
              </w:rPr>
            </w:pPr>
            <w:r>
              <w:rPr>
                <w:rFonts w:ascii="Arial" w:cs="Arial" w:eastAsia="Arial" w:hAnsi="Arial"/>
                <w:sz w:val="16"/>
                <w:szCs w:val="16"/>
                <w:b w:val="1"/>
                <w:bCs w:val="1"/>
                <w:color w:val="00162F"/>
              </w:rPr>
              <w:t>Other Postretirement Benefits</w:t>
            </w:r>
          </w:p>
        </w:tc>
        <w:tc>
          <w:tcPr>
            <w:tcW w:w="0" w:type="dxa"/>
            <w:vAlign w:val="bottom"/>
          </w:tcPr>
          <w:p>
            <w:pPr>
              <w:spacing w:after="0"/>
              <w:rPr>
                <w:sz w:val="1"/>
                <w:szCs w:val="1"/>
                <w:color w:val="auto"/>
              </w:rPr>
            </w:pPr>
          </w:p>
        </w:tc>
      </w:tr>
      <w:tr>
        <w:trPr>
          <w:trHeight w:val="232"/>
        </w:trPr>
        <w:tc>
          <w:tcPr>
            <w:tcW w:w="19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 w:type="dxa"/>
            <w:vAlign w:val="bottom"/>
            <w:tcBorders>
              <w:bottom w:val="single" w:sz="8" w:color="00162F"/>
            </w:tcBorders>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020" w:type="dxa"/>
            <w:vAlign w:val="bottom"/>
            <w:tcBorders>
              <w:bottom w:val="single" w:sz="8" w:color="00162F"/>
            </w:tcBorders>
          </w:tcPr>
          <w:p>
            <w:pPr>
              <w:jc w:val="right"/>
              <w:ind w:right="403"/>
              <w:spacing w:after="0"/>
              <w:rPr>
                <w:sz w:val="20"/>
                <w:szCs w:val="20"/>
                <w:color w:val="auto"/>
              </w:rPr>
            </w:pPr>
            <w:r>
              <w:rPr>
                <w:rFonts w:ascii="Arial" w:cs="Arial" w:eastAsia="Arial" w:hAnsi="Arial"/>
                <w:sz w:val="16"/>
                <w:szCs w:val="16"/>
                <w:b w:val="1"/>
                <w:bCs w:val="1"/>
                <w:color w:val="00162F"/>
              </w:rPr>
              <w:t>2025</w:t>
            </w:r>
          </w:p>
        </w:tc>
        <w:tc>
          <w:tcPr>
            <w:tcW w:w="60" w:type="dxa"/>
            <w:vAlign w:val="bottom"/>
          </w:tcPr>
          <w:p>
            <w:pPr>
              <w:spacing w:after="0"/>
              <w:rPr>
                <w:sz w:val="20"/>
                <w:szCs w:val="20"/>
                <w:color w:val="auto"/>
              </w:rPr>
            </w:pPr>
          </w:p>
        </w:tc>
        <w:tc>
          <w:tcPr>
            <w:tcW w:w="20" w:type="dxa"/>
            <w:vAlign w:val="bottom"/>
            <w:tcBorders>
              <w:bottom w:val="single" w:sz="8" w:color="00162F"/>
            </w:tcBorders>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020" w:type="dxa"/>
            <w:vAlign w:val="bottom"/>
            <w:tcBorders>
              <w:bottom w:val="single" w:sz="8" w:color="00162F"/>
            </w:tcBorders>
          </w:tcPr>
          <w:p>
            <w:pPr>
              <w:jc w:val="right"/>
              <w:ind w:right="403"/>
              <w:spacing w:after="0"/>
              <w:rPr>
                <w:sz w:val="20"/>
                <w:szCs w:val="20"/>
                <w:color w:val="auto"/>
              </w:rPr>
            </w:pPr>
            <w:r>
              <w:rPr>
                <w:rFonts w:ascii="Arial" w:cs="Arial" w:eastAsia="Arial" w:hAnsi="Arial"/>
                <w:sz w:val="16"/>
                <w:szCs w:val="16"/>
                <w:b w:val="1"/>
                <w:bCs w:val="1"/>
                <w:color w:val="00162F"/>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00162F"/>
            </w:tcBorders>
          </w:tcPr>
          <w:p>
            <w:pPr>
              <w:spacing w:after="0"/>
              <w:rPr>
                <w:sz w:val="20"/>
                <w:szCs w:val="20"/>
                <w:color w:val="auto"/>
              </w:rPr>
            </w:pPr>
          </w:p>
        </w:tc>
        <w:tc>
          <w:tcPr>
            <w:tcW w:w="200" w:type="dxa"/>
            <w:vAlign w:val="bottom"/>
            <w:tcBorders>
              <w:bottom w:val="single" w:sz="8" w:color="00162F"/>
            </w:tcBorders>
          </w:tcPr>
          <w:p>
            <w:pPr>
              <w:spacing w:after="0"/>
              <w:rPr>
                <w:sz w:val="20"/>
                <w:szCs w:val="20"/>
                <w:color w:val="auto"/>
              </w:rPr>
            </w:pPr>
          </w:p>
        </w:tc>
        <w:tc>
          <w:tcPr>
            <w:tcW w:w="1120" w:type="dxa"/>
            <w:vAlign w:val="bottom"/>
            <w:tcBorders>
              <w:bottom w:val="single" w:sz="8" w:color="00162F"/>
            </w:tcBorders>
          </w:tcPr>
          <w:p>
            <w:pPr>
              <w:jc w:val="right"/>
              <w:ind w:right="404"/>
              <w:spacing w:after="0"/>
              <w:rPr>
                <w:sz w:val="20"/>
                <w:szCs w:val="20"/>
                <w:color w:val="auto"/>
              </w:rPr>
            </w:pPr>
            <w:r>
              <w:rPr>
                <w:rFonts w:ascii="Arial" w:cs="Arial" w:eastAsia="Arial" w:hAnsi="Arial"/>
                <w:sz w:val="16"/>
                <w:szCs w:val="16"/>
                <w:b w:val="1"/>
                <w:bCs w:val="1"/>
                <w:color w:val="00162F"/>
              </w:rPr>
              <w:t>2025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00162F"/>
            </w:tcBorders>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020" w:type="dxa"/>
            <w:vAlign w:val="bottom"/>
            <w:tcBorders>
              <w:bottom w:val="single" w:sz="8" w:color="00162F"/>
            </w:tcBorders>
          </w:tcPr>
          <w:p>
            <w:pPr>
              <w:jc w:val="right"/>
              <w:ind w:right="402"/>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55"/>
        </w:trPr>
        <w:tc>
          <w:tcPr>
            <w:tcW w:w="19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20" w:type="dxa"/>
            <w:vAlign w:val="bottom"/>
            <w:gridSpan w:val="8"/>
          </w:tcPr>
          <w:p>
            <w:pPr>
              <w:ind w:left="620"/>
              <w:spacing w:after="0"/>
              <w:rPr>
                <w:sz w:val="20"/>
                <w:szCs w:val="20"/>
                <w:color w:val="auto"/>
              </w:rPr>
            </w:pPr>
            <w:r>
              <w:rPr>
                <w:rFonts w:ascii="Arial" w:cs="Arial" w:eastAsia="Arial" w:hAnsi="Arial"/>
                <w:sz w:val="16"/>
                <w:szCs w:val="16"/>
                <w:b w:val="1"/>
                <w:bCs w:val="1"/>
                <w:color w:val="00162F"/>
              </w:rPr>
              <w:t>(In millions)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504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Benefit obligation at beginning of period</w:t>
            </w:r>
          </w:p>
        </w:tc>
        <w:tc>
          <w:tcPr>
            <w:tcW w:w="340" w:type="dxa"/>
            <w:vAlign w:val="bottom"/>
            <w:gridSpan w:val="2"/>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13,349</w:t>
            </w:r>
          </w:p>
        </w:tc>
        <w:tc>
          <w:tcPr>
            <w:tcW w:w="400" w:type="dxa"/>
            <w:vAlign w:val="bottom"/>
            <w:gridSpan w:val="3"/>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14,410</w:t>
            </w:r>
          </w:p>
        </w:tc>
        <w:tc>
          <w:tcPr>
            <w:tcW w:w="300" w:type="dxa"/>
            <w:vAlign w:val="bottom"/>
            <w:gridSpan w:val="4"/>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1,308</w:t>
            </w:r>
          </w:p>
        </w:tc>
        <w:tc>
          <w:tcPr>
            <w:tcW w:w="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40" w:type="dxa"/>
            <w:vAlign w:val="bottom"/>
            <w:gridSpan w:val="2"/>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1,325</w:t>
            </w:r>
          </w:p>
        </w:tc>
        <w:tc>
          <w:tcPr>
            <w:tcW w:w="0" w:type="dxa"/>
            <w:vAlign w:val="bottom"/>
          </w:tcPr>
          <w:p>
            <w:pPr>
              <w:spacing w:after="0"/>
              <w:rPr>
                <w:sz w:val="1"/>
                <w:szCs w:val="1"/>
                <w:color w:val="auto"/>
              </w:rPr>
            </w:pPr>
          </w:p>
        </w:tc>
      </w:tr>
      <w:tr>
        <w:trPr>
          <w:trHeight w:val="293"/>
        </w:trPr>
        <w:tc>
          <w:tcPr>
            <w:tcW w:w="5040" w:type="dxa"/>
            <w:vAlign w:val="bottom"/>
            <w:gridSpan w:val="2"/>
          </w:tcPr>
          <w:p>
            <w:pPr>
              <w:ind w:left="260"/>
              <w:spacing w:after="0"/>
              <w:rPr>
                <w:sz w:val="20"/>
                <w:szCs w:val="20"/>
                <w:color w:val="auto"/>
              </w:rPr>
            </w:pPr>
            <w:r>
              <w:rPr>
                <w:rFonts w:ascii="Arial" w:cs="Arial" w:eastAsia="Arial" w:hAnsi="Arial"/>
                <w:sz w:val="20"/>
                <w:szCs w:val="20"/>
                <w:color w:val="00162F"/>
              </w:rPr>
              <w:t>Service cost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29</w:t>
            </w:r>
          </w:p>
        </w:tc>
        <w:tc>
          <w:tcPr>
            <w:tcW w:w="0" w:type="dxa"/>
            <w:vAlign w:val="bottom"/>
          </w:tcPr>
          <w:p>
            <w:pPr>
              <w:spacing w:after="0"/>
              <w:rPr>
                <w:sz w:val="1"/>
                <w:szCs w:val="1"/>
                <w:color w:val="auto"/>
              </w:rPr>
            </w:pPr>
          </w:p>
        </w:tc>
      </w:tr>
      <w:tr>
        <w:trPr>
          <w:trHeight w:val="301"/>
        </w:trPr>
        <w:tc>
          <w:tcPr>
            <w:tcW w:w="504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Interest cost</w:t>
            </w:r>
          </w:p>
        </w:tc>
        <w:tc>
          <w:tcPr>
            <w:tcW w:w="2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730</w:t>
            </w:r>
          </w:p>
        </w:tc>
        <w:tc>
          <w:tcPr>
            <w:tcW w:w="6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723</w:t>
            </w:r>
          </w:p>
        </w:tc>
        <w:tc>
          <w:tcPr>
            <w:tcW w:w="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69</w:t>
            </w:r>
          </w:p>
        </w:tc>
        <w:tc>
          <w:tcPr>
            <w:tcW w:w="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64</w:t>
            </w:r>
          </w:p>
        </w:tc>
        <w:tc>
          <w:tcPr>
            <w:tcW w:w="0" w:type="dxa"/>
            <w:vAlign w:val="bottom"/>
          </w:tcPr>
          <w:p>
            <w:pPr>
              <w:spacing w:after="0"/>
              <w:rPr>
                <w:sz w:val="1"/>
                <w:szCs w:val="1"/>
                <w:color w:val="auto"/>
              </w:rPr>
            </w:pPr>
          </w:p>
        </w:tc>
      </w:tr>
      <w:tr>
        <w:trPr>
          <w:trHeight w:val="293"/>
        </w:trPr>
        <w:tc>
          <w:tcPr>
            <w:tcW w:w="5040" w:type="dxa"/>
            <w:vAlign w:val="bottom"/>
            <w:gridSpan w:val="2"/>
          </w:tcPr>
          <w:p>
            <w:pPr>
              <w:ind w:left="260"/>
              <w:spacing w:after="0"/>
              <w:rPr>
                <w:sz w:val="20"/>
                <w:szCs w:val="20"/>
                <w:color w:val="auto"/>
              </w:rPr>
            </w:pPr>
            <w:r>
              <w:rPr>
                <w:rFonts w:ascii="Arial" w:cs="Arial" w:eastAsia="Arial" w:hAnsi="Arial"/>
                <w:sz w:val="20"/>
                <w:szCs w:val="20"/>
                <w:color w:val="00162F"/>
              </w:rPr>
              <w:t xml:space="preserve">Actuarial loss (gain) </w:t>
            </w:r>
            <w:r>
              <w:rPr>
                <w:rFonts w:ascii="Arial" w:cs="Arial" w:eastAsia="Arial" w:hAnsi="Arial"/>
                <w:sz w:val="12"/>
                <w:szCs w:val="12"/>
                <w:color w:val="00162F"/>
              </w:rPr>
              <w:t>(1), (2)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168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(741)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(58)</w:t>
            </w:r>
          </w:p>
        </w:tc>
        <w:tc>
          <w:tcPr>
            <w:tcW w:w="0" w:type="dxa"/>
            <w:vAlign w:val="bottom"/>
          </w:tcPr>
          <w:p>
            <w:pPr>
              <w:spacing w:after="0"/>
              <w:rPr>
                <w:sz w:val="1"/>
                <w:szCs w:val="1"/>
                <w:color w:val="auto"/>
              </w:rPr>
            </w:pPr>
          </w:p>
        </w:tc>
      </w:tr>
      <w:tr>
        <w:trPr>
          <w:trHeight w:val="301"/>
        </w:trPr>
        <w:tc>
          <w:tcPr>
            <w:tcW w:w="504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Plan amendments </w:t>
            </w:r>
            <w:r>
              <w:rPr>
                <w:rFonts w:ascii="Arial" w:cs="Arial" w:eastAsia="Arial" w:hAnsi="Arial"/>
                <w:sz w:val="12"/>
                <w:szCs w:val="12"/>
                <w:color w:val="00162F"/>
              </w:rPr>
              <w:t>(3)</w:t>
            </w:r>
          </w:p>
        </w:tc>
        <w:tc>
          <w:tcPr>
            <w:tcW w:w="2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00" w:type="dxa"/>
            <w:vAlign w:val="bottom"/>
            <w:gridSpan w:val="3"/>
            <w:shd w:val="clear" w:color="auto" w:fill="EDEDED"/>
          </w:tcPr>
          <w:p>
            <w:pPr>
              <w:jc w:val="right"/>
              <w:ind w:right="160"/>
              <w:spacing w:after="0"/>
              <w:rPr>
                <w:sz w:val="20"/>
                <w:szCs w:val="20"/>
                <w:color w:val="auto"/>
              </w:rPr>
            </w:pPr>
            <w:r>
              <w:rPr>
                <w:rFonts w:ascii="Arial" w:cs="Arial" w:eastAsia="Arial" w:hAnsi="Arial"/>
                <w:sz w:val="20"/>
                <w:szCs w:val="20"/>
                <w:color w:val="00162F"/>
              </w:rPr>
              <w:t>—</w:t>
            </w:r>
          </w:p>
        </w:tc>
        <w:tc>
          <w:tcPr>
            <w:tcW w:w="2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55</w:t>
            </w:r>
          </w:p>
        </w:tc>
        <w:tc>
          <w:tcPr>
            <w:tcW w:w="0" w:type="dxa"/>
            <w:vAlign w:val="bottom"/>
          </w:tcPr>
          <w:p>
            <w:pPr>
              <w:spacing w:after="0"/>
              <w:rPr>
                <w:sz w:val="1"/>
                <w:szCs w:val="1"/>
                <w:color w:val="auto"/>
              </w:rPr>
            </w:pPr>
          </w:p>
        </w:tc>
      </w:tr>
      <w:tr>
        <w:trPr>
          <w:trHeight w:val="293"/>
        </w:trPr>
        <w:tc>
          <w:tcPr>
            <w:tcW w:w="5040" w:type="dxa"/>
            <w:vAlign w:val="bottom"/>
            <w:gridSpan w:val="2"/>
          </w:tcPr>
          <w:p>
            <w:pPr>
              <w:ind w:left="260"/>
              <w:spacing w:after="0"/>
              <w:rPr>
                <w:sz w:val="20"/>
                <w:szCs w:val="20"/>
                <w:color w:val="auto"/>
              </w:rPr>
            </w:pPr>
            <w:r>
              <w:rPr>
                <w:rFonts w:ascii="Arial" w:cs="Arial" w:eastAsia="Arial" w:hAnsi="Arial"/>
                <w:sz w:val="20"/>
                <w:szCs w:val="20"/>
                <w:color w:val="00162F"/>
              </w:rPr>
              <w:t>Benefit payments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(130)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(107)</w:t>
            </w:r>
          </w:p>
        </w:tc>
        <w:tc>
          <w:tcPr>
            <w:tcW w:w="0" w:type="dxa"/>
            <w:vAlign w:val="bottom"/>
          </w:tcPr>
          <w:p>
            <w:pPr>
              <w:spacing w:after="0"/>
              <w:rPr>
                <w:sz w:val="1"/>
                <w:szCs w:val="1"/>
                <w:color w:val="auto"/>
              </w:rPr>
            </w:pPr>
          </w:p>
        </w:tc>
      </w:tr>
      <w:tr>
        <w:trPr>
          <w:trHeight w:val="311"/>
        </w:trPr>
        <w:tc>
          <w:tcPr>
            <w:tcW w:w="504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Other</w:t>
            </w:r>
          </w:p>
        </w:tc>
        <w:tc>
          <w:tcPr>
            <w:tcW w:w="20" w:type="dxa"/>
            <w:vAlign w:val="bottom"/>
            <w:tcBorders>
              <w:bottom w:val="single" w:sz="8" w:color="00162F"/>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00162F"/>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(132)</w:t>
            </w:r>
          </w:p>
        </w:tc>
        <w:tc>
          <w:tcPr>
            <w:tcW w:w="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00162F"/>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11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gridSpan w:val="2"/>
            <w:shd w:val="clear" w:color="auto" w:fill="EDEDED"/>
          </w:tcPr>
          <w:p>
            <w:pPr>
              <w:spacing w:after="0"/>
              <w:rPr>
                <w:sz w:val="24"/>
                <w:szCs w:val="24"/>
                <w:color w:val="auto"/>
              </w:rPr>
            </w:pPr>
          </w:p>
        </w:tc>
        <w:tc>
          <w:tcPr>
            <w:tcW w:w="20" w:type="dxa"/>
            <w:vAlign w:val="bottom"/>
            <w:tcBorders>
              <w:bottom w:val="single" w:sz="8" w:color="00162F"/>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0" w:type="dxa"/>
            <w:vAlign w:val="bottom"/>
          </w:tcPr>
          <w:p>
            <w:pPr>
              <w:spacing w:after="0"/>
              <w:rPr>
                <w:sz w:val="1"/>
                <w:szCs w:val="1"/>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20"/>
                <w:szCs w:val="20"/>
                <w:color w:val="00162F"/>
              </w:rPr>
              <w:t>Benefit obligation at end of period</w:t>
            </w:r>
          </w:p>
        </w:tc>
        <w:tc>
          <w:tcPr>
            <w:tcW w:w="340" w:type="dxa"/>
            <w:vAlign w:val="bottom"/>
            <w:gridSpan w:val="2"/>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13,331</w:t>
            </w:r>
          </w:p>
        </w:tc>
        <w:tc>
          <w:tcPr>
            <w:tcW w:w="400" w:type="dxa"/>
            <w:vAlign w:val="bottom"/>
            <w:gridSpan w:val="3"/>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13,349</w:t>
            </w:r>
          </w:p>
        </w:tc>
        <w:tc>
          <w:tcPr>
            <w:tcW w:w="300" w:type="dxa"/>
            <w:vAlign w:val="bottom"/>
            <w:gridSpan w:val="4"/>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Pr>
          <w:p>
            <w:pPr>
              <w:jc w:val="right"/>
              <w:spacing w:after="0"/>
              <w:rPr>
                <w:sz w:val="20"/>
                <w:szCs w:val="20"/>
                <w:color w:val="auto"/>
              </w:rPr>
            </w:pPr>
            <w:r>
              <w:rPr>
                <w:rFonts w:ascii="Arial" w:cs="Arial" w:eastAsia="Arial" w:hAnsi="Arial"/>
                <w:sz w:val="20"/>
                <w:szCs w:val="20"/>
                <w:color w:val="00162F"/>
              </w:rPr>
              <w:t>1,259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2"/>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1,308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top w:val="single" w:sz="8" w:color="00162F"/>
              <w:bottom w:val="single" w:sz="8" w:color="00162F"/>
            </w:tcBorders>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102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162F"/>
              <w:bottom w:val="single" w:sz="8" w:color="00162F"/>
            </w:tcBorders>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1020" w:type="dxa"/>
            <w:vAlign w:val="bottom"/>
            <w:tcBorders>
              <w:top w:val="single" w:sz="8" w:color="00162F"/>
              <w:bottom w:val="single" w:sz="8" w:color="00162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162F"/>
              <w:bottom w:val="single" w:sz="8" w:color="00162F"/>
            </w:tcBorders>
          </w:tcPr>
          <w:p>
            <w:pPr>
              <w:spacing w:after="0" w:line="20" w:lineRule="exact"/>
              <w:rPr>
                <w:sz w:val="1"/>
                <w:szCs w:val="1"/>
                <w:color w:val="auto"/>
              </w:rPr>
            </w:pPr>
          </w:p>
        </w:tc>
        <w:tc>
          <w:tcPr>
            <w:tcW w:w="200" w:type="dxa"/>
            <w:vAlign w:val="bottom"/>
            <w:tcBorders>
              <w:top w:val="single" w:sz="8" w:color="00162F"/>
              <w:bottom w:val="single" w:sz="8" w:color="00162F"/>
            </w:tcBorders>
          </w:tcPr>
          <w:p>
            <w:pPr>
              <w:spacing w:after="0" w:line="20" w:lineRule="exact"/>
              <w:rPr>
                <w:sz w:val="1"/>
                <w:szCs w:val="1"/>
                <w:color w:val="auto"/>
              </w:rPr>
            </w:pPr>
          </w:p>
        </w:tc>
        <w:tc>
          <w:tcPr>
            <w:tcW w:w="1120" w:type="dxa"/>
            <w:vAlign w:val="bottom"/>
            <w:tcBorders>
              <w:top w:val="single" w:sz="8" w:color="00162F"/>
              <w:bottom w:val="single" w:sz="8" w:color="00162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162F"/>
              <w:bottom w:val="single" w:sz="8" w:color="00162F"/>
            </w:tcBorders>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1020" w:type="dxa"/>
            <w:vAlign w:val="bottom"/>
            <w:tcBorders>
              <w:top w:val="single" w:sz="8" w:color="00162F"/>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9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4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Fair value of plan assets at beginning of period</w:t>
            </w:r>
          </w:p>
        </w:tc>
        <w:tc>
          <w:tcPr>
            <w:tcW w:w="340" w:type="dxa"/>
            <w:vAlign w:val="bottom"/>
            <w:gridSpan w:val="2"/>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12,254</w:t>
            </w:r>
          </w:p>
        </w:tc>
        <w:tc>
          <w:tcPr>
            <w:tcW w:w="400" w:type="dxa"/>
            <w:vAlign w:val="bottom"/>
            <w:gridSpan w:val="3"/>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12,431</w:t>
            </w:r>
          </w:p>
        </w:tc>
        <w:tc>
          <w:tcPr>
            <w:tcW w:w="300" w:type="dxa"/>
            <w:vAlign w:val="bottom"/>
            <w:gridSpan w:val="4"/>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128</w:t>
            </w:r>
          </w:p>
        </w:tc>
        <w:tc>
          <w:tcPr>
            <w:tcW w:w="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40" w:type="dxa"/>
            <w:vAlign w:val="bottom"/>
            <w:gridSpan w:val="2"/>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133</w:t>
            </w:r>
          </w:p>
        </w:tc>
        <w:tc>
          <w:tcPr>
            <w:tcW w:w="0" w:type="dxa"/>
            <w:vAlign w:val="bottom"/>
          </w:tcPr>
          <w:p>
            <w:pPr>
              <w:spacing w:after="0"/>
              <w:rPr>
                <w:sz w:val="1"/>
                <w:szCs w:val="1"/>
                <w:color w:val="auto"/>
              </w:rPr>
            </w:pPr>
          </w:p>
        </w:tc>
      </w:tr>
      <w:tr>
        <w:trPr>
          <w:trHeight w:val="293"/>
        </w:trPr>
        <w:tc>
          <w:tcPr>
            <w:tcW w:w="5040" w:type="dxa"/>
            <w:vAlign w:val="bottom"/>
            <w:gridSpan w:val="2"/>
          </w:tcPr>
          <w:p>
            <w:pPr>
              <w:ind w:left="260"/>
              <w:spacing w:after="0"/>
              <w:rPr>
                <w:sz w:val="20"/>
                <w:szCs w:val="20"/>
                <w:color w:val="auto"/>
              </w:rPr>
            </w:pPr>
            <w:r>
              <w:rPr>
                <w:rFonts w:ascii="Arial" w:cs="Arial" w:eastAsia="Arial" w:hAnsi="Arial"/>
                <w:sz w:val="20"/>
                <w:szCs w:val="20"/>
                <w:color w:val="00162F"/>
              </w:rPr>
              <w:t>Actual return on plan assets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1,229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568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00162F"/>
              </w:rPr>
              <w:t>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w:t>
            </w:r>
          </w:p>
        </w:tc>
        <w:tc>
          <w:tcPr>
            <w:tcW w:w="0" w:type="dxa"/>
            <w:vAlign w:val="bottom"/>
          </w:tcPr>
          <w:p>
            <w:pPr>
              <w:spacing w:after="0"/>
              <w:rPr>
                <w:sz w:val="1"/>
                <w:szCs w:val="1"/>
                <w:color w:val="auto"/>
              </w:rPr>
            </w:pPr>
          </w:p>
        </w:tc>
      </w:tr>
      <w:tr>
        <w:trPr>
          <w:trHeight w:val="301"/>
        </w:trPr>
        <w:tc>
          <w:tcPr>
            <w:tcW w:w="504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Employer contributions </w:t>
            </w:r>
            <w:r>
              <w:rPr>
                <w:rFonts w:ascii="Arial" w:cs="Arial" w:eastAsia="Arial" w:hAnsi="Arial"/>
                <w:sz w:val="12"/>
                <w:szCs w:val="12"/>
                <w:color w:val="00162F"/>
              </w:rPr>
              <w:t>(4)</w:t>
            </w:r>
          </w:p>
        </w:tc>
        <w:tc>
          <w:tcPr>
            <w:tcW w:w="2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228</w:t>
            </w:r>
          </w:p>
        </w:tc>
        <w:tc>
          <w:tcPr>
            <w:tcW w:w="6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300</w:t>
            </w:r>
          </w:p>
        </w:tc>
        <w:tc>
          <w:tcPr>
            <w:tcW w:w="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105</w:t>
            </w:r>
          </w:p>
        </w:tc>
        <w:tc>
          <w:tcPr>
            <w:tcW w:w="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93</w:t>
            </w:r>
          </w:p>
        </w:tc>
        <w:tc>
          <w:tcPr>
            <w:tcW w:w="0" w:type="dxa"/>
            <w:vAlign w:val="bottom"/>
          </w:tcPr>
          <w:p>
            <w:pPr>
              <w:spacing w:after="0"/>
              <w:rPr>
                <w:sz w:val="1"/>
                <w:szCs w:val="1"/>
                <w:color w:val="auto"/>
              </w:rPr>
            </w:pPr>
          </w:p>
        </w:tc>
      </w:tr>
      <w:tr>
        <w:trPr>
          <w:trHeight w:val="293"/>
        </w:trPr>
        <w:tc>
          <w:tcPr>
            <w:tcW w:w="5040" w:type="dxa"/>
            <w:vAlign w:val="bottom"/>
            <w:gridSpan w:val="2"/>
          </w:tcPr>
          <w:p>
            <w:pPr>
              <w:ind w:left="260"/>
              <w:spacing w:after="0"/>
              <w:rPr>
                <w:sz w:val="20"/>
                <w:szCs w:val="20"/>
                <w:color w:val="auto"/>
              </w:rPr>
            </w:pPr>
            <w:r>
              <w:rPr>
                <w:rFonts w:ascii="Arial" w:cs="Arial" w:eastAsia="Arial" w:hAnsi="Arial"/>
                <w:sz w:val="20"/>
                <w:szCs w:val="20"/>
                <w:color w:val="00162F"/>
              </w:rPr>
              <w:t>Benefit payments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00162F"/>
              </w:rPr>
              <w:t>(130)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(107)</w:t>
            </w:r>
          </w:p>
        </w:tc>
        <w:tc>
          <w:tcPr>
            <w:tcW w:w="0" w:type="dxa"/>
            <w:vAlign w:val="bottom"/>
          </w:tcPr>
          <w:p>
            <w:pPr>
              <w:spacing w:after="0"/>
              <w:rPr>
                <w:sz w:val="1"/>
                <w:szCs w:val="1"/>
                <w:color w:val="auto"/>
              </w:rPr>
            </w:pPr>
          </w:p>
        </w:tc>
      </w:tr>
      <w:tr>
        <w:trPr>
          <w:trHeight w:val="311"/>
        </w:trPr>
        <w:tc>
          <w:tcPr>
            <w:tcW w:w="504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Other</w:t>
            </w:r>
          </w:p>
        </w:tc>
        <w:tc>
          <w:tcPr>
            <w:tcW w:w="2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(132)</w:t>
            </w:r>
          </w:p>
        </w:tc>
        <w:tc>
          <w:tcPr>
            <w:tcW w:w="20" w:type="dxa"/>
            <w:vAlign w:val="bottom"/>
            <w:tcBorders>
              <w:bottom w:val="single" w:sz="8" w:color="00162F"/>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1140" w:type="dxa"/>
            <w:vAlign w:val="bottom"/>
            <w:tcBorders>
              <w:bottom w:val="single" w:sz="8" w:color="00162F"/>
            </w:tcBorders>
            <w:gridSpan w:val="2"/>
            <w:shd w:val="clear" w:color="auto" w:fill="EDEDED"/>
          </w:tcPr>
          <w:p>
            <w:pPr>
              <w:jc w:val="right"/>
              <w:ind w:right="80"/>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0" w:type="dxa"/>
            <w:vAlign w:val="bottom"/>
          </w:tcPr>
          <w:p>
            <w:pPr>
              <w:spacing w:after="0"/>
              <w:rPr>
                <w:sz w:val="1"/>
                <w:szCs w:val="1"/>
                <w:color w:val="auto"/>
              </w:rPr>
            </w:pPr>
          </w:p>
        </w:tc>
      </w:tr>
      <w:tr>
        <w:trPr>
          <w:trHeight w:val="277"/>
        </w:trPr>
        <w:tc>
          <w:tcPr>
            <w:tcW w:w="5040" w:type="dxa"/>
            <w:vAlign w:val="bottom"/>
            <w:gridSpan w:val="2"/>
          </w:tcPr>
          <w:p>
            <w:pPr>
              <w:ind w:left="40"/>
              <w:spacing w:after="0"/>
              <w:rPr>
                <w:sz w:val="20"/>
                <w:szCs w:val="20"/>
                <w:color w:val="auto"/>
              </w:rPr>
            </w:pPr>
            <w:r>
              <w:rPr>
                <w:rFonts w:ascii="Arial" w:cs="Arial" w:eastAsia="Arial" w:hAnsi="Arial"/>
                <w:sz w:val="20"/>
                <w:szCs w:val="20"/>
                <w:color w:val="00162F"/>
              </w:rPr>
              <w:t>Fair value of plan assets at end of period</w:t>
            </w:r>
          </w:p>
        </w:tc>
        <w:tc>
          <w:tcPr>
            <w:tcW w:w="340" w:type="dxa"/>
            <w:vAlign w:val="bottom"/>
            <w:gridSpan w:val="2"/>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12,792</w:t>
            </w:r>
          </w:p>
        </w:tc>
        <w:tc>
          <w:tcPr>
            <w:tcW w:w="400" w:type="dxa"/>
            <w:vAlign w:val="bottom"/>
            <w:gridSpan w:val="3"/>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12,254</w:t>
            </w:r>
          </w:p>
        </w:tc>
        <w:tc>
          <w:tcPr>
            <w:tcW w:w="300" w:type="dxa"/>
            <w:vAlign w:val="bottom"/>
            <w:gridSpan w:val="4"/>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Pr>
          <w:p>
            <w:pPr>
              <w:jc w:val="right"/>
              <w:spacing w:after="0"/>
              <w:rPr>
                <w:sz w:val="20"/>
                <w:szCs w:val="20"/>
                <w:color w:val="auto"/>
              </w:rPr>
            </w:pPr>
            <w:r>
              <w:rPr>
                <w:rFonts w:ascii="Arial" w:cs="Arial" w:eastAsia="Arial" w:hAnsi="Arial"/>
                <w:sz w:val="20"/>
                <w:szCs w:val="20"/>
                <w:color w:val="00162F"/>
              </w:rPr>
              <w:t>118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128</w:t>
            </w:r>
          </w:p>
        </w:tc>
        <w:tc>
          <w:tcPr>
            <w:tcW w:w="0" w:type="dxa"/>
            <w:vAlign w:val="bottom"/>
          </w:tcPr>
          <w:p>
            <w:pPr>
              <w:spacing w:after="0"/>
              <w:rPr>
                <w:sz w:val="1"/>
                <w:szCs w:val="1"/>
                <w:color w:val="auto"/>
              </w:rPr>
            </w:pPr>
          </w:p>
        </w:tc>
      </w:tr>
      <w:tr>
        <w:trPr>
          <w:trHeight w:val="277"/>
        </w:trPr>
        <w:tc>
          <w:tcPr>
            <w:tcW w:w="5040" w:type="dxa"/>
            <w:vAlign w:val="bottom"/>
            <w:tcBorders>
              <w:top w:val="single" w:sz="8" w:color="EDEDED"/>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Funded status at end of period</w:t>
            </w:r>
          </w:p>
        </w:tc>
        <w:tc>
          <w:tcPr>
            <w:tcW w:w="20" w:type="dxa"/>
            <w:vAlign w:val="bottom"/>
            <w:tcBorders>
              <w:top w:val="single" w:sz="8" w:color="EDEDED"/>
              <w:bottom w:val="single" w:sz="8" w:color="EDEDED"/>
            </w:tcBorders>
            <w:shd w:val="clear" w:color="auto" w:fill="EDEDED"/>
          </w:tcPr>
          <w:p>
            <w:pPr>
              <w:spacing w:after="0"/>
              <w:rPr>
                <w:sz w:val="24"/>
                <w:szCs w:val="24"/>
                <w:color w:val="auto"/>
              </w:rPr>
            </w:pPr>
          </w:p>
        </w:tc>
        <w:tc>
          <w:tcPr>
            <w:tcW w:w="320" w:type="dxa"/>
            <w:vAlign w:val="bottom"/>
            <w:tcBorders>
              <w:top w:val="single" w:sz="8" w:color="00162F"/>
              <w:bottom w:val="single" w:sz="8" w:color="00162F"/>
            </w:tcBorders>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Borders>
              <w:top w:val="single" w:sz="8" w:color="00162F"/>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539)</w:t>
            </w:r>
          </w:p>
        </w:tc>
        <w:tc>
          <w:tcPr>
            <w:tcW w:w="80" w:type="dxa"/>
            <w:vAlign w:val="bottom"/>
            <w:tcBorders>
              <w:top w:val="single" w:sz="8" w:color="EDEDED"/>
              <w:bottom w:val="single" w:sz="8" w:color="EDEDED"/>
            </w:tcBorders>
            <w:gridSpan w:val="2"/>
            <w:shd w:val="clear" w:color="auto" w:fill="EDEDED"/>
          </w:tcPr>
          <w:p>
            <w:pPr>
              <w:spacing w:after="0"/>
              <w:rPr>
                <w:sz w:val="24"/>
                <w:szCs w:val="24"/>
                <w:color w:val="auto"/>
              </w:rPr>
            </w:pPr>
          </w:p>
        </w:tc>
        <w:tc>
          <w:tcPr>
            <w:tcW w:w="320" w:type="dxa"/>
            <w:vAlign w:val="bottom"/>
            <w:tcBorders>
              <w:top w:val="single" w:sz="8" w:color="00162F"/>
              <w:bottom w:val="single" w:sz="8" w:color="00162F"/>
            </w:tcBorders>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Borders>
              <w:top w:val="single" w:sz="8" w:color="00162F"/>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1,095)</w:t>
            </w:r>
          </w:p>
        </w:tc>
        <w:tc>
          <w:tcPr>
            <w:tcW w:w="20" w:type="dxa"/>
            <w:vAlign w:val="bottom"/>
            <w:tcBorders>
              <w:top w:val="single" w:sz="8" w:color="00162F"/>
              <w:bottom w:val="single" w:sz="8" w:color="00162F"/>
            </w:tcBorders>
            <w:shd w:val="clear" w:color="auto" w:fill="EDEDED"/>
          </w:tcPr>
          <w:p>
            <w:pPr>
              <w:spacing w:after="0"/>
              <w:rPr>
                <w:sz w:val="24"/>
                <w:szCs w:val="24"/>
                <w:color w:val="auto"/>
              </w:rPr>
            </w:pPr>
          </w:p>
        </w:tc>
        <w:tc>
          <w:tcPr>
            <w:tcW w:w="80" w:type="dxa"/>
            <w:vAlign w:val="bottom"/>
            <w:tcBorders>
              <w:top w:val="single" w:sz="8" w:color="EDEDED"/>
              <w:bottom w:val="single" w:sz="8" w:color="EDEDED"/>
            </w:tcBorders>
            <w:gridSpan w:val="2"/>
            <w:shd w:val="clear" w:color="auto" w:fill="EDEDED"/>
          </w:tcPr>
          <w:p>
            <w:pPr>
              <w:spacing w:after="0"/>
              <w:rPr>
                <w:sz w:val="24"/>
                <w:szCs w:val="24"/>
                <w:color w:val="auto"/>
              </w:rPr>
            </w:pPr>
          </w:p>
        </w:tc>
        <w:tc>
          <w:tcPr>
            <w:tcW w:w="200" w:type="dxa"/>
            <w:vAlign w:val="bottom"/>
            <w:tcBorders>
              <w:top w:val="single" w:sz="8" w:color="00162F"/>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20" w:type="dxa"/>
            <w:vAlign w:val="bottom"/>
            <w:tcBorders>
              <w:top w:val="single" w:sz="8" w:color="00162F"/>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1,141)</w:t>
            </w:r>
          </w:p>
        </w:tc>
        <w:tc>
          <w:tcPr>
            <w:tcW w:w="20" w:type="dxa"/>
            <w:vAlign w:val="bottom"/>
            <w:tcBorders>
              <w:top w:val="single" w:sz="8" w:color="00162F"/>
              <w:bottom w:val="single" w:sz="8" w:color="00162F"/>
            </w:tcBorders>
            <w:shd w:val="clear" w:color="auto" w:fill="EDEDED"/>
          </w:tcPr>
          <w:p>
            <w:pPr>
              <w:spacing w:after="0"/>
              <w:rPr>
                <w:sz w:val="24"/>
                <w:szCs w:val="24"/>
                <w:color w:val="auto"/>
              </w:rPr>
            </w:pPr>
          </w:p>
        </w:tc>
        <w:tc>
          <w:tcPr>
            <w:tcW w:w="60" w:type="dxa"/>
            <w:vAlign w:val="bottom"/>
            <w:tcBorders>
              <w:top w:val="single" w:sz="8" w:color="EDEDED"/>
              <w:bottom w:val="single" w:sz="8" w:color="EDEDED"/>
            </w:tcBorders>
            <w:shd w:val="clear" w:color="auto" w:fill="EDEDED"/>
          </w:tcPr>
          <w:p>
            <w:pPr>
              <w:spacing w:after="0"/>
              <w:rPr>
                <w:sz w:val="24"/>
                <w:szCs w:val="24"/>
                <w:color w:val="auto"/>
              </w:rPr>
            </w:pPr>
          </w:p>
        </w:tc>
        <w:tc>
          <w:tcPr>
            <w:tcW w:w="20" w:type="dxa"/>
            <w:vAlign w:val="bottom"/>
            <w:tcBorders>
              <w:top w:val="single" w:sz="8" w:color="EDEDED"/>
              <w:bottom w:val="single" w:sz="8" w:color="EDEDED"/>
            </w:tcBorders>
            <w:shd w:val="clear" w:color="auto" w:fill="EDEDED"/>
          </w:tcPr>
          <w:p>
            <w:pPr>
              <w:spacing w:after="0"/>
              <w:rPr>
                <w:sz w:val="24"/>
                <w:szCs w:val="24"/>
                <w:color w:val="auto"/>
              </w:rPr>
            </w:pPr>
          </w:p>
        </w:tc>
        <w:tc>
          <w:tcPr>
            <w:tcW w:w="320" w:type="dxa"/>
            <w:vAlign w:val="bottom"/>
            <w:tcBorders>
              <w:top w:val="single" w:sz="8" w:color="00162F"/>
              <w:bottom w:val="single" w:sz="8" w:color="00162F"/>
            </w:tcBorders>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Borders>
              <w:top w:val="single" w:sz="8" w:color="00162F"/>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1,180)</w:t>
            </w:r>
          </w:p>
        </w:tc>
        <w:tc>
          <w:tcPr>
            <w:tcW w:w="0" w:type="dxa"/>
            <w:vAlign w:val="bottom"/>
          </w:tcPr>
          <w:p>
            <w:pPr>
              <w:spacing w:after="0"/>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-1812925</wp:posOffset>
            </wp:positionV>
            <wp:extent cx="272796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4">
                      <a:extLst>
                        <a:ext uri="{28A0092B-C50C-407E-A947-70E740481C1C}"/>
                      </a:extLst>
                    </a:blip>
                    <a:srcRect/>
                    <a:stretch>
                      <a:fillRect/>
                    </a:stretch>
                  </pic:blipFill>
                  <pic:spPr bwMode="auto">
                    <a:xfrm>
                      <a:off x="0" y="0"/>
                      <a:ext cx="2727960" cy="2540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-505460</wp:posOffset>
            </wp:positionV>
            <wp:extent cx="272796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5">
                      <a:extLst>
                        <a:ext uri="{28A0092B-C50C-407E-A947-70E740481C1C}"/>
                      </a:extLst>
                    </a:blip>
                    <a:srcRect/>
                    <a:stretch>
                      <a:fillRect/>
                    </a:stretch>
                  </pic:blipFill>
                  <pic:spPr bwMode="auto">
                    <a:xfrm>
                      <a:off x="0" y="0"/>
                      <a:ext cx="2727960" cy="2540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-329565</wp:posOffset>
            </wp:positionV>
            <wp:extent cx="3598545"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6">
                      <a:extLst>
                        <a:ext uri="{28A0092B-C50C-407E-A947-70E740481C1C}"/>
                      </a:extLst>
                    </a:blip>
                    <a:srcRect/>
                    <a:stretch>
                      <a:fillRect/>
                    </a:stretch>
                  </pic:blipFill>
                  <pic:spPr bwMode="auto">
                    <a:xfrm>
                      <a:off x="0" y="0"/>
                      <a:ext cx="3598545" cy="5080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-140970</wp:posOffset>
            </wp:positionV>
            <wp:extent cx="3598545"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7">
                      <a:extLst>
                        <a:ext uri="{28A0092B-C50C-407E-A947-70E740481C1C}"/>
                      </a:extLst>
                    </a:blip>
                    <a:srcRect/>
                    <a:stretch>
                      <a:fillRect/>
                    </a:stretch>
                  </pic:blipFill>
                  <pic:spPr bwMode="auto">
                    <a:xfrm>
                      <a:off x="0" y="0"/>
                      <a:ext cx="3598545" cy="50800"/>
                    </a:xfrm>
                    <a:prstGeom prst="rect">
                      <a:avLst/>
                    </a:prstGeom>
                    <a:noFill/>
                  </pic:spPr>
                </pic:pic>
              </a:graphicData>
            </a:graphic>
          </wp:anchor>
        </w:drawing>
      </w:r>
    </w:p>
    <w:p>
      <w:pPr>
        <w:spacing w:after="0" w:line="14" w:lineRule="exact"/>
        <w:rPr>
          <w:sz w:val="20"/>
          <w:szCs w:val="20"/>
          <w:color w:val="auto"/>
        </w:rPr>
      </w:pPr>
    </w:p>
    <w:p>
      <w:pPr>
        <w:ind w:left="365" w:hanging="365"/>
        <w:spacing w:after="0" w:line="282" w:lineRule="auto"/>
        <w:tabs>
          <w:tab w:leader="none" w:pos="365" w:val="left"/>
        </w:tabs>
        <w:numPr>
          <w:ilvl w:val="0"/>
          <w:numId w:val="54"/>
        </w:numPr>
        <w:rPr>
          <w:rFonts w:ascii="Arial" w:cs="Arial" w:eastAsia="Arial" w:hAnsi="Arial"/>
          <w:sz w:val="13"/>
          <w:szCs w:val="13"/>
          <w:color w:val="00162F"/>
        </w:rPr>
      </w:pPr>
      <w:r>
        <w:rPr>
          <w:rFonts w:ascii="Arial" w:cs="Arial" w:eastAsia="Arial" w:hAnsi="Arial"/>
          <w:sz w:val="20"/>
          <w:szCs w:val="20"/>
          <w:color w:val="00162F"/>
        </w:rPr>
        <w:t>The 2025 and 2024 pension actuarial loss (gain) primarily relates to the change in our weighted average discount rate assumption.</w:t>
      </w:r>
    </w:p>
    <w:p>
      <w:pPr>
        <w:spacing w:after="0" w:line="112" w:lineRule="exact"/>
        <w:rPr>
          <w:rFonts w:ascii="Arial" w:cs="Arial" w:eastAsia="Arial" w:hAnsi="Arial"/>
          <w:sz w:val="13"/>
          <w:szCs w:val="13"/>
          <w:color w:val="00162F"/>
        </w:rPr>
      </w:pPr>
    </w:p>
    <w:p>
      <w:pPr>
        <w:jc w:val="both"/>
        <w:ind w:left="365" w:hanging="365"/>
        <w:spacing w:after="0" w:line="285" w:lineRule="auto"/>
        <w:tabs>
          <w:tab w:leader="none" w:pos="365" w:val="left"/>
        </w:tabs>
        <w:numPr>
          <w:ilvl w:val="0"/>
          <w:numId w:val="54"/>
        </w:numPr>
        <w:rPr>
          <w:rFonts w:ascii="Arial" w:cs="Arial" w:eastAsia="Arial" w:hAnsi="Arial"/>
          <w:sz w:val="12"/>
          <w:szCs w:val="12"/>
          <w:color w:val="00162F"/>
        </w:rPr>
      </w:pPr>
      <w:r>
        <w:rPr>
          <w:rFonts w:ascii="Arial" w:cs="Arial" w:eastAsia="Arial" w:hAnsi="Arial"/>
          <w:sz w:val="19"/>
          <w:szCs w:val="19"/>
          <w:color w:val="00162F"/>
        </w:rPr>
        <w:t>The 2025 and 2024 retiree medical and other postretirement benefits actuarial gain primarily relates to changes in certain retirement assumptions, offset in part by increases in health care premiums and health care cost assumptions. Changes in our weighted average discount rate assumption also impacted the net actuarial gain in 2025 and 2024.</w:t>
      </w:r>
    </w:p>
    <w:p>
      <w:pPr>
        <w:spacing w:after="0" w:line="112" w:lineRule="exact"/>
        <w:rPr>
          <w:rFonts w:ascii="Arial" w:cs="Arial" w:eastAsia="Arial" w:hAnsi="Arial"/>
          <w:sz w:val="12"/>
          <w:szCs w:val="12"/>
          <w:color w:val="00162F"/>
        </w:rPr>
      </w:pPr>
    </w:p>
    <w:p>
      <w:pPr>
        <w:jc w:val="both"/>
        <w:ind w:left="365" w:hanging="365"/>
        <w:spacing w:after="0" w:line="265" w:lineRule="auto"/>
        <w:tabs>
          <w:tab w:leader="none" w:pos="365" w:val="left"/>
        </w:tabs>
        <w:numPr>
          <w:ilvl w:val="0"/>
          <w:numId w:val="54"/>
        </w:numPr>
        <w:rPr>
          <w:rFonts w:ascii="Arial" w:cs="Arial" w:eastAsia="Arial" w:hAnsi="Arial"/>
          <w:sz w:val="13"/>
          <w:szCs w:val="13"/>
          <w:color w:val="00162F"/>
        </w:rPr>
      </w:pPr>
      <w:r>
        <w:rPr>
          <w:rFonts w:ascii="Arial" w:cs="Arial" w:eastAsia="Arial" w:hAnsi="Arial"/>
          <w:sz w:val="20"/>
          <w:szCs w:val="20"/>
          <w:color w:val="00162F"/>
        </w:rPr>
        <w:t>In 2024 we remeasured our retiree medical and other postretirement benefits to account for enhanced retirement benefits pursuant to the ratification of new CBAs. As a result, we increased our postretirement benefits obligation by $55 million, which was included as a component of prior service cost in accumulated other comprehensive loss.</w:t>
      </w:r>
    </w:p>
    <w:p>
      <w:pPr>
        <w:spacing w:after="0" w:line="129"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54"/>
        </w:numPr>
        <w:rPr>
          <w:rFonts w:ascii="Arial" w:cs="Arial" w:eastAsia="Arial" w:hAnsi="Arial"/>
          <w:sz w:val="13"/>
          <w:szCs w:val="13"/>
          <w:color w:val="00162F"/>
        </w:rPr>
      </w:pPr>
      <w:r>
        <w:rPr>
          <w:rFonts w:ascii="Arial" w:cs="Arial" w:eastAsia="Arial" w:hAnsi="Arial"/>
          <w:sz w:val="20"/>
          <w:szCs w:val="20"/>
          <w:color w:val="00162F"/>
        </w:rPr>
        <w:t>In 2025 and 2024, we made required contributions of $224 million and $285 million, respectively, to our defined benefit pension plans.</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112</w:t>
      </w:r>
    </w:p>
    <w:p>
      <w:pPr>
        <w:sectPr>
          <w:pgSz w:w="11880" w:h="15480" w:orient="portrait"/>
          <w:cols w:equalWidth="0" w:num="1">
            <w:col w:w="10685"/>
          </w:cols>
          <w:pgMar w:left="595" w:top="487" w:right="600" w:bottom="0" w:gutter="0" w:footer="0" w:header="0"/>
          <w:type w:val="continuous"/>
        </w:sectPr>
      </w:pPr>
    </w:p>
    <w:bookmarkStart w:id="113" w:name="page114"/>
    <w:bookmarkEnd w:id="113"/>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Balance Sheet Position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6"/>
            <w:vMerge w:val="restart"/>
          </w:tcPr>
          <w:p>
            <w:pPr>
              <w:ind w:left="420"/>
              <w:spacing w:after="0"/>
              <w:rPr>
                <w:sz w:val="20"/>
                <w:szCs w:val="20"/>
                <w:color w:val="auto"/>
              </w:rPr>
            </w:pPr>
            <w:r>
              <w:rPr>
                <w:rFonts w:ascii="Arial" w:cs="Arial" w:eastAsia="Arial" w:hAnsi="Arial"/>
                <w:sz w:val="16"/>
                <w:szCs w:val="16"/>
                <w:b w:val="1"/>
                <w:bCs w:val="1"/>
                <w:color w:val="00162F"/>
              </w:rPr>
              <w:t>Pension Benefits</w:t>
            </w:r>
          </w:p>
        </w:tc>
        <w:tc>
          <w:tcPr>
            <w:tcW w:w="420" w:type="dxa"/>
            <w:vAlign w:val="bottom"/>
          </w:tcPr>
          <w:p>
            <w:pPr>
              <w:spacing w:after="0"/>
              <w:rPr>
                <w:sz w:val="16"/>
                <w:szCs w:val="16"/>
                <w:color w:val="auto"/>
              </w:rPr>
            </w:pPr>
          </w:p>
        </w:tc>
        <w:tc>
          <w:tcPr>
            <w:tcW w:w="2360" w:type="dxa"/>
            <w:vAlign w:val="bottom"/>
            <w:gridSpan w:val="6"/>
          </w:tcPr>
          <w:p>
            <w:pPr>
              <w:jc w:val="center"/>
              <w:ind w:right="346"/>
              <w:spacing w:after="0"/>
              <w:rPr>
                <w:sz w:val="20"/>
                <w:szCs w:val="20"/>
                <w:color w:val="auto"/>
              </w:rPr>
            </w:pPr>
            <w:r>
              <w:rPr>
                <w:rFonts w:ascii="Arial" w:cs="Arial" w:eastAsia="Arial" w:hAnsi="Arial"/>
                <w:sz w:val="16"/>
                <w:szCs w:val="16"/>
                <w:b w:val="1"/>
                <w:bCs w:val="1"/>
                <w:color w:val="00162F"/>
                <w:w w:val="98"/>
              </w:rPr>
              <w:t>Retiree Medical and</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6"/>
            <w:vMerge w:val="continue"/>
          </w:tcPr>
          <w:p>
            <w:pPr>
              <w:spacing w:after="0"/>
              <w:rPr>
                <w:sz w:val="18"/>
                <w:szCs w:val="18"/>
                <w:color w:val="auto"/>
              </w:rPr>
            </w:pPr>
          </w:p>
        </w:tc>
        <w:tc>
          <w:tcPr>
            <w:tcW w:w="2780" w:type="dxa"/>
            <w:vAlign w:val="bottom"/>
            <w:gridSpan w:val="7"/>
          </w:tcPr>
          <w:p>
            <w:pPr>
              <w:jc w:val="center"/>
              <w:spacing w:after="0"/>
              <w:rPr>
                <w:sz w:val="20"/>
                <w:szCs w:val="20"/>
                <w:color w:val="auto"/>
              </w:rPr>
            </w:pPr>
            <w:r>
              <w:rPr>
                <w:rFonts w:ascii="Arial" w:cs="Arial" w:eastAsia="Arial" w:hAnsi="Arial"/>
                <w:sz w:val="16"/>
                <w:szCs w:val="16"/>
                <w:b w:val="1"/>
                <w:bCs w:val="1"/>
                <w:color w:val="00162F"/>
                <w:w w:val="98"/>
              </w:rPr>
              <w:t>Other Postretirement Benefits</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0" w:type="dxa"/>
            <w:vAlign w:val="bottom"/>
            <w:tcBorders>
              <w:top w:val="single" w:sz="8" w:color="00162F"/>
              <w:bottom w:val="single" w:sz="8" w:color="00162F"/>
            </w:tcBorders>
          </w:tcPr>
          <w:p>
            <w:pPr>
              <w:spacing w:after="0"/>
              <w:rPr>
                <w:sz w:val="20"/>
                <w:szCs w:val="20"/>
                <w:color w:val="auto"/>
              </w:rPr>
            </w:pPr>
          </w:p>
        </w:tc>
        <w:tc>
          <w:tcPr>
            <w:tcW w:w="1020" w:type="dxa"/>
            <w:vAlign w:val="bottom"/>
            <w:tcBorders>
              <w:top w:val="single" w:sz="8" w:color="00162F"/>
              <w:bottom w:val="single" w:sz="8" w:color="00162F"/>
            </w:tcBorders>
          </w:tcPr>
          <w:p>
            <w:pPr>
              <w:jc w:val="right"/>
              <w:ind w:right="409"/>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top w:val="single" w:sz="8" w:color="00162F"/>
            </w:tcBorders>
          </w:tcPr>
          <w:p>
            <w:pPr>
              <w:spacing w:after="0"/>
              <w:rPr>
                <w:sz w:val="20"/>
                <w:szCs w:val="20"/>
                <w:color w:val="auto"/>
              </w:rPr>
            </w:pPr>
          </w:p>
        </w:tc>
        <w:tc>
          <w:tcPr>
            <w:tcW w:w="340" w:type="dxa"/>
            <w:vAlign w:val="bottom"/>
            <w:tcBorders>
              <w:top w:val="single" w:sz="8" w:color="00162F"/>
              <w:bottom w:val="single" w:sz="8" w:color="00162F"/>
            </w:tcBorders>
          </w:tcPr>
          <w:p>
            <w:pPr>
              <w:spacing w:after="0"/>
              <w:rPr>
                <w:sz w:val="20"/>
                <w:szCs w:val="20"/>
                <w:color w:val="auto"/>
              </w:rPr>
            </w:pPr>
          </w:p>
        </w:tc>
        <w:tc>
          <w:tcPr>
            <w:tcW w:w="1020" w:type="dxa"/>
            <w:vAlign w:val="bottom"/>
            <w:tcBorders>
              <w:top w:val="single" w:sz="8" w:color="00162F"/>
              <w:bottom w:val="single" w:sz="8" w:color="00162F"/>
            </w:tcBorders>
            <w:gridSpan w:val="2"/>
          </w:tcPr>
          <w:p>
            <w:pPr>
              <w:jc w:val="right"/>
              <w:ind w:right="416"/>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rPr>
                <w:sz w:val="20"/>
                <w:szCs w:val="20"/>
                <w:color w:val="auto"/>
              </w:rPr>
            </w:pPr>
          </w:p>
        </w:tc>
        <w:tc>
          <w:tcPr>
            <w:tcW w:w="420" w:type="dxa"/>
            <w:vAlign w:val="bottom"/>
            <w:tcBorders>
              <w:top w:val="single" w:sz="8" w:color="00162F"/>
              <w:bottom w:val="single" w:sz="8" w:color="00162F"/>
            </w:tcBorders>
          </w:tcPr>
          <w:p>
            <w:pPr>
              <w:spacing w:after="0"/>
              <w:rPr>
                <w:sz w:val="20"/>
                <w:szCs w:val="20"/>
                <w:color w:val="auto"/>
              </w:rPr>
            </w:pPr>
          </w:p>
        </w:tc>
        <w:tc>
          <w:tcPr>
            <w:tcW w:w="620" w:type="dxa"/>
            <w:vAlign w:val="bottom"/>
            <w:tcBorders>
              <w:top w:val="single" w:sz="8" w:color="00162F"/>
              <w:bottom w:val="single" w:sz="8" w:color="00162F"/>
            </w:tcBorders>
          </w:tcPr>
          <w:p>
            <w:pPr>
              <w:jc w:val="center"/>
              <w:ind w:right="10"/>
              <w:spacing w:after="0"/>
              <w:rPr>
                <w:sz w:val="20"/>
                <w:szCs w:val="20"/>
                <w:color w:val="auto"/>
              </w:rPr>
            </w:pPr>
            <w:r>
              <w:rPr>
                <w:rFonts w:ascii="Arial" w:cs="Arial" w:eastAsia="Arial" w:hAnsi="Arial"/>
                <w:sz w:val="16"/>
                <w:szCs w:val="16"/>
                <w:b w:val="1"/>
                <w:bCs w:val="1"/>
                <w:color w:val="00162F"/>
              </w:rPr>
              <w:t>2025</w:t>
            </w:r>
          </w:p>
        </w:tc>
        <w:tc>
          <w:tcPr>
            <w:tcW w:w="60" w:type="dxa"/>
            <w:vAlign w:val="bottom"/>
            <w:tcBorders>
              <w:top w:val="single" w:sz="8" w:color="00162F"/>
              <w:bottom w:val="single" w:sz="8" w:color="00162F"/>
            </w:tcBorders>
          </w:tcPr>
          <w:p>
            <w:pPr>
              <w:spacing w:after="0"/>
              <w:rPr>
                <w:sz w:val="20"/>
                <w:szCs w:val="20"/>
                <w:color w:val="auto"/>
              </w:rPr>
            </w:pPr>
          </w:p>
        </w:tc>
        <w:tc>
          <w:tcPr>
            <w:tcW w:w="260" w:type="dxa"/>
            <w:vAlign w:val="bottom"/>
            <w:tcBorders>
              <w:top w:val="single" w:sz="8" w:color="00162F"/>
              <w:bottom w:val="single" w:sz="8" w:color="00162F"/>
            </w:tcBorders>
          </w:tcPr>
          <w:p>
            <w:pPr>
              <w:spacing w:after="0"/>
              <w:rPr>
                <w:sz w:val="20"/>
                <w:szCs w:val="20"/>
                <w:color w:val="auto"/>
              </w:rPr>
            </w:pPr>
          </w:p>
        </w:tc>
        <w:tc>
          <w:tcPr>
            <w:tcW w:w="80" w:type="dxa"/>
            <w:vAlign w:val="bottom"/>
            <w:tcBorders>
              <w:top w:val="single" w:sz="8" w:color="00162F"/>
            </w:tcBorders>
          </w:tcPr>
          <w:p>
            <w:pPr>
              <w:spacing w:after="0"/>
              <w:rPr>
                <w:sz w:val="20"/>
                <w:szCs w:val="20"/>
                <w:color w:val="auto"/>
              </w:rPr>
            </w:pPr>
          </w:p>
        </w:tc>
        <w:tc>
          <w:tcPr>
            <w:tcW w:w="300" w:type="dxa"/>
            <w:vAlign w:val="bottom"/>
            <w:tcBorders>
              <w:top w:val="single" w:sz="8" w:color="00162F"/>
              <w:bottom w:val="single" w:sz="8" w:color="00162F"/>
            </w:tcBorders>
          </w:tcPr>
          <w:p>
            <w:pPr>
              <w:spacing w:after="0"/>
              <w:rPr>
                <w:sz w:val="20"/>
                <w:szCs w:val="20"/>
                <w:color w:val="auto"/>
              </w:rPr>
            </w:pPr>
          </w:p>
        </w:tc>
        <w:tc>
          <w:tcPr>
            <w:tcW w:w="1040" w:type="dxa"/>
            <w:vAlign w:val="bottom"/>
            <w:tcBorders>
              <w:top w:val="single" w:sz="8" w:color="00162F"/>
              <w:bottom w:val="single" w:sz="8" w:color="00162F"/>
            </w:tcBorders>
          </w:tcPr>
          <w:p>
            <w:pPr>
              <w:jc w:val="right"/>
              <w:ind w:right="406"/>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00162F"/>
              </w:rPr>
              <w:t>(In millions)</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Borders>
              <w:bottom w:val="single" w:sz="8" w:color="EDEDED"/>
            </w:tcBorders>
            <w:shd w:val="clear" w:color="auto" w:fill="EDEDED"/>
          </w:tcPr>
          <w:p>
            <w:pPr>
              <w:spacing w:after="0"/>
              <w:rPr>
                <w:sz w:val="24"/>
                <w:szCs w:val="24"/>
                <w:color w:val="auto"/>
              </w:rPr>
            </w:pPr>
          </w:p>
        </w:tc>
        <w:tc>
          <w:tcPr>
            <w:tcW w:w="1760" w:type="dxa"/>
            <w:vAlign w:val="bottom"/>
            <w:tcBorders>
              <w:bottom w:val="single" w:sz="8" w:color="00162F"/>
            </w:tcBorders>
            <w:shd w:val="clear" w:color="auto" w:fill="EDEDED"/>
          </w:tcPr>
          <w:p>
            <w:pPr>
              <w:spacing w:after="0"/>
              <w:rPr>
                <w:sz w:val="20"/>
                <w:szCs w:val="20"/>
                <w:color w:val="auto"/>
              </w:rPr>
            </w:pPr>
            <w:r>
              <w:rPr>
                <w:rFonts w:ascii="Arial" w:cs="Arial" w:eastAsia="Arial" w:hAnsi="Arial"/>
                <w:sz w:val="20"/>
                <w:szCs w:val="20"/>
                <w:color w:val="00162F"/>
                <w:w w:val="98"/>
              </w:rPr>
              <w:t>As of December 31:</w:t>
            </w:r>
          </w:p>
        </w:tc>
        <w:tc>
          <w:tcPr>
            <w:tcW w:w="32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10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EDEDED"/>
            </w:tcBorders>
            <w:shd w:val="clear" w:color="auto" w:fill="EDEDED"/>
          </w:tcPr>
          <w:p>
            <w:pPr>
              <w:spacing w:after="0"/>
              <w:rPr>
                <w:sz w:val="24"/>
                <w:szCs w:val="24"/>
                <w:color w:val="auto"/>
              </w:rPr>
            </w:pPr>
          </w:p>
        </w:tc>
        <w:tc>
          <w:tcPr>
            <w:tcW w:w="44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EDEDED"/>
            </w:tcBorders>
            <w:shd w:val="clear" w:color="auto" w:fill="EDEDED"/>
          </w:tcPr>
          <w:p>
            <w:pPr>
              <w:spacing w:after="0"/>
              <w:rPr>
                <w:sz w:val="24"/>
                <w:szCs w:val="24"/>
                <w:color w:val="auto"/>
              </w:rPr>
            </w:pPr>
          </w:p>
        </w:tc>
        <w:tc>
          <w:tcPr>
            <w:tcW w:w="6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20"/>
                <w:szCs w:val="20"/>
                <w:color w:val="00162F"/>
              </w:rPr>
              <w:t>Current liability</w:t>
            </w:r>
          </w:p>
        </w:tc>
        <w:tc>
          <w:tcPr>
            <w:tcW w:w="320" w:type="dxa"/>
            <w:vAlign w:val="bottom"/>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4</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00162F"/>
              </w:rPr>
              <w:t>5</w:t>
            </w:r>
          </w:p>
        </w:tc>
        <w:tc>
          <w:tcPr>
            <w:tcW w:w="60" w:type="dxa"/>
            <w:vAlign w:val="bottom"/>
          </w:tcPr>
          <w:p>
            <w:pPr>
              <w:spacing w:after="0"/>
              <w:rPr>
                <w:sz w:val="24"/>
                <w:szCs w:val="24"/>
                <w:color w:val="auto"/>
              </w:rPr>
            </w:pPr>
          </w:p>
        </w:tc>
        <w:tc>
          <w:tcPr>
            <w:tcW w:w="420" w:type="dxa"/>
            <w:vAlign w:val="bottom"/>
          </w:tcPr>
          <w:p>
            <w:pPr>
              <w:jc w:val="right"/>
              <w:ind w:right="150"/>
              <w:spacing w:after="0"/>
              <w:rPr>
                <w:sz w:val="20"/>
                <w:szCs w:val="20"/>
                <w:color w:val="auto"/>
              </w:rPr>
            </w:pPr>
            <w:r>
              <w:rPr>
                <w:rFonts w:ascii="Arial" w:cs="Arial" w:eastAsia="Arial" w:hAnsi="Arial"/>
                <w:sz w:val="20"/>
                <w:szCs w:val="20"/>
                <w:color w:val="00162F"/>
              </w:rPr>
              <w:t>$</w:t>
            </w:r>
          </w:p>
        </w:tc>
        <w:tc>
          <w:tcPr>
            <w:tcW w:w="940" w:type="dxa"/>
            <w:vAlign w:val="bottom"/>
            <w:gridSpan w:val="3"/>
          </w:tcPr>
          <w:p>
            <w:pPr>
              <w:jc w:val="right"/>
              <w:ind w:right="80"/>
              <w:spacing w:after="0"/>
              <w:rPr>
                <w:sz w:val="20"/>
                <w:szCs w:val="20"/>
                <w:color w:val="auto"/>
              </w:rPr>
            </w:pPr>
            <w:r>
              <w:rPr>
                <w:rFonts w:ascii="Arial" w:cs="Arial" w:eastAsia="Arial" w:hAnsi="Arial"/>
                <w:sz w:val="20"/>
                <w:szCs w:val="20"/>
                <w:color w:val="00162F"/>
              </w:rPr>
              <w:t>108</w:t>
            </w:r>
          </w:p>
        </w:tc>
        <w:tc>
          <w:tcPr>
            <w:tcW w:w="380" w:type="dxa"/>
            <w:vAlign w:val="bottom"/>
            <w:gridSpan w:val="2"/>
          </w:tcPr>
          <w:p>
            <w:pPr>
              <w:jc w:val="right"/>
              <w:ind w:right="41"/>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142</w:t>
            </w:r>
          </w:p>
        </w:tc>
        <w:tc>
          <w:tcPr>
            <w:tcW w:w="0" w:type="dxa"/>
            <w:vAlign w:val="bottom"/>
          </w:tcPr>
          <w:p>
            <w:pPr>
              <w:spacing w:after="0"/>
              <w:rPr>
                <w:sz w:val="1"/>
                <w:szCs w:val="1"/>
                <w:color w:val="auto"/>
              </w:rPr>
            </w:pPr>
          </w:p>
        </w:tc>
      </w:tr>
      <w:tr>
        <w:trPr>
          <w:trHeight w:val="291"/>
        </w:trPr>
        <w:tc>
          <w:tcPr>
            <w:tcW w:w="40" w:type="dxa"/>
            <w:vAlign w:val="bottom"/>
            <w:tcBorders>
              <w:bottom w:val="single" w:sz="8" w:color="EDEDED"/>
            </w:tcBorders>
            <w:shd w:val="clear" w:color="auto" w:fill="EDEDED"/>
          </w:tcPr>
          <w:p>
            <w:pPr>
              <w:spacing w:after="0"/>
              <w:rPr>
                <w:sz w:val="24"/>
                <w:szCs w:val="24"/>
                <w:color w:val="auto"/>
              </w:rPr>
            </w:pPr>
          </w:p>
        </w:tc>
        <w:tc>
          <w:tcPr>
            <w:tcW w:w="5020" w:type="dxa"/>
            <w:vAlign w:val="bottom"/>
            <w:tcBorders>
              <w:bottom w:val="single" w:sz="8" w:color="EDEDED"/>
            </w:tcBorders>
            <w:gridSpan w:val="2"/>
            <w:shd w:val="clear" w:color="auto" w:fill="EDEDED"/>
          </w:tcPr>
          <w:p>
            <w:pPr>
              <w:spacing w:after="0"/>
              <w:rPr>
                <w:sz w:val="20"/>
                <w:szCs w:val="20"/>
                <w:color w:val="auto"/>
              </w:rPr>
            </w:pPr>
            <w:r>
              <w:rPr>
                <w:rFonts w:ascii="Arial" w:cs="Arial" w:eastAsia="Arial" w:hAnsi="Arial"/>
                <w:sz w:val="20"/>
                <w:szCs w:val="20"/>
                <w:color w:val="00162F"/>
              </w:rPr>
              <w:t>Noncurrent liability</w:t>
            </w: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535</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gridSpan w:val="2"/>
            <w:shd w:val="clear" w:color="auto" w:fill="EDEDED"/>
          </w:tcPr>
          <w:p>
            <w:pPr>
              <w:jc w:val="right"/>
              <w:spacing w:after="0"/>
              <w:rPr>
                <w:sz w:val="20"/>
                <w:szCs w:val="20"/>
                <w:color w:val="auto"/>
              </w:rPr>
            </w:pPr>
            <w:r>
              <w:rPr>
                <w:rFonts w:ascii="Arial" w:cs="Arial" w:eastAsia="Arial" w:hAnsi="Arial"/>
                <w:sz w:val="20"/>
                <w:szCs w:val="20"/>
                <w:color w:val="00162F"/>
              </w:rPr>
              <w:t>1,090</w:t>
            </w:r>
          </w:p>
        </w:tc>
        <w:tc>
          <w:tcPr>
            <w:tcW w:w="6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00162F"/>
            </w:tcBorders>
            <w:shd w:val="clear" w:color="auto" w:fill="EDEDED"/>
          </w:tcPr>
          <w:p>
            <w:pPr>
              <w:spacing w:after="0"/>
              <w:rPr>
                <w:sz w:val="24"/>
                <w:szCs w:val="24"/>
                <w:color w:val="auto"/>
              </w:rPr>
            </w:pPr>
          </w:p>
        </w:tc>
        <w:tc>
          <w:tcPr>
            <w:tcW w:w="940" w:type="dxa"/>
            <w:vAlign w:val="bottom"/>
            <w:tcBorders>
              <w:bottom w:val="single" w:sz="8" w:color="00162F"/>
            </w:tcBorders>
            <w:gridSpan w:val="3"/>
            <w:shd w:val="clear" w:color="auto" w:fill="EDEDED"/>
          </w:tcPr>
          <w:p>
            <w:pPr>
              <w:jc w:val="right"/>
              <w:ind w:right="80"/>
              <w:spacing w:after="0"/>
              <w:rPr>
                <w:sz w:val="20"/>
                <w:szCs w:val="20"/>
                <w:color w:val="auto"/>
              </w:rPr>
            </w:pPr>
            <w:r>
              <w:rPr>
                <w:rFonts w:ascii="Arial" w:cs="Arial" w:eastAsia="Arial" w:hAnsi="Arial"/>
                <w:sz w:val="20"/>
                <w:szCs w:val="20"/>
                <w:color w:val="00162F"/>
              </w:rPr>
              <w:t>1,033</w:t>
            </w: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1,038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Arial" w:cs="Arial" w:eastAsia="Arial" w:hAnsi="Arial"/>
                <w:sz w:val="20"/>
                <w:szCs w:val="20"/>
                <w:color w:val="00162F"/>
              </w:rPr>
              <w:t>Total liabilities</w:t>
            </w:r>
          </w:p>
        </w:tc>
        <w:tc>
          <w:tcPr>
            <w:tcW w:w="320" w:type="dxa"/>
            <w:vAlign w:val="bottom"/>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539</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00162F"/>
              </w:rPr>
              <w:t>1,095</w:t>
            </w:r>
          </w:p>
        </w:tc>
        <w:tc>
          <w:tcPr>
            <w:tcW w:w="60" w:type="dxa"/>
            <w:vAlign w:val="bottom"/>
          </w:tcPr>
          <w:p>
            <w:pPr>
              <w:spacing w:after="0"/>
              <w:rPr>
                <w:sz w:val="22"/>
                <w:szCs w:val="22"/>
                <w:color w:val="auto"/>
              </w:rPr>
            </w:pPr>
          </w:p>
        </w:tc>
        <w:tc>
          <w:tcPr>
            <w:tcW w:w="420" w:type="dxa"/>
            <w:vAlign w:val="bottom"/>
          </w:tcPr>
          <w:p>
            <w:pPr>
              <w:jc w:val="right"/>
              <w:ind w:right="150"/>
              <w:spacing w:after="0"/>
              <w:rPr>
                <w:sz w:val="20"/>
                <w:szCs w:val="20"/>
                <w:color w:val="auto"/>
              </w:rPr>
            </w:pPr>
            <w:r>
              <w:rPr>
                <w:rFonts w:ascii="Arial" w:cs="Arial" w:eastAsia="Arial" w:hAnsi="Arial"/>
                <w:sz w:val="20"/>
                <w:szCs w:val="20"/>
                <w:color w:val="00162F"/>
              </w:rPr>
              <w:t>$</w:t>
            </w:r>
          </w:p>
        </w:tc>
        <w:tc>
          <w:tcPr>
            <w:tcW w:w="940" w:type="dxa"/>
            <w:vAlign w:val="bottom"/>
            <w:gridSpan w:val="3"/>
          </w:tcPr>
          <w:p>
            <w:pPr>
              <w:jc w:val="right"/>
              <w:ind w:right="80"/>
              <w:spacing w:after="0"/>
              <w:rPr>
                <w:sz w:val="20"/>
                <w:szCs w:val="20"/>
                <w:color w:val="auto"/>
              </w:rPr>
            </w:pPr>
            <w:r>
              <w:rPr>
                <w:rFonts w:ascii="Arial" w:cs="Arial" w:eastAsia="Arial" w:hAnsi="Arial"/>
                <w:sz w:val="20"/>
                <w:szCs w:val="20"/>
                <w:color w:val="00162F"/>
              </w:rPr>
              <w:t>1,141</w:t>
            </w:r>
          </w:p>
        </w:tc>
        <w:tc>
          <w:tcPr>
            <w:tcW w:w="380" w:type="dxa"/>
            <w:vAlign w:val="bottom"/>
            <w:gridSpan w:val="2"/>
          </w:tcPr>
          <w:p>
            <w:pPr>
              <w:jc w:val="right"/>
              <w:ind w:right="41"/>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1,180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102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440" w:type="dxa"/>
            <w:vAlign w:val="bottom"/>
            <w:tcBorders>
              <w:top w:val="single" w:sz="8" w:color="00162F"/>
              <w:bottom w:val="single" w:sz="8" w:color="00162F"/>
            </w:tcBorders>
          </w:tcPr>
          <w:p>
            <w:pPr>
              <w:spacing w:after="0" w:line="20" w:lineRule="exact"/>
              <w:rPr>
                <w:sz w:val="1"/>
                <w:szCs w:val="1"/>
                <w:color w:val="auto"/>
              </w:rPr>
            </w:pPr>
          </w:p>
        </w:tc>
        <w:tc>
          <w:tcPr>
            <w:tcW w:w="58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162F"/>
              <w:bottom w:val="single" w:sz="8" w:color="00162F"/>
            </w:tcBorders>
          </w:tcPr>
          <w:p>
            <w:pPr>
              <w:spacing w:after="0" w:line="20" w:lineRule="exact"/>
              <w:rPr>
                <w:sz w:val="1"/>
                <w:szCs w:val="1"/>
                <w:color w:val="auto"/>
              </w:rPr>
            </w:pPr>
          </w:p>
        </w:tc>
        <w:tc>
          <w:tcPr>
            <w:tcW w:w="62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Borders>
              <w:top w:val="single" w:sz="8" w:color="00162F"/>
              <w:bottom w:val="single" w:sz="8" w:color="00162F"/>
            </w:tcBorders>
          </w:tcPr>
          <w:p>
            <w:pPr>
              <w:spacing w:after="0" w:line="20" w:lineRule="exact"/>
              <w:rPr>
                <w:sz w:val="1"/>
                <w:szCs w:val="1"/>
                <w:color w:val="auto"/>
              </w:rPr>
            </w:pPr>
          </w:p>
        </w:tc>
        <w:tc>
          <w:tcPr>
            <w:tcW w:w="26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162F"/>
              <w:bottom w:val="single" w:sz="8" w:color="00162F"/>
            </w:tcBorders>
          </w:tcPr>
          <w:p>
            <w:pPr>
              <w:spacing w:after="0" w:line="20" w:lineRule="exact"/>
              <w:rPr>
                <w:sz w:val="1"/>
                <w:szCs w:val="1"/>
                <w:color w:val="auto"/>
              </w:rPr>
            </w:pPr>
          </w:p>
        </w:tc>
        <w:tc>
          <w:tcPr>
            <w:tcW w:w="1040" w:type="dxa"/>
            <w:vAlign w:val="bottom"/>
            <w:tcBorders>
              <w:top w:val="single" w:sz="8" w:color="00162F"/>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6"/>
            <w:vMerge w:val="restart"/>
          </w:tcPr>
          <w:p>
            <w:pPr>
              <w:ind w:left="420"/>
              <w:spacing w:after="0"/>
              <w:rPr>
                <w:sz w:val="20"/>
                <w:szCs w:val="20"/>
                <w:color w:val="auto"/>
              </w:rPr>
            </w:pPr>
            <w:r>
              <w:rPr>
                <w:rFonts w:ascii="Arial" w:cs="Arial" w:eastAsia="Arial" w:hAnsi="Arial"/>
                <w:sz w:val="16"/>
                <w:szCs w:val="16"/>
                <w:b w:val="1"/>
                <w:bCs w:val="1"/>
                <w:color w:val="00162F"/>
              </w:rPr>
              <w:t>Pension Benefits</w:t>
            </w:r>
          </w:p>
        </w:tc>
        <w:tc>
          <w:tcPr>
            <w:tcW w:w="420" w:type="dxa"/>
            <w:vAlign w:val="bottom"/>
          </w:tcPr>
          <w:p>
            <w:pPr>
              <w:spacing w:after="0"/>
              <w:rPr>
                <w:sz w:val="24"/>
                <w:szCs w:val="24"/>
                <w:color w:val="auto"/>
              </w:rPr>
            </w:pPr>
          </w:p>
        </w:tc>
        <w:tc>
          <w:tcPr>
            <w:tcW w:w="2360" w:type="dxa"/>
            <w:vAlign w:val="bottom"/>
            <w:gridSpan w:val="6"/>
          </w:tcPr>
          <w:p>
            <w:pPr>
              <w:jc w:val="center"/>
              <w:ind w:right="346"/>
              <w:spacing w:after="0"/>
              <w:rPr>
                <w:sz w:val="20"/>
                <w:szCs w:val="20"/>
                <w:color w:val="auto"/>
              </w:rPr>
            </w:pPr>
            <w:r>
              <w:rPr>
                <w:rFonts w:ascii="Arial" w:cs="Arial" w:eastAsia="Arial" w:hAnsi="Arial"/>
                <w:sz w:val="16"/>
                <w:szCs w:val="16"/>
                <w:b w:val="1"/>
                <w:bCs w:val="1"/>
                <w:color w:val="00162F"/>
                <w:w w:val="98"/>
              </w:rPr>
              <w:t>Retiree Medical and</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6"/>
            <w:vMerge w:val="continue"/>
          </w:tcPr>
          <w:p>
            <w:pPr>
              <w:spacing w:after="0"/>
              <w:rPr>
                <w:sz w:val="18"/>
                <w:szCs w:val="18"/>
                <w:color w:val="auto"/>
              </w:rPr>
            </w:pPr>
          </w:p>
        </w:tc>
        <w:tc>
          <w:tcPr>
            <w:tcW w:w="2780" w:type="dxa"/>
            <w:vAlign w:val="bottom"/>
            <w:gridSpan w:val="7"/>
          </w:tcPr>
          <w:p>
            <w:pPr>
              <w:jc w:val="center"/>
              <w:spacing w:after="0"/>
              <w:rPr>
                <w:sz w:val="20"/>
                <w:szCs w:val="20"/>
                <w:color w:val="auto"/>
              </w:rPr>
            </w:pPr>
            <w:r>
              <w:rPr>
                <w:rFonts w:ascii="Arial" w:cs="Arial" w:eastAsia="Arial" w:hAnsi="Arial"/>
                <w:sz w:val="16"/>
                <w:szCs w:val="16"/>
                <w:b w:val="1"/>
                <w:bCs w:val="1"/>
                <w:color w:val="00162F"/>
                <w:w w:val="98"/>
              </w:rPr>
              <w:t>Other Postretirement Benefits</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0" w:type="dxa"/>
            <w:vAlign w:val="bottom"/>
            <w:tcBorders>
              <w:top w:val="single" w:sz="8" w:color="00162F"/>
              <w:bottom w:val="single" w:sz="8" w:color="00162F"/>
            </w:tcBorders>
          </w:tcPr>
          <w:p>
            <w:pPr>
              <w:spacing w:after="0"/>
              <w:rPr>
                <w:sz w:val="20"/>
                <w:szCs w:val="20"/>
                <w:color w:val="auto"/>
              </w:rPr>
            </w:pPr>
          </w:p>
        </w:tc>
        <w:tc>
          <w:tcPr>
            <w:tcW w:w="1020" w:type="dxa"/>
            <w:vAlign w:val="bottom"/>
            <w:tcBorders>
              <w:top w:val="single" w:sz="8" w:color="00162F"/>
              <w:bottom w:val="single" w:sz="8" w:color="00162F"/>
            </w:tcBorders>
          </w:tcPr>
          <w:p>
            <w:pPr>
              <w:jc w:val="right"/>
              <w:ind w:right="409"/>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top w:val="single" w:sz="8" w:color="00162F"/>
            </w:tcBorders>
          </w:tcPr>
          <w:p>
            <w:pPr>
              <w:spacing w:after="0"/>
              <w:rPr>
                <w:sz w:val="20"/>
                <w:szCs w:val="20"/>
                <w:color w:val="auto"/>
              </w:rPr>
            </w:pPr>
          </w:p>
        </w:tc>
        <w:tc>
          <w:tcPr>
            <w:tcW w:w="340" w:type="dxa"/>
            <w:vAlign w:val="bottom"/>
            <w:tcBorders>
              <w:top w:val="single" w:sz="8" w:color="00162F"/>
              <w:bottom w:val="single" w:sz="8" w:color="00162F"/>
            </w:tcBorders>
          </w:tcPr>
          <w:p>
            <w:pPr>
              <w:spacing w:after="0"/>
              <w:rPr>
                <w:sz w:val="20"/>
                <w:szCs w:val="20"/>
                <w:color w:val="auto"/>
              </w:rPr>
            </w:pPr>
          </w:p>
        </w:tc>
        <w:tc>
          <w:tcPr>
            <w:tcW w:w="1020" w:type="dxa"/>
            <w:vAlign w:val="bottom"/>
            <w:tcBorders>
              <w:top w:val="single" w:sz="8" w:color="00162F"/>
              <w:bottom w:val="single" w:sz="8" w:color="00162F"/>
            </w:tcBorders>
            <w:gridSpan w:val="2"/>
          </w:tcPr>
          <w:p>
            <w:pPr>
              <w:jc w:val="right"/>
              <w:ind w:right="416"/>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rPr>
                <w:sz w:val="20"/>
                <w:szCs w:val="20"/>
                <w:color w:val="auto"/>
              </w:rPr>
            </w:pPr>
          </w:p>
        </w:tc>
        <w:tc>
          <w:tcPr>
            <w:tcW w:w="420" w:type="dxa"/>
            <w:vAlign w:val="bottom"/>
            <w:tcBorders>
              <w:top w:val="single" w:sz="8" w:color="00162F"/>
              <w:bottom w:val="single" w:sz="8" w:color="00162F"/>
            </w:tcBorders>
          </w:tcPr>
          <w:p>
            <w:pPr>
              <w:spacing w:after="0"/>
              <w:rPr>
                <w:sz w:val="20"/>
                <w:szCs w:val="20"/>
                <w:color w:val="auto"/>
              </w:rPr>
            </w:pPr>
          </w:p>
        </w:tc>
        <w:tc>
          <w:tcPr>
            <w:tcW w:w="620" w:type="dxa"/>
            <w:vAlign w:val="bottom"/>
            <w:tcBorders>
              <w:top w:val="single" w:sz="8" w:color="00162F"/>
              <w:bottom w:val="single" w:sz="8" w:color="00162F"/>
            </w:tcBorders>
          </w:tcPr>
          <w:p>
            <w:pPr>
              <w:jc w:val="center"/>
              <w:ind w:right="10"/>
              <w:spacing w:after="0"/>
              <w:rPr>
                <w:sz w:val="20"/>
                <w:szCs w:val="20"/>
                <w:color w:val="auto"/>
              </w:rPr>
            </w:pPr>
            <w:r>
              <w:rPr>
                <w:rFonts w:ascii="Arial" w:cs="Arial" w:eastAsia="Arial" w:hAnsi="Arial"/>
                <w:sz w:val="16"/>
                <w:szCs w:val="16"/>
                <w:b w:val="1"/>
                <w:bCs w:val="1"/>
                <w:color w:val="00162F"/>
              </w:rPr>
              <w:t>2025</w:t>
            </w:r>
          </w:p>
        </w:tc>
        <w:tc>
          <w:tcPr>
            <w:tcW w:w="60" w:type="dxa"/>
            <w:vAlign w:val="bottom"/>
            <w:tcBorders>
              <w:top w:val="single" w:sz="8" w:color="00162F"/>
              <w:bottom w:val="single" w:sz="8" w:color="00162F"/>
            </w:tcBorders>
          </w:tcPr>
          <w:p>
            <w:pPr>
              <w:spacing w:after="0"/>
              <w:rPr>
                <w:sz w:val="20"/>
                <w:szCs w:val="20"/>
                <w:color w:val="auto"/>
              </w:rPr>
            </w:pPr>
          </w:p>
        </w:tc>
        <w:tc>
          <w:tcPr>
            <w:tcW w:w="260" w:type="dxa"/>
            <w:vAlign w:val="bottom"/>
            <w:tcBorders>
              <w:top w:val="single" w:sz="8" w:color="00162F"/>
              <w:bottom w:val="single" w:sz="8" w:color="00162F"/>
            </w:tcBorders>
          </w:tcPr>
          <w:p>
            <w:pPr>
              <w:spacing w:after="0"/>
              <w:rPr>
                <w:sz w:val="20"/>
                <w:szCs w:val="20"/>
                <w:color w:val="auto"/>
              </w:rPr>
            </w:pPr>
          </w:p>
        </w:tc>
        <w:tc>
          <w:tcPr>
            <w:tcW w:w="80" w:type="dxa"/>
            <w:vAlign w:val="bottom"/>
            <w:tcBorders>
              <w:top w:val="single" w:sz="8" w:color="00162F"/>
            </w:tcBorders>
          </w:tcPr>
          <w:p>
            <w:pPr>
              <w:spacing w:after="0"/>
              <w:rPr>
                <w:sz w:val="20"/>
                <w:szCs w:val="20"/>
                <w:color w:val="auto"/>
              </w:rPr>
            </w:pPr>
          </w:p>
        </w:tc>
        <w:tc>
          <w:tcPr>
            <w:tcW w:w="300" w:type="dxa"/>
            <w:vAlign w:val="bottom"/>
            <w:tcBorders>
              <w:top w:val="single" w:sz="8" w:color="00162F"/>
              <w:bottom w:val="single" w:sz="8" w:color="00162F"/>
            </w:tcBorders>
          </w:tcPr>
          <w:p>
            <w:pPr>
              <w:spacing w:after="0"/>
              <w:rPr>
                <w:sz w:val="20"/>
                <w:szCs w:val="20"/>
                <w:color w:val="auto"/>
              </w:rPr>
            </w:pPr>
          </w:p>
        </w:tc>
        <w:tc>
          <w:tcPr>
            <w:tcW w:w="1040" w:type="dxa"/>
            <w:vAlign w:val="bottom"/>
            <w:tcBorders>
              <w:top w:val="single" w:sz="8" w:color="00162F"/>
              <w:bottom w:val="single" w:sz="8" w:color="00162F"/>
            </w:tcBorders>
          </w:tcPr>
          <w:p>
            <w:pPr>
              <w:jc w:val="right"/>
              <w:ind w:right="406"/>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00162F"/>
              </w:rPr>
              <w:t>(In millions)</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Borders>
              <w:bottom w:val="single" w:sz="8" w:color="EDEDED"/>
            </w:tcBorders>
            <w:shd w:val="clear" w:color="auto" w:fill="EDEDED"/>
          </w:tcPr>
          <w:p>
            <w:pPr>
              <w:spacing w:after="0"/>
              <w:rPr>
                <w:sz w:val="24"/>
                <w:szCs w:val="24"/>
                <w:color w:val="auto"/>
              </w:rPr>
            </w:pPr>
          </w:p>
        </w:tc>
        <w:tc>
          <w:tcPr>
            <w:tcW w:w="1760" w:type="dxa"/>
            <w:vAlign w:val="bottom"/>
            <w:tcBorders>
              <w:bottom w:val="single" w:sz="8" w:color="00162F"/>
            </w:tcBorders>
            <w:shd w:val="clear" w:color="auto" w:fill="EDEDED"/>
          </w:tcPr>
          <w:p>
            <w:pPr>
              <w:spacing w:after="0"/>
              <w:rPr>
                <w:sz w:val="20"/>
                <w:szCs w:val="20"/>
                <w:color w:val="auto"/>
              </w:rPr>
            </w:pPr>
            <w:r>
              <w:rPr>
                <w:rFonts w:ascii="Arial" w:cs="Arial" w:eastAsia="Arial" w:hAnsi="Arial"/>
                <w:sz w:val="20"/>
                <w:szCs w:val="20"/>
                <w:color w:val="00162F"/>
                <w:w w:val="98"/>
              </w:rPr>
              <w:t>As of December 31:</w:t>
            </w:r>
          </w:p>
        </w:tc>
        <w:tc>
          <w:tcPr>
            <w:tcW w:w="32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10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EDEDED"/>
            </w:tcBorders>
            <w:shd w:val="clear" w:color="auto" w:fill="EDEDED"/>
          </w:tcPr>
          <w:p>
            <w:pPr>
              <w:spacing w:after="0"/>
              <w:rPr>
                <w:sz w:val="24"/>
                <w:szCs w:val="24"/>
                <w:color w:val="auto"/>
              </w:rPr>
            </w:pPr>
          </w:p>
        </w:tc>
        <w:tc>
          <w:tcPr>
            <w:tcW w:w="44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EDEDED"/>
            </w:tcBorders>
            <w:shd w:val="clear" w:color="auto" w:fill="EDEDED"/>
          </w:tcPr>
          <w:p>
            <w:pPr>
              <w:spacing w:after="0"/>
              <w:rPr>
                <w:sz w:val="24"/>
                <w:szCs w:val="24"/>
                <w:color w:val="auto"/>
              </w:rPr>
            </w:pPr>
          </w:p>
        </w:tc>
        <w:tc>
          <w:tcPr>
            <w:tcW w:w="6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20"/>
                <w:szCs w:val="20"/>
                <w:color w:val="00162F"/>
              </w:rPr>
              <w:t>Net actuarial loss (gain)</w:t>
            </w:r>
          </w:p>
        </w:tc>
        <w:tc>
          <w:tcPr>
            <w:tcW w:w="320" w:type="dxa"/>
            <w:vAlign w:val="bottom"/>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2,907</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00162F"/>
              </w:rPr>
              <w:t>3,128</w:t>
            </w:r>
          </w:p>
        </w:tc>
        <w:tc>
          <w:tcPr>
            <w:tcW w:w="60" w:type="dxa"/>
            <w:vAlign w:val="bottom"/>
          </w:tcPr>
          <w:p>
            <w:pPr>
              <w:spacing w:after="0"/>
              <w:rPr>
                <w:sz w:val="24"/>
                <w:szCs w:val="24"/>
                <w:color w:val="auto"/>
              </w:rPr>
            </w:pPr>
          </w:p>
        </w:tc>
        <w:tc>
          <w:tcPr>
            <w:tcW w:w="420" w:type="dxa"/>
            <w:vAlign w:val="bottom"/>
          </w:tcPr>
          <w:p>
            <w:pPr>
              <w:jc w:val="right"/>
              <w:ind w:right="150"/>
              <w:spacing w:after="0"/>
              <w:rPr>
                <w:sz w:val="20"/>
                <w:szCs w:val="20"/>
                <w:color w:val="auto"/>
              </w:rPr>
            </w:pPr>
            <w:r>
              <w:rPr>
                <w:rFonts w:ascii="Arial" w:cs="Arial" w:eastAsia="Arial" w:hAnsi="Arial"/>
                <w:sz w:val="20"/>
                <w:szCs w:val="20"/>
                <w:color w:val="00162F"/>
              </w:rPr>
              <w:t>$</w:t>
            </w: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00162F"/>
              </w:rPr>
              <w:t>(395)</w:t>
            </w:r>
          </w:p>
        </w:tc>
        <w:tc>
          <w:tcPr>
            <w:tcW w:w="380" w:type="dxa"/>
            <w:vAlign w:val="bottom"/>
            <w:gridSpan w:val="2"/>
          </w:tcPr>
          <w:p>
            <w:pPr>
              <w:jc w:val="right"/>
              <w:ind w:right="41"/>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(408)</w:t>
            </w:r>
          </w:p>
        </w:tc>
        <w:tc>
          <w:tcPr>
            <w:tcW w:w="0" w:type="dxa"/>
            <w:vAlign w:val="bottom"/>
          </w:tcPr>
          <w:p>
            <w:pPr>
              <w:spacing w:after="0"/>
              <w:rPr>
                <w:sz w:val="1"/>
                <w:szCs w:val="1"/>
                <w:color w:val="auto"/>
              </w:rPr>
            </w:pPr>
          </w:p>
        </w:tc>
      </w:tr>
      <w:tr>
        <w:trPr>
          <w:trHeight w:val="311"/>
        </w:trPr>
        <w:tc>
          <w:tcPr>
            <w:tcW w:w="40" w:type="dxa"/>
            <w:vAlign w:val="bottom"/>
            <w:tcBorders>
              <w:bottom w:val="single" w:sz="8" w:color="EDEDED"/>
            </w:tcBorders>
            <w:shd w:val="clear" w:color="auto" w:fill="EDEDED"/>
          </w:tcPr>
          <w:p>
            <w:pPr>
              <w:spacing w:after="0"/>
              <w:rPr>
                <w:sz w:val="24"/>
                <w:szCs w:val="24"/>
                <w:color w:val="auto"/>
              </w:rPr>
            </w:pPr>
          </w:p>
        </w:tc>
        <w:tc>
          <w:tcPr>
            <w:tcW w:w="5020" w:type="dxa"/>
            <w:vAlign w:val="bottom"/>
            <w:tcBorders>
              <w:bottom w:val="single" w:sz="8" w:color="EDEDED"/>
            </w:tcBorders>
            <w:gridSpan w:val="2"/>
            <w:shd w:val="clear" w:color="auto" w:fill="EDEDED"/>
          </w:tcPr>
          <w:p>
            <w:pPr>
              <w:spacing w:after="0"/>
              <w:rPr>
                <w:sz w:val="20"/>
                <w:szCs w:val="20"/>
                <w:color w:val="auto"/>
              </w:rPr>
            </w:pPr>
            <w:r>
              <w:rPr>
                <w:rFonts w:ascii="Arial" w:cs="Arial" w:eastAsia="Arial" w:hAnsi="Arial"/>
                <w:sz w:val="20"/>
                <w:szCs w:val="20"/>
                <w:color w:val="00162F"/>
              </w:rPr>
              <w:t>Prior service cost</w:t>
            </w: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gridSpan w:val="2"/>
            <w:shd w:val="clear" w:color="auto" w:fill="EDEDED"/>
          </w:tcPr>
          <w:p>
            <w:pPr>
              <w:jc w:val="right"/>
              <w:spacing w:after="0"/>
              <w:rPr>
                <w:sz w:val="20"/>
                <w:szCs w:val="20"/>
                <w:color w:val="auto"/>
              </w:rPr>
            </w:pPr>
            <w:r>
              <w:rPr>
                <w:rFonts w:ascii="Arial" w:cs="Arial" w:eastAsia="Arial" w:hAnsi="Arial"/>
                <w:sz w:val="20"/>
                <w:szCs w:val="20"/>
                <w:color w:val="00162F"/>
              </w:rPr>
              <w:t>1</w:t>
            </w:r>
          </w:p>
        </w:tc>
        <w:tc>
          <w:tcPr>
            <w:tcW w:w="6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00162F"/>
            </w:tcBorders>
            <w:shd w:val="clear" w:color="auto" w:fill="EDEDED"/>
          </w:tcPr>
          <w:p>
            <w:pPr>
              <w:spacing w:after="0"/>
              <w:rPr>
                <w:sz w:val="24"/>
                <w:szCs w:val="24"/>
                <w:color w:val="auto"/>
              </w:rPr>
            </w:pPr>
          </w:p>
        </w:tc>
        <w:tc>
          <w:tcPr>
            <w:tcW w:w="940" w:type="dxa"/>
            <w:vAlign w:val="bottom"/>
            <w:tcBorders>
              <w:bottom w:val="single" w:sz="8" w:color="00162F"/>
            </w:tcBorders>
            <w:gridSpan w:val="3"/>
            <w:shd w:val="clear" w:color="auto" w:fill="EDEDED"/>
          </w:tcPr>
          <w:p>
            <w:pPr>
              <w:jc w:val="right"/>
              <w:ind w:right="80"/>
              <w:spacing w:after="0"/>
              <w:rPr>
                <w:sz w:val="20"/>
                <w:szCs w:val="20"/>
                <w:color w:val="auto"/>
              </w:rPr>
            </w:pPr>
            <w:r>
              <w:rPr>
                <w:rFonts w:ascii="Arial" w:cs="Arial" w:eastAsia="Arial" w:hAnsi="Arial"/>
                <w:sz w:val="20"/>
                <w:szCs w:val="20"/>
                <w:color w:val="00162F"/>
              </w:rPr>
              <w:t>220</w:t>
            </w: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238</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020" w:type="dxa"/>
            <w:vAlign w:val="bottom"/>
            <w:gridSpan w:val="2"/>
          </w:tcPr>
          <w:p>
            <w:pPr>
              <w:spacing w:after="0" w:line="190" w:lineRule="exact"/>
              <w:rPr>
                <w:sz w:val="20"/>
                <w:szCs w:val="20"/>
                <w:color w:val="auto"/>
              </w:rPr>
            </w:pPr>
            <w:r>
              <w:rPr>
                <w:rFonts w:ascii="Arial" w:cs="Arial" w:eastAsia="Arial" w:hAnsi="Arial"/>
                <w:sz w:val="20"/>
                <w:szCs w:val="20"/>
                <w:color w:val="00162F"/>
              </w:rPr>
              <w:t>Total accumulated other comprehensive loss (income),</w:t>
            </w:r>
          </w:p>
        </w:tc>
        <w:tc>
          <w:tcPr>
            <w:tcW w:w="320" w:type="dxa"/>
            <w:vAlign w:val="bottom"/>
            <w:vMerge w:val="restart"/>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2,907</w:t>
            </w:r>
          </w:p>
        </w:tc>
        <w:tc>
          <w:tcPr>
            <w:tcW w:w="80" w:type="dxa"/>
            <w:vAlign w:val="bottom"/>
            <w:vMerge w:val="restart"/>
          </w:tcPr>
          <w:p>
            <w:pPr>
              <w:spacing w:after="0"/>
              <w:rPr>
                <w:sz w:val="16"/>
                <w:szCs w:val="16"/>
                <w:color w:val="auto"/>
              </w:rPr>
            </w:pPr>
          </w:p>
        </w:tc>
        <w:tc>
          <w:tcPr>
            <w:tcW w:w="340" w:type="dxa"/>
            <w:vAlign w:val="bottom"/>
            <w:vMerge w:val="restart"/>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gridSpan w:val="2"/>
            <w:vMerge w:val="restart"/>
          </w:tcPr>
          <w:p>
            <w:pPr>
              <w:jc w:val="right"/>
              <w:spacing w:after="0"/>
              <w:rPr>
                <w:sz w:val="20"/>
                <w:szCs w:val="20"/>
                <w:color w:val="auto"/>
              </w:rPr>
            </w:pPr>
            <w:r>
              <w:rPr>
                <w:rFonts w:ascii="Arial" w:cs="Arial" w:eastAsia="Arial" w:hAnsi="Arial"/>
                <w:sz w:val="20"/>
                <w:szCs w:val="20"/>
                <w:color w:val="00162F"/>
              </w:rPr>
              <w:t>3,129</w:t>
            </w:r>
          </w:p>
        </w:tc>
        <w:tc>
          <w:tcPr>
            <w:tcW w:w="60" w:type="dxa"/>
            <w:vAlign w:val="bottom"/>
          </w:tcPr>
          <w:p>
            <w:pPr>
              <w:spacing w:after="0"/>
              <w:rPr>
                <w:sz w:val="16"/>
                <w:szCs w:val="16"/>
                <w:color w:val="auto"/>
              </w:rPr>
            </w:pPr>
          </w:p>
        </w:tc>
        <w:tc>
          <w:tcPr>
            <w:tcW w:w="420" w:type="dxa"/>
            <w:vAlign w:val="bottom"/>
            <w:vMerge w:val="restart"/>
          </w:tcPr>
          <w:p>
            <w:pPr>
              <w:jc w:val="right"/>
              <w:ind w:right="150"/>
              <w:spacing w:after="0"/>
              <w:rPr>
                <w:sz w:val="20"/>
                <w:szCs w:val="20"/>
                <w:color w:val="auto"/>
              </w:rPr>
            </w:pPr>
            <w:r>
              <w:rPr>
                <w:rFonts w:ascii="Arial" w:cs="Arial" w:eastAsia="Arial" w:hAnsi="Arial"/>
                <w:sz w:val="20"/>
                <w:szCs w:val="20"/>
                <w:color w:val="00162F"/>
              </w:rPr>
              <w:t>$</w:t>
            </w:r>
          </w:p>
        </w:tc>
        <w:tc>
          <w:tcPr>
            <w:tcW w:w="940" w:type="dxa"/>
            <w:vAlign w:val="bottom"/>
            <w:gridSpan w:val="3"/>
            <w:vMerge w:val="restart"/>
          </w:tcPr>
          <w:p>
            <w:pPr>
              <w:jc w:val="right"/>
              <w:ind w:right="20"/>
              <w:spacing w:after="0"/>
              <w:rPr>
                <w:sz w:val="20"/>
                <w:szCs w:val="20"/>
                <w:color w:val="auto"/>
              </w:rPr>
            </w:pPr>
            <w:r>
              <w:rPr>
                <w:rFonts w:ascii="Arial" w:cs="Arial" w:eastAsia="Arial" w:hAnsi="Arial"/>
                <w:sz w:val="20"/>
                <w:szCs w:val="20"/>
                <w:color w:val="00162F"/>
              </w:rPr>
              <w:t>175)</w:t>
            </w:r>
          </w:p>
        </w:tc>
        <w:tc>
          <w:tcPr>
            <w:tcW w:w="80" w:type="dxa"/>
            <w:vAlign w:val="bottom"/>
            <w:vMerge w:val="restart"/>
          </w:tcPr>
          <w:p>
            <w:pPr>
              <w:spacing w:after="0"/>
              <w:rPr>
                <w:sz w:val="16"/>
                <w:szCs w:val="16"/>
                <w:color w:val="auto"/>
              </w:rPr>
            </w:pPr>
          </w:p>
        </w:tc>
        <w:tc>
          <w:tcPr>
            <w:tcW w:w="300" w:type="dxa"/>
            <w:vAlign w:val="bottom"/>
            <w:vMerge w:val="restart"/>
          </w:tcPr>
          <w:p>
            <w:pPr>
              <w:jc w:val="right"/>
              <w:ind w:right="41"/>
              <w:spacing w:after="0"/>
              <w:rPr>
                <w:sz w:val="20"/>
                <w:szCs w:val="20"/>
                <w:color w:val="auto"/>
              </w:rPr>
            </w:pPr>
            <w:r>
              <w:rPr>
                <w:rFonts w:ascii="Arial" w:cs="Arial" w:eastAsia="Arial" w:hAnsi="Arial"/>
                <w:sz w:val="20"/>
                <w:szCs w:val="20"/>
                <w:color w:val="00162F"/>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00162F"/>
              </w:rPr>
              <w:t>170)</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0"/>
                <w:szCs w:val="20"/>
                <w:color w:val="auto"/>
              </w:rPr>
            </w:pPr>
          </w:p>
        </w:tc>
        <w:tc>
          <w:tcPr>
            <w:tcW w:w="5020" w:type="dxa"/>
            <w:vAlign w:val="bottom"/>
            <w:gridSpan w:val="2"/>
          </w:tcPr>
          <w:p>
            <w:pPr>
              <w:ind w:left="180"/>
              <w:spacing w:after="0"/>
              <w:rPr>
                <w:sz w:val="20"/>
                <w:szCs w:val="20"/>
                <w:color w:val="auto"/>
              </w:rPr>
            </w:pPr>
            <w:r>
              <w:rPr>
                <w:rFonts w:ascii="Arial" w:cs="Arial" w:eastAsia="Arial" w:hAnsi="Arial"/>
                <w:sz w:val="20"/>
                <w:szCs w:val="20"/>
                <w:color w:val="00162F"/>
              </w:rPr>
              <w:t>pre-tax</w:t>
            </w:r>
          </w:p>
        </w:tc>
        <w:tc>
          <w:tcPr>
            <w:tcW w:w="320" w:type="dxa"/>
            <w:vAlign w:val="bottom"/>
            <w:tcBorders>
              <w:bottom w:val="single" w:sz="8" w:color="00162F"/>
            </w:tcBorders>
            <w:vMerge w:val="continue"/>
          </w:tcPr>
          <w:p>
            <w:pPr>
              <w:spacing w:after="0"/>
              <w:rPr>
                <w:sz w:val="20"/>
                <w:szCs w:val="20"/>
                <w:color w:val="auto"/>
              </w:rPr>
            </w:pPr>
          </w:p>
        </w:tc>
        <w:tc>
          <w:tcPr>
            <w:tcW w:w="1020" w:type="dxa"/>
            <w:vAlign w:val="bottom"/>
            <w:tcBorders>
              <w:bottom w:val="single" w:sz="8" w:color="00162F"/>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40" w:type="dxa"/>
            <w:vAlign w:val="bottom"/>
            <w:tcBorders>
              <w:bottom w:val="single" w:sz="8" w:color="00162F"/>
            </w:tcBorders>
            <w:vMerge w:val="continue"/>
          </w:tcPr>
          <w:p>
            <w:pPr>
              <w:spacing w:after="0"/>
              <w:rPr>
                <w:sz w:val="20"/>
                <w:szCs w:val="20"/>
                <w:color w:val="auto"/>
              </w:rPr>
            </w:pPr>
          </w:p>
        </w:tc>
        <w:tc>
          <w:tcPr>
            <w:tcW w:w="1020" w:type="dxa"/>
            <w:vAlign w:val="bottom"/>
            <w:tcBorders>
              <w:bottom w:val="single" w:sz="8" w:color="00162F"/>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00162F"/>
            </w:tcBorders>
            <w:vMerge w:val="continue"/>
          </w:tcPr>
          <w:p>
            <w:pPr>
              <w:spacing w:after="0"/>
              <w:rPr>
                <w:sz w:val="20"/>
                <w:szCs w:val="20"/>
                <w:color w:val="auto"/>
              </w:rPr>
            </w:pPr>
          </w:p>
        </w:tc>
        <w:tc>
          <w:tcPr>
            <w:tcW w:w="940" w:type="dxa"/>
            <w:vAlign w:val="bottom"/>
            <w:tcBorders>
              <w:bottom w:val="single" w:sz="8" w:color="00162F"/>
            </w:tcBorders>
            <w:gridSpan w:val="3"/>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00" w:type="dxa"/>
            <w:vAlign w:val="bottom"/>
            <w:tcBorders>
              <w:bottom w:val="single" w:sz="8" w:color="00162F"/>
            </w:tcBorders>
            <w:vMerge w:val="continue"/>
          </w:tcPr>
          <w:p>
            <w:pPr>
              <w:spacing w:after="0"/>
              <w:rPr>
                <w:sz w:val="20"/>
                <w:szCs w:val="20"/>
                <w:color w:val="auto"/>
              </w:rPr>
            </w:pPr>
          </w:p>
        </w:tc>
        <w:tc>
          <w:tcPr>
            <w:tcW w:w="1040" w:type="dxa"/>
            <w:vAlign w:val="bottom"/>
            <w:tcBorders>
              <w:bottom w:val="single" w:sz="8" w:color="00162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340" w:type="dxa"/>
            <w:vAlign w:val="bottom"/>
            <w:tcBorders>
              <w:bottom w:val="single" w:sz="8" w:color="00162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00162F"/>
            </w:tcBorders>
            <w:gridSpan w:val="2"/>
          </w:tcPr>
          <w:p>
            <w:pPr>
              <w:spacing w:after="0" w:line="20" w:lineRule="exact"/>
              <w:rPr>
                <w:sz w:val="1"/>
                <w:szCs w:val="1"/>
                <w:color w:val="auto"/>
              </w:rPr>
            </w:pPr>
          </w:p>
        </w:tc>
        <w:tc>
          <w:tcPr>
            <w:tcW w:w="580" w:type="dxa"/>
            <w:vAlign w:val="bottom"/>
            <w:tcBorders>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00162F"/>
            </w:tcBorders>
          </w:tcPr>
          <w:p>
            <w:pPr>
              <w:spacing w:after="0" w:line="20" w:lineRule="exact"/>
              <w:rPr>
                <w:sz w:val="1"/>
                <w:szCs w:val="1"/>
                <w:color w:val="auto"/>
              </w:rPr>
            </w:pPr>
          </w:p>
        </w:tc>
        <w:tc>
          <w:tcPr>
            <w:tcW w:w="620" w:type="dxa"/>
            <w:vAlign w:val="bottom"/>
            <w:tcBorders>
              <w:bottom w:val="single" w:sz="8" w:color="00162F"/>
            </w:tcBorders>
          </w:tcPr>
          <w:p>
            <w:pPr>
              <w:spacing w:after="0" w:line="20" w:lineRule="exact"/>
              <w:rPr>
                <w:sz w:val="1"/>
                <w:szCs w:val="1"/>
                <w:color w:val="auto"/>
              </w:rPr>
            </w:pPr>
          </w:p>
        </w:tc>
        <w:tc>
          <w:tcPr>
            <w:tcW w:w="60" w:type="dxa"/>
            <w:vAlign w:val="bottom"/>
            <w:tcBorders>
              <w:bottom w:val="single" w:sz="8" w:color="00162F"/>
            </w:tcBorders>
          </w:tcPr>
          <w:p>
            <w:pPr>
              <w:spacing w:after="0" w:line="20" w:lineRule="exact"/>
              <w:rPr>
                <w:sz w:val="1"/>
                <w:szCs w:val="1"/>
                <w:color w:val="auto"/>
              </w:rPr>
            </w:pPr>
          </w:p>
        </w:tc>
        <w:tc>
          <w:tcPr>
            <w:tcW w:w="260" w:type="dxa"/>
            <w:vAlign w:val="bottom"/>
            <w:tcBorders>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00162F"/>
            </w:tcBorders>
          </w:tcPr>
          <w:p>
            <w:pPr>
              <w:spacing w:after="0" w:line="20" w:lineRule="exact"/>
              <w:rPr>
                <w:sz w:val="1"/>
                <w:szCs w:val="1"/>
                <w:color w:val="auto"/>
              </w:rPr>
            </w:pPr>
          </w:p>
        </w:tc>
        <w:tc>
          <w:tcPr>
            <w:tcW w:w="1040" w:type="dxa"/>
            <w:vAlign w:val="bottom"/>
            <w:tcBorders>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7860" w:type="dxa"/>
            <w:vAlign w:val="bottom"/>
            <w:gridSpan w:val="9"/>
          </w:tcPr>
          <w:p>
            <w:pPr>
              <w:ind w:left="220"/>
              <w:spacing w:after="0"/>
              <w:rPr>
                <w:sz w:val="20"/>
                <w:szCs w:val="20"/>
                <w:color w:val="auto"/>
              </w:rPr>
            </w:pPr>
            <w:r>
              <w:rPr>
                <w:rFonts w:ascii="Arial" w:cs="Arial" w:eastAsia="Arial" w:hAnsi="Arial"/>
                <w:sz w:val="20"/>
                <w:szCs w:val="20"/>
                <w:b w:val="1"/>
                <w:bCs w:val="1"/>
                <w:i w:val="1"/>
                <w:iCs w:val="1"/>
                <w:color w:val="00162F"/>
              </w:rPr>
              <w:t>Plans with Projected Benefit Obligations Exceeding Fair Value of Plan Assets</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60" w:type="dxa"/>
            <w:vAlign w:val="bottom"/>
            <w:tcBorders>
              <w:bottom w:val="single" w:sz="8" w:color="00162F"/>
            </w:tcBorders>
          </w:tcPr>
          <w:p>
            <w:pPr>
              <w:spacing w:after="0"/>
              <w:rPr>
                <w:sz w:val="24"/>
                <w:szCs w:val="24"/>
                <w:color w:val="auto"/>
              </w:rPr>
            </w:pPr>
          </w:p>
        </w:tc>
        <w:tc>
          <w:tcPr>
            <w:tcW w:w="420" w:type="dxa"/>
            <w:vAlign w:val="bottom"/>
            <w:tcBorders>
              <w:bottom w:val="single" w:sz="8" w:color="00162F"/>
            </w:tcBorders>
          </w:tcPr>
          <w:p>
            <w:pPr>
              <w:spacing w:after="0"/>
              <w:rPr>
                <w:sz w:val="24"/>
                <w:szCs w:val="24"/>
                <w:color w:val="auto"/>
              </w:rPr>
            </w:pPr>
          </w:p>
        </w:tc>
        <w:tc>
          <w:tcPr>
            <w:tcW w:w="1320" w:type="dxa"/>
            <w:vAlign w:val="bottom"/>
            <w:tcBorders>
              <w:bottom w:val="single" w:sz="8" w:color="00162F"/>
            </w:tcBorders>
            <w:gridSpan w:val="5"/>
          </w:tcPr>
          <w:p>
            <w:pPr>
              <w:jc w:val="right"/>
              <w:spacing w:after="0"/>
              <w:rPr>
                <w:sz w:val="20"/>
                <w:szCs w:val="20"/>
                <w:color w:val="auto"/>
              </w:rPr>
            </w:pPr>
            <w:r>
              <w:rPr>
                <w:rFonts w:ascii="Arial" w:cs="Arial" w:eastAsia="Arial" w:hAnsi="Arial"/>
                <w:sz w:val="16"/>
                <w:szCs w:val="16"/>
                <w:b w:val="1"/>
                <w:bCs w:val="1"/>
                <w:color w:val="00162F"/>
                <w:w w:val="98"/>
              </w:rPr>
              <w:t>Pension Benefits</w:t>
            </w:r>
          </w:p>
        </w:tc>
        <w:tc>
          <w:tcPr>
            <w:tcW w:w="1040" w:type="dxa"/>
            <w:vAlign w:val="bottom"/>
            <w:tcBorders>
              <w:bottom w:val="single" w:sz="8" w:color="00162F"/>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bottom w:val="single" w:sz="8" w:color="00162F"/>
            </w:tcBorders>
          </w:tcPr>
          <w:p>
            <w:pPr>
              <w:spacing w:after="0"/>
              <w:rPr>
                <w:sz w:val="20"/>
                <w:szCs w:val="20"/>
                <w:color w:val="auto"/>
              </w:rPr>
            </w:pPr>
          </w:p>
        </w:tc>
        <w:tc>
          <w:tcPr>
            <w:tcW w:w="60" w:type="dxa"/>
            <w:vAlign w:val="bottom"/>
            <w:tcBorders>
              <w:bottom w:val="single" w:sz="8" w:color="00162F"/>
            </w:tcBorders>
          </w:tcPr>
          <w:p>
            <w:pPr>
              <w:spacing w:after="0"/>
              <w:rPr>
                <w:sz w:val="20"/>
                <w:szCs w:val="20"/>
                <w:color w:val="auto"/>
              </w:rPr>
            </w:pPr>
          </w:p>
        </w:tc>
        <w:tc>
          <w:tcPr>
            <w:tcW w:w="42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w w:val="95"/>
              </w:rPr>
              <w:t>2025</w:t>
            </w:r>
          </w:p>
        </w:tc>
        <w:tc>
          <w:tcPr>
            <w:tcW w:w="620" w:type="dxa"/>
            <w:vAlign w:val="bottom"/>
            <w:tcBorders>
              <w:bottom w:val="single" w:sz="8" w:color="00162F"/>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80" w:type="dxa"/>
            <w:vAlign w:val="bottom"/>
            <w:tcBorders>
              <w:bottom w:val="single" w:sz="8" w:color="00162F"/>
            </w:tcBorders>
          </w:tcPr>
          <w:p>
            <w:pPr>
              <w:spacing w:after="0"/>
              <w:rPr>
                <w:sz w:val="20"/>
                <w:szCs w:val="20"/>
                <w:color w:val="auto"/>
              </w:rPr>
            </w:pPr>
          </w:p>
        </w:tc>
        <w:tc>
          <w:tcPr>
            <w:tcW w:w="300" w:type="dxa"/>
            <w:vAlign w:val="bottom"/>
            <w:tcBorders>
              <w:bottom w:val="single" w:sz="8" w:color="00162F"/>
            </w:tcBorders>
          </w:tcPr>
          <w:p>
            <w:pPr>
              <w:spacing w:after="0"/>
              <w:rPr>
                <w:sz w:val="20"/>
                <w:szCs w:val="20"/>
                <w:color w:val="auto"/>
              </w:rPr>
            </w:pPr>
          </w:p>
        </w:tc>
        <w:tc>
          <w:tcPr>
            <w:tcW w:w="1040" w:type="dxa"/>
            <w:vAlign w:val="bottom"/>
            <w:tcBorders>
              <w:bottom w:val="single" w:sz="8" w:color="00162F"/>
            </w:tcBorders>
          </w:tcPr>
          <w:p>
            <w:pPr>
              <w:jc w:val="right"/>
              <w:ind w:right="566"/>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5"/>
          </w:tcPr>
          <w:p>
            <w:pPr>
              <w:jc w:val="right"/>
              <w:ind w:right="121"/>
              <w:spacing w:after="0"/>
              <w:rPr>
                <w:sz w:val="20"/>
                <w:szCs w:val="20"/>
                <w:color w:val="auto"/>
              </w:rPr>
            </w:pPr>
            <w:r>
              <w:rPr>
                <w:rFonts w:ascii="Arial" w:cs="Arial" w:eastAsia="Arial" w:hAnsi="Arial"/>
                <w:sz w:val="16"/>
                <w:szCs w:val="16"/>
                <w:b w:val="1"/>
                <w:bCs w:val="1"/>
                <w:color w:val="00162F"/>
              </w:rPr>
              <w:t>(In millions)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Borders>
              <w:bottom w:val="single" w:sz="8" w:color="EDEDED"/>
            </w:tcBorders>
            <w:shd w:val="clear" w:color="auto" w:fill="EDEDED"/>
          </w:tcPr>
          <w:p>
            <w:pPr>
              <w:spacing w:after="0"/>
              <w:rPr>
                <w:sz w:val="24"/>
                <w:szCs w:val="24"/>
                <w:color w:val="auto"/>
              </w:rPr>
            </w:pPr>
          </w:p>
        </w:tc>
        <w:tc>
          <w:tcPr>
            <w:tcW w:w="1760" w:type="dxa"/>
            <w:vAlign w:val="bottom"/>
            <w:tcBorders>
              <w:bottom w:val="single" w:sz="8" w:color="00162F"/>
            </w:tcBorders>
            <w:shd w:val="clear" w:color="auto" w:fill="EDEDED"/>
          </w:tcPr>
          <w:p>
            <w:pPr>
              <w:spacing w:after="0"/>
              <w:rPr>
                <w:sz w:val="20"/>
                <w:szCs w:val="20"/>
                <w:color w:val="auto"/>
              </w:rPr>
            </w:pPr>
            <w:r>
              <w:rPr>
                <w:rFonts w:ascii="Arial" w:cs="Arial" w:eastAsia="Arial" w:hAnsi="Arial"/>
                <w:sz w:val="20"/>
                <w:szCs w:val="20"/>
                <w:color w:val="00162F"/>
                <w:w w:val="98"/>
              </w:rPr>
              <w:t>As of December 31:</w:t>
            </w:r>
          </w:p>
        </w:tc>
        <w:tc>
          <w:tcPr>
            <w:tcW w:w="32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10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EDEDED"/>
            </w:tcBorders>
            <w:shd w:val="clear" w:color="auto" w:fill="EDEDED"/>
          </w:tcPr>
          <w:p>
            <w:pPr>
              <w:spacing w:after="0"/>
              <w:rPr>
                <w:sz w:val="24"/>
                <w:szCs w:val="24"/>
                <w:color w:val="auto"/>
              </w:rPr>
            </w:pPr>
          </w:p>
        </w:tc>
        <w:tc>
          <w:tcPr>
            <w:tcW w:w="44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EDEDED"/>
            </w:tcBorders>
            <w:shd w:val="clear" w:color="auto" w:fill="EDEDED"/>
          </w:tcPr>
          <w:p>
            <w:pPr>
              <w:spacing w:after="0"/>
              <w:rPr>
                <w:sz w:val="24"/>
                <w:szCs w:val="24"/>
                <w:color w:val="auto"/>
              </w:rPr>
            </w:pPr>
          </w:p>
        </w:tc>
        <w:tc>
          <w:tcPr>
            <w:tcW w:w="6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20"/>
                <w:szCs w:val="20"/>
                <w:color w:val="00162F"/>
              </w:rPr>
              <w:t>Projected benefit obligation</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336"/>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20"/>
                <w:szCs w:val="20"/>
                <w:color w:val="00162F"/>
                <w:w w:val="99"/>
              </w:rPr>
              <w:t>8,820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13,349</w:t>
            </w:r>
          </w:p>
        </w:tc>
        <w:tc>
          <w:tcPr>
            <w:tcW w:w="0" w:type="dxa"/>
            <w:vAlign w:val="bottom"/>
          </w:tcPr>
          <w:p>
            <w:pPr>
              <w:spacing w:after="0"/>
              <w:rPr>
                <w:sz w:val="1"/>
                <w:szCs w:val="1"/>
                <w:color w:val="auto"/>
              </w:rPr>
            </w:pPr>
          </w:p>
        </w:tc>
      </w:tr>
      <w:tr>
        <w:trPr>
          <w:trHeight w:val="301"/>
        </w:trPr>
        <w:tc>
          <w:tcPr>
            <w:tcW w:w="40" w:type="dxa"/>
            <w:vAlign w:val="bottom"/>
            <w:shd w:val="clear" w:color="auto" w:fill="EDEDED"/>
          </w:tcPr>
          <w:p>
            <w:pPr>
              <w:spacing w:after="0"/>
              <w:rPr>
                <w:sz w:val="24"/>
                <w:szCs w:val="24"/>
                <w:color w:val="auto"/>
              </w:rPr>
            </w:pPr>
          </w:p>
        </w:tc>
        <w:tc>
          <w:tcPr>
            <w:tcW w:w="5020" w:type="dxa"/>
            <w:vAlign w:val="bottom"/>
            <w:gridSpan w:val="2"/>
            <w:shd w:val="clear" w:color="auto" w:fill="EDEDED"/>
          </w:tcPr>
          <w:p>
            <w:pPr>
              <w:spacing w:after="0"/>
              <w:rPr>
                <w:sz w:val="20"/>
                <w:szCs w:val="20"/>
                <w:color w:val="auto"/>
              </w:rPr>
            </w:pPr>
            <w:r>
              <w:rPr>
                <w:rFonts w:ascii="Arial" w:cs="Arial" w:eastAsia="Arial" w:hAnsi="Arial"/>
                <w:sz w:val="20"/>
                <w:szCs w:val="20"/>
                <w:color w:val="00162F"/>
              </w:rPr>
              <w:t>Fair value of plan assets</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420" w:type="dxa"/>
            <w:vAlign w:val="bottom"/>
            <w:shd w:val="clear" w:color="auto" w:fill="EDEDED"/>
          </w:tcPr>
          <w:p>
            <w:pPr>
              <w:spacing w:after="0"/>
              <w:rPr>
                <w:sz w:val="24"/>
                <w:szCs w:val="24"/>
                <w:color w:val="auto"/>
              </w:rPr>
            </w:pPr>
          </w:p>
        </w:tc>
        <w:tc>
          <w:tcPr>
            <w:tcW w:w="62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8,221</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12,254</w:t>
            </w:r>
          </w:p>
        </w:tc>
        <w:tc>
          <w:tcPr>
            <w:tcW w:w="0" w:type="dxa"/>
            <w:vAlign w:val="bottom"/>
          </w:tcPr>
          <w:p>
            <w:pPr>
              <w:spacing w:after="0"/>
              <w:rPr>
                <w:sz w:val="1"/>
                <w:szCs w:val="1"/>
                <w:color w:val="auto"/>
              </w:rPr>
            </w:pPr>
          </w:p>
        </w:tc>
      </w:tr>
      <w:tr>
        <w:trPr>
          <w:trHeight w:val="584"/>
        </w:trPr>
        <w:tc>
          <w:tcPr>
            <w:tcW w:w="40" w:type="dxa"/>
            <w:vAlign w:val="bottom"/>
          </w:tcPr>
          <w:p>
            <w:pPr>
              <w:spacing w:after="0"/>
              <w:rPr>
                <w:sz w:val="24"/>
                <w:szCs w:val="24"/>
                <w:color w:val="auto"/>
              </w:rPr>
            </w:pPr>
          </w:p>
        </w:tc>
        <w:tc>
          <w:tcPr>
            <w:tcW w:w="7860" w:type="dxa"/>
            <w:vAlign w:val="bottom"/>
            <w:gridSpan w:val="9"/>
          </w:tcPr>
          <w:p>
            <w:pPr>
              <w:ind w:left="220"/>
              <w:spacing w:after="0"/>
              <w:rPr>
                <w:sz w:val="20"/>
                <w:szCs w:val="20"/>
                <w:color w:val="auto"/>
              </w:rPr>
            </w:pPr>
            <w:r>
              <w:rPr>
                <w:rFonts w:ascii="Arial" w:cs="Arial" w:eastAsia="Arial" w:hAnsi="Arial"/>
                <w:sz w:val="20"/>
                <w:szCs w:val="20"/>
                <w:b w:val="1"/>
                <w:bCs w:val="1"/>
                <w:i w:val="1"/>
                <w:iCs w:val="1"/>
                <w:color w:val="00162F"/>
                <w:w w:val="99"/>
              </w:rPr>
              <w:t>Plans with Accumulated Benefit Obligations Exceeding Fair Value of Plan Assets</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6"/>
            <w:vMerge w:val="restart"/>
          </w:tcPr>
          <w:p>
            <w:pPr>
              <w:ind w:left="420"/>
              <w:spacing w:after="0"/>
              <w:rPr>
                <w:sz w:val="20"/>
                <w:szCs w:val="20"/>
                <w:color w:val="auto"/>
              </w:rPr>
            </w:pPr>
            <w:r>
              <w:rPr>
                <w:rFonts w:ascii="Arial" w:cs="Arial" w:eastAsia="Arial" w:hAnsi="Arial"/>
                <w:sz w:val="16"/>
                <w:szCs w:val="16"/>
                <w:b w:val="1"/>
                <w:bCs w:val="1"/>
                <w:color w:val="00162F"/>
              </w:rPr>
              <w:t>Pension Benefits</w:t>
            </w:r>
          </w:p>
        </w:tc>
        <w:tc>
          <w:tcPr>
            <w:tcW w:w="420" w:type="dxa"/>
            <w:vAlign w:val="bottom"/>
          </w:tcPr>
          <w:p>
            <w:pPr>
              <w:spacing w:after="0"/>
              <w:rPr>
                <w:sz w:val="24"/>
                <w:szCs w:val="24"/>
                <w:color w:val="auto"/>
              </w:rPr>
            </w:pPr>
          </w:p>
        </w:tc>
        <w:tc>
          <w:tcPr>
            <w:tcW w:w="2360" w:type="dxa"/>
            <w:vAlign w:val="bottom"/>
            <w:gridSpan w:val="6"/>
          </w:tcPr>
          <w:p>
            <w:pPr>
              <w:jc w:val="center"/>
              <w:ind w:right="346"/>
              <w:spacing w:after="0"/>
              <w:rPr>
                <w:sz w:val="20"/>
                <w:szCs w:val="20"/>
                <w:color w:val="auto"/>
              </w:rPr>
            </w:pPr>
            <w:r>
              <w:rPr>
                <w:rFonts w:ascii="Arial" w:cs="Arial" w:eastAsia="Arial" w:hAnsi="Arial"/>
                <w:sz w:val="16"/>
                <w:szCs w:val="16"/>
                <w:b w:val="1"/>
                <w:bCs w:val="1"/>
                <w:color w:val="00162F"/>
                <w:w w:val="98"/>
              </w:rPr>
              <w:t>Retiree Medical and</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6"/>
            <w:vMerge w:val="continue"/>
          </w:tcPr>
          <w:p>
            <w:pPr>
              <w:spacing w:after="0"/>
              <w:rPr>
                <w:sz w:val="18"/>
                <w:szCs w:val="18"/>
                <w:color w:val="auto"/>
              </w:rPr>
            </w:pPr>
          </w:p>
        </w:tc>
        <w:tc>
          <w:tcPr>
            <w:tcW w:w="2780" w:type="dxa"/>
            <w:vAlign w:val="bottom"/>
            <w:gridSpan w:val="7"/>
          </w:tcPr>
          <w:p>
            <w:pPr>
              <w:jc w:val="center"/>
              <w:spacing w:after="0"/>
              <w:rPr>
                <w:sz w:val="20"/>
                <w:szCs w:val="20"/>
                <w:color w:val="auto"/>
              </w:rPr>
            </w:pPr>
            <w:r>
              <w:rPr>
                <w:rFonts w:ascii="Arial" w:cs="Arial" w:eastAsia="Arial" w:hAnsi="Arial"/>
                <w:sz w:val="16"/>
                <w:szCs w:val="16"/>
                <w:b w:val="1"/>
                <w:bCs w:val="1"/>
                <w:color w:val="00162F"/>
                <w:w w:val="98"/>
              </w:rPr>
              <w:t>Other Postretirement Benefits</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0" w:type="dxa"/>
            <w:vAlign w:val="bottom"/>
            <w:tcBorders>
              <w:top w:val="single" w:sz="8" w:color="00162F"/>
              <w:bottom w:val="single" w:sz="8" w:color="00162F"/>
            </w:tcBorders>
          </w:tcPr>
          <w:p>
            <w:pPr>
              <w:spacing w:after="0"/>
              <w:rPr>
                <w:sz w:val="20"/>
                <w:szCs w:val="20"/>
                <w:color w:val="auto"/>
              </w:rPr>
            </w:pPr>
          </w:p>
        </w:tc>
        <w:tc>
          <w:tcPr>
            <w:tcW w:w="1020" w:type="dxa"/>
            <w:vAlign w:val="bottom"/>
            <w:tcBorders>
              <w:top w:val="single" w:sz="8" w:color="00162F"/>
              <w:bottom w:val="single" w:sz="8" w:color="00162F"/>
            </w:tcBorders>
          </w:tcPr>
          <w:p>
            <w:pPr>
              <w:jc w:val="right"/>
              <w:ind w:right="409"/>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top w:val="single" w:sz="8" w:color="00162F"/>
            </w:tcBorders>
          </w:tcPr>
          <w:p>
            <w:pPr>
              <w:spacing w:after="0"/>
              <w:rPr>
                <w:sz w:val="20"/>
                <w:szCs w:val="20"/>
                <w:color w:val="auto"/>
              </w:rPr>
            </w:pPr>
          </w:p>
        </w:tc>
        <w:tc>
          <w:tcPr>
            <w:tcW w:w="340" w:type="dxa"/>
            <w:vAlign w:val="bottom"/>
            <w:tcBorders>
              <w:top w:val="single" w:sz="8" w:color="00162F"/>
              <w:bottom w:val="single" w:sz="8" w:color="00162F"/>
            </w:tcBorders>
          </w:tcPr>
          <w:p>
            <w:pPr>
              <w:spacing w:after="0"/>
              <w:rPr>
                <w:sz w:val="20"/>
                <w:szCs w:val="20"/>
                <w:color w:val="auto"/>
              </w:rPr>
            </w:pPr>
          </w:p>
        </w:tc>
        <w:tc>
          <w:tcPr>
            <w:tcW w:w="1020" w:type="dxa"/>
            <w:vAlign w:val="bottom"/>
            <w:tcBorders>
              <w:top w:val="single" w:sz="8" w:color="00162F"/>
              <w:bottom w:val="single" w:sz="8" w:color="00162F"/>
            </w:tcBorders>
            <w:gridSpan w:val="2"/>
          </w:tcPr>
          <w:p>
            <w:pPr>
              <w:jc w:val="right"/>
              <w:ind w:right="416"/>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rPr>
                <w:sz w:val="20"/>
                <w:szCs w:val="20"/>
                <w:color w:val="auto"/>
              </w:rPr>
            </w:pPr>
          </w:p>
        </w:tc>
        <w:tc>
          <w:tcPr>
            <w:tcW w:w="420" w:type="dxa"/>
            <w:vAlign w:val="bottom"/>
            <w:tcBorders>
              <w:top w:val="single" w:sz="8" w:color="00162F"/>
              <w:bottom w:val="single" w:sz="8" w:color="00162F"/>
            </w:tcBorders>
          </w:tcPr>
          <w:p>
            <w:pPr>
              <w:spacing w:after="0"/>
              <w:rPr>
                <w:sz w:val="20"/>
                <w:szCs w:val="20"/>
                <w:color w:val="auto"/>
              </w:rPr>
            </w:pPr>
          </w:p>
        </w:tc>
        <w:tc>
          <w:tcPr>
            <w:tcW w:w="620" w:type="dxa"/>
            <w:vAlign w:val="bottom"/>
            <w:tcBorders>
              <w:top w:val="single" w:sz="8" w:color="00162F"/>
              <w:bottom w:val="single" w:sz="8" w:color="00162F"/>
            </w:tcBorders>
          </w:tcPr>
          <w:p>
            <w:pPr>
              <w:jc w:val="center"/>
              <w:ind w:right="10"/>
              <w:spacing w:after="0"/>
              <w:rPr>
                <w:sz w:val="20"/>
                <w:szCs w:val="20"/>
                <w:color w:val="auto"/>
              </w:rPr>
            </w:pPr>
            <w:r>
              <w:rPr>
                <w:rFonts w:ascii="Arial" w:cs="Arial" w:eastAsia="Arial" w:hAnsi="Arial"/>
                <w:sz w:val="16"/>
                <w:szCs w:val="16"/>
                <w:b w:val="1"/>
                <w:bCs w:val="1"/>
                <w:color w:val="00162F"/>
              </w:rPr>
              <w:t>2025</w:t>
            </w:r>
          </w:p>
        </w:tc>
        <w:tc>
          <w:tcPr>
            <w:tcW w:w="60" w:type="dxa"/>
            <w:vAlign w:val="bottom"/>
            <w:tcBorders>
              <w:top w:val="single" w:sz="8" w:color="00162F"/>
              <w:bottom w:val="single" w:sz="8" w:color="00162F"/>
            </w:tcBorders>
          </w:tcPr>
          <w:p>
            <w:pPr>
              <w:spacing w:after="0"/>
              <w:rPr>
                <w:sz w:val="20"/>
                <w:szCs w:val="20"/>
                <w:color w:val="auto"/>
              </w:rPr>
            </w:pPr>
          </w:p>
        </w:tc>
        <w:tc>
          <w:tcPr>
            <w:tcW w:w="260" w:type="dxa"/>
            <w:vAlign w:val="bottom"/>
            <w:tcBorders>
              <w:top w:val="single" w:sz="8" w:color="00162F"/>
              <w:bottom w:val="single" w:sz="8" w:color="00162F"/>
            </w:tcBorders>
          </w:tcPr>
          <w:p>
            <w:pPr>
              <w:spacing w:after="0"/>
              <w:rPr>
                <w:sz w:val="20"/>
                <w:szCs w:val="20"/>
                <w:color w:val="auto"/>
              </w:rPr>
            </w:pPr>
          </w:p>
        </w:tc>
        <w:tc>
          <w:tcPr>
            <w:tcW w:w="80" w:type="dxa"/>
            <w:vAlign w:val="bottom"/>
            <w:tcBorders>
              <w:top w:val="single" w:sz="8" w:color="00162F"/>
            </w:tcBorders>
          </w:tcPr>
          <w:p>
            <w:pPr>
              <w:spacing w:after="0"/>
              <w:rPr>
                <w:sz w:val="20"/>
                <w:szCs w:val="20"/>
                <w:color w:val="auto"/>
              </w:rPr>
            </w:pPr>
          </w:p>
        </w:tc>
        <w:tc>
          <w:tcPr>
            <w:tcW w:w="300" w:type="dxa"/>
            <w:vAlign w:val="bottom"/>
            <w:tcBorders>
              <w:top w:val="single" w:sz="8" w:color="00162F"/>
              <w:bottom w:val="single" w:sz="8" w:color="00162F"/>
            </w:tcBorders>
          </w:tcPr>
          <w:p>
            <w:pPr>
              <w:spacing w:after="0"/>
              <w:rPr>
                <w:sz w:val="20"/>
                <w:szCs w:val="20"/>
                <w:color w:val="auto"/>
              </w:rPr>
            </w:pPr>
          </w:p>
        </w:tc>
        <w:tc>
          <w:tcPr>
            <w:tcW w:w="1040" w:type="dxa"/>
            <w:vAlign w:val="bottom"/>
            <w:tcBorders>
              <w:top w:val="single" w:sz="8" w:color="00162F"/>
              <w:bottom w:val="single" w:sz="8" w:color="00162F"/>
            </w:tcBorders>
          </w:tcPr>
          <w:p>
            <w:pPr>
              <w:jc w:val="right"/>
              <w:ind w:right="406"/>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00162F"/>
              </w:rPr>
              <w:t>(In millions)</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Borders>
              <w:bottom w:val="single" w:sz="8" w:color="EDEDED"/>
            </w:tcBorders>
            <w:shd w:val="clear" w:color="auto" w:fill="EDEDED"/>
          </w:tcPr>
          <w:p>
            <w:pPr>
              <w:spacing w:after="0"/>
              <w:rPr>
                <w:sz w:val="24"/>
                <w:szCs w:val="24"/>
                <w:color w:val="auto"/>
              </w:rPr>
            </w:pPr>
          </w:p>
        </w:tc>
        <w:tc>
          <w:tcPr>
            <w:tcW w:w="1760" w:type="dxa"/>
            <w:vAlign w:val="bottom"/>
            <w:tcBorders>
              <w:bottom w:val="single" w:sz="8" w:color="00162F"/>
            </w:tcBorders>
            <w:shd w:val="clear" w:color="auto" w:fill="EDEDED"/>
          </w:tcPr>
          <w:p>
            <w:pPr>
              <w:spacing w:after="0"/>
              <w:rPr>
                <w:sz w:val="20"/>
                <w:szCs w:val="20"/>
                <w:color w:val="auto"/>
              </w:rPr>
            </w:pPr>
            <w:r>
              <w:rPr>
                <w:rFonts w:ascii="Arial" w:cs="Arial" w:eastAsia="Arial" w:hAnsi="Arial"/>
                <w:sz w:val="20"/>
                <w:szCs w:val="20"/>
                <w:color w:val="00162F"/>
                <w:w w:val="98"/>
              </w:rPr>
              <w:t>As of December 31:</w:t>
            </w:r>
          </w:p>
        </w:tc>
        <w:tc>
          <w:tcPr>
            <w:tcW w:w="32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10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EDEDED"/>
            </w:tcBorders>
            <w:shd w:val="clear" w:color="auto" w:fill="EDEDED"/>
          </w:tcPr>
          <w:p>
            <w:pPr>
              <w:spacing w:after="0"/>
              <w:rPr>
                <w:sz w:val="24"/>
                <w:szCs w:val="24"/>
                <w:color w:val="auto"/>
              </w:rPr>
            </w:pPr>
          </w:p>
        </w:tc>
        <w:tc>
          <w:tcPr>
            <w:tcW w:w="44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EDEDED"/>
            </w:tcBorders>
            <w:shd w:val="clear" w:color="auto" w:fill="EDEDED"/>
          </w:tcPr>
          <w:p>
            <w:pPr>
              <w:spacing w:after="0"/>
              <w:rPr>
                <w:sz w:val="24"/>
                <w:szCs w:val="24"/>
                <w:color w:val="auto"/>
              </w:rPr>
            </w:pPr>
          </w:p>
        </w:tc>
        <w:tc>
          <w:tcPr>
            <w:tcW w:w="6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20"/>
                <w:szCs w:val="20"/>
                <w:color w:val="00162F"/>
              </w:rPr>
              <w:t>Accumulated benefit obligation</w:t>
            </w:r>
          </w:p>
        </w:tc>
        <w:tc>
          <w:tcPr>
            <w:tcW w:w="320" w:type="dxa"/>
            <w:vAlign w:val="bottom"/>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8,814</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00162F"/>
              </w:rPr>
              <w:t>13,341</w:t>
            </w:r>
          </w:p>
        </w:tc>
        <w:tc>
          <w:tcPr>
            <w:tcW w:w="60" w:type="dxa"/>
            <w:vAlign w:val="bottom"/>
          </w:tcPr>
          <w:p>
            <w:pPr>
              <w:spacing w:after="0"/>
              <w:rPr>
                <w:sz w:val="24"/>
                <w:szCs w:val="24"/>
                <w:color w:val="auto"/>
              </w:rPr>
            </w:pPr>
          </w:p>
        </w:tc>
        <w:tc>
          <w:tcPr>
            <w:tcW w:w="420" w:type="dxa"/>
            <w:vAlign w:val="bottom"/>
          </w:tcPr>
          <w:p>
            <w:pPr>
              <w:jc w:val="right"/>
              <w:ind w:right="150"/>
              <w:spacing w:after="0"/>
              <w:rPr>
                <w:sz w:val="20"/>
                <w:szCs w:val="20"/>
                <w:color w:val="auto"/>
              </w:rPr>
            </w:pPr>
            <w:r>
              <w:rPr>
                <w:rFonts w:ascii="Arial" w:cs="Arial" w:eastAsia="Arial" w:hAnsi="Arial"/>
                <w:sz w:val="20"/>
                <w:szCs w:val="20"/>
                <w:color w:val="00162F"/>
              </w:rPr>
              <w:t>$</w:t>
            </w:r>
          </w:p>
        </w:tc>
        <w:tc>
          <w:tcPr>
            <w:tcW w:w="62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00162F"/>
              </w:rPr>
              <w:t>—</w:t>
            </w:r>
          </w:p>
        </w:tc>
        <w:tc>
          <w:tcPr>
            <w:tcW w:w="380" w:type="dxa"/>
            <w:vAlign w:val="bottom"/>
            <w:gridSpan w:val="2"/>
          </w:tcPr>
          <w:p>
            <w:pPr>
              <w:jc w:val="right"/>
              <w:ind w:right="41"/>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w:t>
            </w:r>
          </w:p>
        </w:tc>
        <w:tc>
          <w:tcPr>
            <w:tcW w:w="0" w:type="dxa"/>
            <w:vAlign w:val="bottom"/>
          </w:tcPr>
          <w:p>
            <w:pPr>
              <w:spacing w:after="0"/>
              <w:rPr>
                <w:sz w:val="1"/>
                <w:szCs w:val="1"/>
                <w:color w:val="auto"/>
              </w:rPr>
            </w:pPr>
          </w:p>
        </w:tc>
      </w:tr>
      <w:tr>
        <w:trPr>
          <w:trHeight w:val="301"/>
        </w:trPr>
        <w:tc>
          <w:tcPr>
            <w:tcW w:w="40" w:type="dxa"/>
            <w:vAlign w:val="bottom"/>
            <w:shd w:val="clear" w:color="auto" w:fill="EDEDED"/>
          </w:tcPr>
          <w:p>
            <w:pPr>
              <w:spacing w:after="0"/>
              <w:rPr>
                <w:sz w:val="24"/>
                <w:szCs w:val="24"/>
                <w:color w:val="auto"/>
              </w:rPr>
            </w:pPr>
          </w:p>
        </w:tc>
        <w:tc>
          <w:tcPr>
            <w:tcW w:w="5020" w:type="dxa"/>
            <w:vAlign w:val="bottom"/>
            <w:gridSpan w:val="2"/>
            <w:shd w:val="clear" w:color="auto" w:fill="EDEDED"/>
          </w:tcPr>
          <w:p>
            <w:pPr>
              <w:spacing w:after="0"/>
              <w:rPr>
                <w:sz w:val="20"/>
                <w:szCs w:val="20"/>
                <w:color w:val="auto"/>
              </w:rPr>
            </w:pPr>
            <w:r>
              <w:rPr>
                <w:rFonts w:ascii="Arial" w:cs="Arial" w:eastAsia="Arial" w:hAnsi="Arial"/>
                <w:sz w:val="20"/>
                <w:szCs w:val="20"/>
                <w:color w:val="00162F"/>
              </w:rPr>
              <w:t>Accumulated postretirement benefit obligation</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40" w:type="dxa"/>
            <w:vAlign w:val="bottom"/>
            <w:gridSpan w:val="2"/>
            <w:shd w:val="clear" w:color="auto" w:fill="EDEDED"/>
          </w:tcPr>
          <w:p>
            <w:pPr>
              <w:jc w:val="right"/>
              <w:ind w:right="140"/>
              <w:spacing w:after="0"/>
              <w:rPr>
                <w:sz w:val="20"/>
                <w:szCs w:val="20"/>
                <w:color w:val="auto"/>
              </w:rPr>
            </w:pPr>
            <w:r>
              <w:rPr>
                <w:rFonts w:ascii="Arial" w:cs="Arial" w:eastAsia="Arial" w:hAnsi="Arial"/>
                <w:sz w:val="20"/>
                <w:szCs w:val="20"/>
                <w:color w:val="00162F"/>
              </w:rPr>
              <w:t>—</w:t>
            </w:r>
          </w:p>
        </w:tc>
        <w:tc>
          <w:tcPr>
            <w:tcW w:w="420" w:type="dxa"/>
            <w:vAlign w:val="bottom"/>
            <w:shd w:val="clear" w:color="auto" w:fill="EDEDED"/>
          </w:tcPr>
          <w:p>
            <w:pPr>
              <w:spacing w:after="0"/>
              <w:rPr>
                <w:sz w:val="24"/>
                <w:szCs w:val="24"/>
                <w:color w:val="auto"/>
              </w:rPr>
            </w:pPr>
          </w:p>
        </w:tc>
        <w:tc>
          <w:tcPr>
            <w:tcW w:w="940" w:type="dxa"/>
            <w:vAlign w:val="bottom"/>
            <w:gridSpan w:val="3"/>
            <w:shd w:val="clear" w:color="auto" w:fill="EDEDED"/>
          </w:tcPr>
          <w:p>
            <w:pPr>
              <w:jc w:val="right"/>
              <w:ind w:right="80"/>
              <w:spacing w:after="0"/>
              <w:rPr>
                <w:sz w:val="20"/>
                <w:szCs w:val="20"/>
                <w:color w:val="auto"/>
              </w:rPr>
            </w:pPr>
            <w:r>
              <w:rPr>
                <w:rFonts w:ascii="Arial" w:cs="Arial" w:eastAsia="Arial" w:hAnsi="Arial"/>
                <w:sz w:val="20"/>
                <w:szCs w:val="20"/>
                <w:color w:val="00162F"/>
              </w:rPr>
              <w:t>1,259</w:t>
            </w:r>
          </w:p>
        </w:tc>
        <w:tc>
          <w:tcPr>
            <w:tcW w:w="8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1,308</w:t>
            </w: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20"/>
                <w:szCs w:val="20"/>
                <w:color w:val="00162F"/>
              </w:rPr>
              <w:t>Fair value of plan assets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8,221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00162F"/>
              </w:rPr>
              <w:t>12,254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20"/>
                <w:szCs w:val="20"/>
                <w:color w:val="00162F"/>
              </w:rPr>
              <w:t>118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-5170805</wp:posOffset>
            </wp:positionV>
            <wp:extent cx="2740660" cy="501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8">
                      <a:extLst>
                        <a:ext uri="{28A0092B-C50C-407E-A947-70E740481C1C}"/>
                      </a:extLst>
                    </a:blip>
                    <a:srcRect/>
                    <a:stretch>
                      <a:fillRect/>
                    </a:stretch>
                  </pic:blipFill>
                  <pic:spPr bwMode="auto">
                    <a:xfrm>
                      <a:off x="0" y="0"/>
                      <a:ext cx="2740660" cy="5016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-4994910</wp:posOffset>
            </wp:positionV>
            <wp:extent cx="2718435" cy="755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9">
                      <a:extLst>
                        <a:ext uri="{28A0092B-C50C-407E-A947-70E740481C1C}"/>
                      </a:extLst>
                    </a:blip>
                    <a:srcRect/>
                    <a:stretch>
                      <a:fillRect/>
                    </a:stretch>
                  </pic:blipFill>
                  <pic:spPr bwMode="auto">
                    <a:xfrm>
                      <a:off x="0" y="0"/>
                      <a:ext cx="2718435" cy="7556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-3646805</wp:posOffset>
            </wp:positionV>
            <wp:extent cx="2740660" cy="501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0">
                      <a:extLst>
                        <a:ext uri="{28A0092B-C50C-407E-A947-70E740481C1C}"/>
                      </a:extLst>
                    </a:blip>
                    <a:srcRect/>
                    <a:stretch>
                      <a:fillRect/>
                    </a:stretch>
                  </pic:blipFill>
                  <pic:spPr bwMode="auto">
                    <a:xfrm>
                      <a:off x="0" y="0"/>
                      <a:ext cx="2740660" cy="5016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-3347720</wp:posOffset>
            </wp:positionV>
            <wp:extent cx="2718435" cy="755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1">
                      <a:extLst>
                        <a:ext uri="{28A0092B-C50C-407E-A947-70E740481C1C}"/>
                      </a:extLst>
                    </a:blip>
                    <a:srcRect/>
                    <a:stretch>
                      <a:fillRect/>
                    </a:stretch>
                  </pic:blipFill>
                  <pic:spPr bwMode="auto">
                    <a:xfrm>
                      <a:off x="0" y="0"/>
                      <a:ext cx="2718435" cy="75565"/>
                    </a:xfrm>
                    <a:prstGeom prst="rect">
                      <a:avLst/>
                    </a:prstGeom>
                    <a:noFill/>
                  </pic:spPr>
                </pic:pic>
              </a:graphicData>
            </a:graphic>
          </wp:anchor>
        </w:drawing>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113</w:t>
      </w:r>
    </w:p>
    <w:p>
      <w:pPr>
        <w:sectPr>
          <w:pgSz w:w="11880" w:h="15480" w:orient="portrait"/>
          <w:cols w:equalWidth="0" w:num="1">
            <w:col w:w="10680"/>
          </w:cols>
          <w:pgMar w:left="600" w:top="487" w:right="600" w:bottom="0" w:gutter="0" w:footer="0" w:header="0"/>
          <w:type w:val="continuous"/>
        </w:sectPr>
      </w:pPr>
    </w:p>
    <w:bookmarkStart w:id="114" w:name="page115"/>
    <w:bookmarkEnd w:id="114"/>
    <w:p>
      <w:pPr>
        <w:ind w:left="925"/>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Net Periodic Benefit Cost (Income)</w:t>
      </w:r>
    </w:p>
    <w:p>
      <w:pPr>
        <w:spacing w:after="0" w:line="171"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6"/>
            <w:vMerge w:val="restart"/>
          </w:tcPr>
          <w:p>
            <w:pPr>
              <w:ind w:left="800"/>
              <w:spacing w:after="0"/>
              <w:rPr>
                <w:sz w:val="20"/>
                <w:szCs w:val="20"/>
                <w:color w:val="auto"/>
              </w:rPr>
            </w:pPr>
            <w:r>
              <w:rPr>
                <w:rFonts w:ascii="Arial" w:cs="Arial" w:eastAsia="Arial" w:hAnsi="Arial"/>
                <w:sz w:val="16"/>
                <w:szCs w:val="16"/>
                <w:b w:val="1"/>
                <w:bCs w:val="1"/>
                <w:color w:val="00162F"/>
                <w:w w:val="98"/>
              </w:rPr>
              <w:t>Pension Benefits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6"/>
          </w:tcPr>
          <w:p>
            <w:pPr>
              <w:jc w:val="center"/>
              <w:ind w:left="488"/>
              <w:spacing w:after="0"/>
              <w:rPr>
                <w:sz w:val="20"/>
                <w:szCs w:val="20"/>
                <w:color w:val="auto"/>
              </w:rPr>
            </w:pPr>
            <w:r>
              <w:rPr>
                <w:rFonts w:ascii="Arial" w:cs="Arial" w:eastAsia="Arial" w:hAnsi="Arial"/>
                <w:sz w:val="16"/>
                <w:szCs w:val="16"/>
                <w:b w:val="1"/>
                <w:bCs w:val="1"/>
                <w:color w:val="00162F"/>
                <w:w w:val="98"/>
              </w:rPr>
              <w:t>Retiree Medical and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00162F"/>
            </w:tcBorders>
          </w:tcPr>
          <w:p>
            <w:pPr>
              <w:spacing w:after="0"/>
              <w:rPr>
                <w:sz w:val="18"/>
                <w:szCs w:val="18"/>
                <w:color w:val="auto"/>
              </w:rPr>
            </w:pPr>
          </w:p>
        </w:tc>
        <w:tc>
          <w:tcPr>
            <w:tcW w:w="2100" w:type="dxa"/>
            <w:vAlign w:val="bottom"/>
            <w:tcBorders>
              <w:bottom w:val="single" w:sz="8" w:color="00162F"/>
            </w:tcBorders>
            <w:gridSpan w:val="6"/>
            <w:vMerge w:val="continue"/>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820" w:type="dxa"/>
            <w:vAlign w:val="bottom"/>
            <w:tcBorders>
              <w:bottom w:val="single" w:sz="8" w:color="00162F"/>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00162F"/>
            </w:tcBorders>
          </w:tcPr>
          <w:p>
            <w:pPr>
              <w:spacing w:after="0"/>
              <w:rPr>
                <w:sz w:val="18"/>
                <w:szCs w:val="18"/>
                <w:color w:val="auto"/>
              </w:rPr>
            </w:pPr>
          </w:p>
        </w:tc>
        <w:tc>
          <w:tcPr>
            <w:tcW w:w="3180" w:type="dxa"/>
            <w:vAlign w:val="bottom"/>
            <w:tcBorders>
              <w:bottom w:val="single" w:sz="8" w:color="00162F"/>
            </w:tcBorders>
            <w:gridSpan w:val="7"/>
          </w:tcPr>
          <w:p>
            <w:pPr>
              <w:jc w:val="center"/>
              <w:ind w:right="164"/>
              <w:spacing w:after="0"/>
              <w:rPr>
                <w:sz w:val="20"/>
                <w:szCs w:val="20"/>
                <w:color w:val="auto"/>
              </w:rPr>
            </w:pPr>
            <w:r>
              <w:rPr>
                <w:rFonts w:ascii="Arial" w:cs="Arial" w:eastAsia="Arial" w:hAnsi="Arial"/>
                <w:sz w:val="16"/>
                <w:szCs w:val="16"/>
                <w:b w:val="1"/>
                <w:bCs w:val="1"/>
                <w:color w:val="00162F"/>
                <w:w w:val="98"/>
              </w:rPr>
              <w:t>Other Postretirement Benefits</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bottom w:val="single" w:sz="8" w:color="00162F"/>
            </w:tcBorders>
          </w:tcPr>
          <w:p>
            <w:pPr>
              <w:spacing w:after="0"/>
              <w:rPr>
                <w:sz w:val="20"/>
                <w:szCs w:val="20"/>
                <w:color w:val="auto"/>
              </w:rPr>
            </w:pPr>
          </w:p>
        </w:tc>
        <w:tc>
          <w:tcPr>
            <w:tcW w:w="840" w:type="dxa"/>
            <w:vAlign w:val="bottom"/>
            <w:tcBorders>
              <w:bottom w:val="single" w:sz="8" w:color="00162F"/>
            </w:tcBorders>
          </w:tcPr>
          <w:p>
            <w:pPr>
              <w:jc w:val="right"/>
              <w:ind w:right="286"/>
              <w:spacing w:after="0"/>
              <w:rPr>
                <w:sz w:val="20"/>
                <w:szCs w:val="20"/>
                <w:color w:val="auto"/>
              </w:rPr>
            </w:pPr>
            <w:r>
              <w:rPr>
                <w:rFonts w:ascii="Arial" w:cs="Arial" w:eastAsia="Arial" w:hAnsi="Arial"/>
                <w:sz w:val="16"/>
                <w:szCs w:val="16"/>
                <w:b w:val="1"/>
                <w:bCs w:val="1"/>
                <w:color w:val="00162F"/>
              </w:rPr>
              <w:t>2025</w:t>
            </w:r>
          </w:p>
        </w:tc>
        <w:tc>
          <w:tcPr>
            <w:tcW w:w="60" w:type="dxa"/>
            <w:vAlign w:val="bottom"/>
          </w:tcPr>
          <w:p>
            <w:pPr>
              <w:spacing w:after="0"/>
              <w:rPr>
                <w:sz w:val="20"/>
                <w:szCs w:val="20"/>
                <w:color w:val="auto"/>
              </w:rPr>
            </w:pPr>
          </w:p>
        </w:tc>
        <w:tc>
          <w:tcPr>
            <w:tcW w:w="280" w:type="dxa"/>
            <w:vAlign w:val="bottom"/>
            <w:tcBorders>
              <w:bottom w:val="single" w:sz="8" w:color="00162F"/>
            </w:tcBorders>
          </w:tcPr>
          <w:p>
            <w:pPr>
              <w:spacing w:after="0"/>
              <w:rPr>
                <w:sz w:val="20"/>
                <w:szCs w:val="20"/>
                <w:color w:val="auto"/>
              </w:rPr>
            </w:pPr>
          </w:p>
        </w:tc>
        <w:tc>
          <w:tcPr>
            <w:tcW w:w="820" w:type="dxa"/>
            <w:vAlign w:val="bottom"/>
            <w:tcBorders>
              <w:bottom w:val="single" w:sz="8" w:color="00162F"/>
            </w:tcBorders>
          </w:tcPr>
          <w:p>
            <w:pPr>
              <w:jc w:val="right"/>
              <w:ind w:right="284"/>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rPr>
                <w:sz w:val="20"/>
                <w:szCs w:val="20"/>
                <w:color w:val="auto"/>
              </w:rPr>
            </w:pPr>
          </w:p>
        </w:tc>
        <w:tc>
          <w:tcPr>
            <w:tcW w:w="40" w:type="dxa"/>
            <w:vAlign w:val="bottom"/>
            <w:tcBorders>
              <w:bottom w:val="single" w:sz="8" w:color="00162F"/>
            </w:tcBorders>
          </w:tcPr>
          <w:p>
            <w:pPr>
              <w:spacing w:after="0"/>
              <w:rPr>
                <w:sz w:val="20"/>
                <w:szCs w:val="20"/>
                <w:color w:val="auto"/>
              </w:rPr>
            </w:pPr>
          </w:p>
        </w:tc>
        <w:tc>
          <w:tcPr>
            <w:tcW w:w="240" w:type="dxa"/>
            <w:vAlign w:val="bottom"/>
            <w:tcBorders>
              <w:bottom w:val="single" w:sz="8" w:color="00162F"/>
            </w:tcBorders>
          </w:tcPr>
          <w:p>
            <w:pPr>
              <w:spacing w:after="0"/>
              <w:rPr>
                <w:sz w:val="20"/>
                <w:szCs w:val="20"/>
                <w:color w:val="auto"/>
              </w:rPr>
            </w:pPr>
          </w:p>
        </w:tc>
        <w:tc>
          <w:tcPr>
            <w:tcW w:w="820" w:type="dxa"/>
            <w:vAlign w:val="bottom"/>
            <w:tcBorders>
              <w:bottom w:val="single" w:sz="8" w:color="00162F"/>
            </w:tcBorders>
          </w:tcPr>
          <w:p>
            <w:pPr>
              <w:jc w:val="right"/>
              <w:ind w:right="286"/>
              <w:spacing w:after="0"/>
              <w:rPr>
                <w:sz w:val="20"/>
                <w:szCs w:val="20"/>
                <w:color w:val="auto"/>
              </w:rPr>
            </w:pPr>
            <w:r>
              <w:rPr>
                <w:rFonts w:ascii="Arial" w:cs="Arial" w:eastAsia="Arial" w:hAnsi="Arial"/>
                <w:sz w:val="16"/>
                <w:szCs w:val="16"/>
                <w:b w:val="1"/>
                <w:bCs w:val="1"/>
                <w:color w:val="00162F"/>
              </w:rPr>
              <w:t>2023</w:t>
            </w:r>
          </w:p>
        </w:tc>
        <w:tc>
          <w:tcPr>
            <w:tcW w:w="60" w:type="dxa"/>
            <w:vAlign w:val="bottom"/>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820" w:type="dxa"/>
            <w:vAlign w:val="bottom"/>
            <w:tcBorders>
              <w:bottom w:val="single" w:sz="8" w:color="00162F"/>
            </w:tcBorders>
          </w:tcPr>
          <w:p>
            <w:pPr>
              <w:jc w:val="right"/>
              <w:ind w:right="268"/>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820" w:type="dxa"/>
            <w:vAlign w:val="bottom"/>
            <w:tcBorders>
              <w:bottom w:val="single" w:sz="8" w:color="00162F"/>
            </w:tcBorders>
          </w:tcPr>
          <w:p>
            <w:pPr>
              <w:jc w:val="center"/>
              <w:ind w:right="164"/>
              <w:spacing w:after="0"/>
              <w:rPr>
                <w:sz w:val="20"/>
                <w:szCs w:val="20"/>
                <w:color w:val="auto"/>
              </w:rPr>
            </w:pPr>
            <w:r>
              <w:rPr>
                <w:rFonts w:ascii="Arial" w:cs="Arial" w:eastAsia="Arial" w:hAnsi="Arial"/>
                <w:sz w:val="16"/>
                <w:szCs w:val="16"/>
                <w:b w:val="1"/>
                <w:bCs w:val="1"/>
                <w:color w:val="00162F"/>
              </w:rPr>
              <w:t>2024</w:t>
            </w:r>
          </w:p>
        </w:tc>
        <w:tc>
          <w:tcPr>
            <w:tcW w:w="80" w:type="dxa"/>
            <w:vAlign w:val="bottom"/>
          </w:tcPr>
          <w:p>
            <w:pPr>
              <w:spacing w:after="0"/>
              <w:rPr>
                <w:sz w:val="20"/>
                <w:szCs w:val="20"/>
                <w:color w:val="auto"/>
              </w:rPr>
            </w:pPr>
          </w:p>
        </w:tc>
        <w:tc>
          <w:tcPr>
            <w:tcW w:w="280" w:type="dxa"/>
            <w:vAlign w:val="bottom"/>
            <w:tcBorders>
              <w:bottom w:val="single" w:sz="8" w:color="00162F"/>
            </w:tcBorders>
          </w:tcPr>
          <w:p>
            <w:pPr>
              <w:spacing w:after="0"/>
              <w:rPr>
                <w:sz w:val="20"/>
                <w:szCs w:val="20"/>
                <w:color w:val="auto"/>
              </w:rPr>
            </w:pPr>
          </w:p>
        </w:tc>
        <w:tc>
          <w:tcPr>
            <w:tcW w:w="840" w:type="dxa"/>
            <w:vAlign w:val="bottom"/>
            <w:tcBorders>
              <w:bottom w:val="single" w:sz="8" w:color="00162F"/>
            </w:tcBorders>
          </w:tcPr>
          <w:p>
            <w:pPr>
              <w:jc w:val="right"/>
              <w:ind w:right="284"/>
              <w:spacing w:after="0"/>
              <w:rPr>
                <w:sz w:val="20"/>
                <w:szCs w:val="20"/>
                <w:color w:val="auto"/>
              </w:rPr>
            </w:pPr>
            <w:r>
              <w:rPr>
                <w:rFonts w:ascii="Arial" w:cs="Arial" w:eastAsia="Arial" w:hAnsi="Arial"/>
                <w:sz w:val="16"/>
                <w:szCs w:val="16"/>
                <w:b w:val="1"/>
                <w:bCs w:val="1"/>
                <w:color w:val="00162F"/>
              </w:rPr>
              <w:t>2023</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gridSpan w:val="4"/>
          </w:tcPr>
          <w:p>
            <w:pPr>
              <w:jc w:val="right"/>
              <w:ind w:right="568"/>
              <w:spacing w:after="0"/>
              <w:rPr>
                <w:sz w:val="20"/>
                <w:szCs w:val="20"/>
                <w:color w:val="auto"/>
              </w:rPr>
            </w:pPr>
            <w:r>
              <w:rPr>
                <w:rFonts w:ascii="Arial" w:cs="Arial" w:eastAsia="Arial" w:hAnsi="Arial"/>
                <w:sz w:val="16"/>
                <w:szCs w:val="16"/>
                <w:b w:val="1"/>
                <w:bCs w:val="1"/>
                <w:color w:val="00162F"/>
              </w:rPr>
              <w:t>(In millions)</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Borders>
              <w:bottom w:val="single" w:sz="8" w:color="EDEDED"/>
            </w:tcBorders>
            <w:shd w:val="clear" w:color="auto" w:fill="EDEDED"/>
          </w:tcPr>
          <w:p>
            <w:pPr>
              <w:spacing w:after="0"/>
              <w:rPr>
                <w:sz w:val="24"/>
                <w:szCs w:val="24"/>
                <w:color w:val="auto"/>
              </w:rPr>
            </w:pPr>
          </w:p>
        </w:tc>
        <w:tc>
          <w:tcPr>
            <w:tcW w:w="3080" w:type="dxa"/>
            <w:vAlign w:val="bottom"/>
            <w:tcBorders>
              <w:bottom w:val="single" w:sz="8" w:color="00162F"/>
            </w:tcBorders>
            <w:shd w:val="clear" w:color="auto" w:fill="EDEDED"/>
          </w:tcPr>
          <w:p>
            <w:pPr>
              <w:spacing w:after="0"/>
              <w:rPr>
                <w:sz w:val="20"/>
                <w:szCs w:val="20"/>
                <w:color w:val="auto"/>
              </w:rPr>
            </w:pPr>
            <w:r>
              <w:rPr>
                <w:rFonts w:ascii="Arial" w:cs="Arial" w:eastAsia="Arial" w:hAnsi="Arial"/>
                <w:sz w:val="20"/>
                <w:szCs w:val="20"/>
                <w:color w:val="00162F"/>
                <w:w w:val="98"/>
              </w:rPr>
              <w:t>For the years ended December 31:</w:t>
            </w:r>
          </w:p>
        </w:tc>
        <w:tc>
          <w:tcPr>
            <w:tcW w:w="60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EDEDED"/>
            </w:tcBorders>
            <w:shd w:val="clear" w:color="auto" w:fill="EDEDED"/>
          </w:tcPr>
          <w:p>
            <w:pPr>
              <w:spacing w:after="0"/>
              <w:rPr>
                <w:sz w:val="24"/>
                <w:szCs w:val="24"/>
                <w:color w:val="auto"/>
              </w:rPr>
            </w:pPr>
          </w:p>
        </w:tc>
        <w:tc>
          <w:tcPr>
            <w:tcW w:w="84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24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EDEDED"/>
            </w:tcBorders>
            <w:shd w:val="clear" w:color="auto" w:fill="EDEDED"/>
          </w:tcPr>
          <w:p>
            <w:pPr>
              <w:spacing w:after="0"/>
              <w:rPr>
                <w:sz w:val="24"/>
                <w:szCs w:val="24"/>
                <w:color w:val="auto"/>
              </w:rPr>
            </w:pPr>
          </w:p>
        </w:tc>
        <w:tc>
          <w:tcPr>
            <w:tcW w:w="8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20"/>
                <w:szCs w:val="20"/>
                <w:color w:val="00162F"/>
              </w:rPr>
              <w:t>Defined benefit plans: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shd w:val="clear" w:color="auto" w:fill="EDEDED"/>
          </w:tcPr>
          <w:p>
            <w:pPr>
              <w:spacing w:after="0"/>
              <w:rPr>
                <w:sz w:val="24"/>
                <w:szCs w:val="24"/>
                <w:color w:val="auto"/>
              </w:rPr>
            </w:pPr>
          </w:p>
        </w:tc>
        <w:tc>
          <w:tcPr>
            <w:tcW w:w="3680" w:type="dxa"/>
            <w:vAlign w:val="bottom"/>
            <w:gridSpan w:val="2"/>
            <w:shd w:val="clear" w:color="auto" w:fill="EDEDED"/>
          </w:tcPr>
          <w:p>
            <w:pPr>
              <w:ind w:left="220"/>
              <w:spacing w:after="0"/>
              <w:rPr>
                <w:sz w:val="20"/>
                <w:szCs w:val="20"/>
                <w:color w:val="auto"/>
              </w:rPr>
            </w:pPr>
            <w:r>
              <w:rPr>
                <w:rFonts w:ascii="Arial" w:cs="Arial" w:eastAsia="Arial" w:hAnsi="Arial"/>
                <w:sz w:val="20"/>
                <w:szCs w:val="20"/>
                <w:color w:val="00162F"/>
              </w:rPr>
              <w:t>Service cost</w:t>
            </w:r>
          </w:p>
        </w:tc>
        <w:tc>
          <w:tcPr>
            <w:tcW w:w="280" w:type="dxa"/>
            <w:vAlign w:val="bottom"/>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8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w:t>
            </w:r>
          </w:p>
        </w:tc>
        <w:tc>
          <w:tcPr>
            <w:tcW w:w="34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6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240" w:type="dxa"/>
            <w:vAlign w:val="bottom"/>
            <w:shd w:val="clear" w:color="auto" w:fill="EDEDED"/>
          </w:tcPr>
          <w:p>
            <w:pPr>
              <w:jc w:val="right"/>
              <w:ind w:right="21"/>
              <w:spacing w:after="0"/>
              <w:rPr>
                <w:sz w:val="20"/>
                <w:szCs w:val="20"/>
                <w:color w:val="auto"/>
              </w:rPr>
            </w:pPr>
            <w:r>
              <w:rPr>
                <w:rFonts w:ascii="Arial" w:cs="Arial" w:eastAsia="Arial" w:hAnsi="Arial"/>
                <w:sz w:val="20"/>
                <w:szCs w:val="20"/>
                <w:color w:val="00162F"/>
                <w:w w:val="89"/>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23</w:t>
            </w:r>
          </w:p>
        </w:tc>
        <w:tc>
          <w:tcPr>
            <w:tcW w:w="34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w:t>
            </w:r>
          </w:p>
        </w:tc>
        <w:tc>
          <w:tcPr>
            <w:tcW w:w="360" w:type="dxa"/>
            <w:vAlign w:val="bottom"/>
            <w:gridSpan w:val="2"/>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8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w:t>
            </w: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680" w:type="dxa"/>
            <w:vAlign w:val="bottom"/>
            <w:gridSpan w:val="2"/>
          </w:tcPr>
          <w:p>
            <w:pPr>
              <w:ind w:left="220"/>
              <w:spacing w:after="0"/>
              <w:rPr>
                <w:sz w:val="20"/>
                <w:szCs w:val="20"/>
                <w:color w:val="auto"/>
              </w:rPr>
            </w:pPr>
            <w:r>
              <w:rPr>
                <w:rFonts w:ascii="Arial" w:cs="Arial" w:eastAsia="Arial" w:hAnsi="Arial"/>
                <w:sz w:val="20"/>
                <w:szCs w:val="20"/>
                <w:color w:val="00162F"/>
              </w:rPr>
              <w:t>Interest cost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0162F"/>
              </w:rPr>
              <w:t>730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723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758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69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64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0162F"/>
              </w:rPr>
              <w:t>55</w:t>
            </w:r>
          </w:p>
        </w:tc>
        <w:tc>
          <w:tcPr>
            <w:tcW w:w="0" w:type="dxa"/>
            <w:vAlign w:val="bottom"/>
          </w:tcPr>
          <w:p>
            <w:pPr>
              <w:spacing w:after="0"/>
              <w:rPr>
                <w:sz w:val="1"/>
                <w:szCs w:val="1"/>
                <w:color w:val="auto"/>
              </w:rPr>
            </w:pPr>
          </w:p>
        </w:tc>
      </w:tr>
      <w:tr>
        <w:trPr>
          <w:trHeight w:val="301"/>
        </w:trPr>
        <w:tc>
          <w:tcPr>
            <w:tcW w:w="40" w:type="dxa"/>
            <w:vAlign w:val="bottom"/>
            <w:shd w:val="clear" w:color="auto" w:fill="EDEDED"/>
          </w:tcPr>
          <w:p>
            <w:pPr>
              <w:spacing w:after="0"/>
              <w:rPr>
                <w:sz w:val="24"/>
                <w:szCs w:val="24"/>
                <w:color w:val="auto"/>
              </w:rPr>
            </w:pPr>
          </w:p>
        </w:tc>
        <w:tc>
          <w:tcPr>
            <w:tcW w:w="3680" w:type="dxa"/>
            <w:vAlign w:val="bottom"/>
            <w:gridSpan w:val="2"/>
            <w:shd w:val="clear" w:color="auto" w:fill="EDEDED"/>
          </w:tcPr>
          <w:p>
            <w:pPr>
              <w:ind w:left="220"/>
              <w:spacing w:after="0"/>
              <w:rPr>
                <w:sz w:val="20"/>
                <w:szCs w:val="20"/>
                <w:color w:val="auto"/>
              </w:rPr>
            </w:pPr>
            <w:r>
              <w:rPr>
                <w:rFonts w:ascii="Arial" w:cs="Arial" w:eastAsia="Arial" w:hAnsi="Arial"/>
                <w:sz w:val="20"/>
                <w:szCs w:val="20"/>
                <w:color w:val="00162F"/>
              </w:rPr>
              <w:t>Expected return on assets</w:t>
            </w:r>
          </w:p>
        </w:tc>
        <w:tc>
          <w:tcPr>
            <w:tcW w:w="280" w:type="dxa"/>
            <w:vAlign w:val="bottom"/>
            <w:shd w:val="clear" w:color="auto" w:fill="EDEDED"/>
          </w:tcPr>
          <w:p>
            <w:pPr>
              <w:spacing w:after="0"/>
              <w:rPr>
                <w:sz w:val="24"/>
                <w:szCs w:val="24"/>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(929)</w:t>
            </w:r>
          </w:p>
        </w:tc>
        <w:tc>
          <w:tcPr>
            <w:tcW w:w="6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(978)</w:t>
            </w:r>
          </w:p>
        </w:tc>
        <w:tc>
          <w:tcPr>
            <w:tcW w:w="6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(918)</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w:t>
            </w: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20"/>
                <w:szCs w:val="20"/>
                <w:color w:val="00162F"/>
              </w:rPr>
              <w:t>Amortization of:</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shd w:val="clear" w:color="auto" w:fill="EDEDED"/>
          </w:tcPr>
          <w:p>
            <w:pPr>
              <w:spacing w:after="0"/>
              <w:rPr>
                <w:sz w:val="24"/>
                <w:szCs w:val="24"/>
                <w:color w:val="auto"/>
              </w:rPr>
            </w:pPr>
          </w:p>
        </w:tc>
        <w:tc>
          <w:tcPr>
            <w:tcW w:w="3680" w:type="dxa"/>
            <w:vAlign w:val="bottom"/>
            <w:gridSpan w:val="2"/>
            <w:shd w:val="clear" w:color="auto" w:fill="EDEDED"/>
          </w:tcPr>
          <w:p>
            <w:pPr>
              <w:ind w:left="220"/>
              <w:spacing w:after="0"/>
              <w:rPr>
                <w:sz w:val="20"/>
                <w:szCs w:val="20"/>
                <w:color w:val="auto"/>
              </w:rPr>
            </w:pPr>
            <w:r>
              <w:rPr>
                <w:rFonts w:ascii="Arial" w:cs="Arial" w:eastAsia="Arial" w:hAnsi="Arial"/>
                <w:sz w:val="20"/>
                <w:szCs w:val="20"/>
                <w:color w:val="00162F"/>
              </w:rPr>
              <w:t>Prior service cost (benefit)</w:t>
            </w:r>
          </w:p>
        </w:tc>
        <w:tc>
          <w:tcPr>
            <w:tcW w:w="280" w:type="dxa"/>
            <w:vAlign w:val="bottom"/>
            <w:shd w:val="clear" w:color="auto" w:fill="EDEDED"/>
          </w:tcPr>
          <w:p>
            <w:pPr>
              <w:spacing w:after="0"/>
              <w:rPr>
                <w:sz w:val="24"/>
                <w:szCs w:val="24"/>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w:t>
            </w:r>
          </w:p>
        </w:tc>
        <w:tc>
          <w:tcPr>
            <w:tcW w:w="6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920" w:type="dxa"/>
            <w:vAlign w:val="bottom"/>
            <w:gridSpan w:val="3"/>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24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18</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w:t>
            </w:r>
          </w:p>
        </w:tc>
        <w:tc>
          <w:tcPr>
            <w:tcW w:w="0" w:type="dxa"/>
            <w:vAlign w:val="bottom"/>
          </w:tcPr>
          <w:p>
            <w:pPr>
              <w:spacing w:after="0"/>
              <w:rPr>
                <w:sz w:val="1"/>
                <w:szCs w:val="1"/>
                <w:color w:val="auto"/>
              </w:rPr>
            </w:pPr>
          </w:p>
        </w:tc>
      </w:tr>
      <w:tr>
        <w:trPr>
          <w:trHeight w:val="287"/>
        </w:trPr>
        <w:tc>
          <w:tcPr>
            <w:tcW w:w="40" w:type="dxa"/>
            <w:vAlign w:val="bottom"/>
            <w:tcBorders>
              <w:bottom w:val="single" w:sz="8" w:color="EDEDED"/>
            </w:tcBorders>
          </w:tcPr>
          <w:p>
            <w:pPr>
              <w:spacing w:after="0"/>
              <w:rPr>
                <w:sz w:val="24"/>
                <w:szCs w:val="24"/>
                <w:color w:val="auto"/>
              </w:rPr>
            </w:pPr>
          </w:p>
        </w:tc>
        <w:tc>
          <w:tcPr>
            <w:tcW w:w="3680" w:type="dxa"/>
            <w:vAlign w:val="bottom"/>
            <w:tcBorders>
              <w:bottom w:val="single" w:sz="8" w:color="EDEDED"/>
            </w:tcBorders>
            <w:gridSpan w:val="2"/>
          </w:tcPr>
          <w:p>
            <w:pPr>
              <w:ind w:left="220"/>
              <w:spacing w:after="0"/>
              <w:rPr>
                <w:sz w:val="20"/>
                <w:szCs w:val="20"/>
                <w:color w:val="auto"/>
              </w:rPr>
            </w:pPr>
            <w:r>
              <w:rPr>
                <w:rFonts w:ascii="Arial" w:cs="Arial" w:eastAsia="Arial" w:hAnsi="Arial"/>
                <w:sz w:val="20"/>
                <w:szCs w:val="20"/>
                <w:color w:val="00162F"/>
              </w:rPr>
              <w:t>Unrecognized net loss (gain)</w:t>
            </w:r>
          </w:p>
        </w:tc>
        <w:tc>
          <w:tcPr>
            <w:tcW w:w="280" w:type="dxa"/>
            <w:vAlign w:val="bottom"/>
            <w:tcBorders>
              <w:bottom w:val="single" w:sz="8" w:color="00162F"/>
            </w:tcBorders>
          </w:tcPr>
          <w:p>
            <w:pPr>
              <w:spacing w:after="0"/>
              <w:rPr>
                <w:sz w:val="24"/>
                <w:szCs w:val="24"/>
                <w:color w:val="auto"/>
              </w:rPr>
            </w:pPr>
          </w:p>
        </w:tc>
        <w:tc>
          <w:tcPr>
            <w:tcW w:w="8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91</w:t>
            </w:r>
          </w:p>
        </w:tc>
        <w:tc>
          <w:tcPr>
            <w:tcW w:w="60" w:type="dxa"/>
            <w:vAlign w:val="bottom"/>
            <w:tcBorders>
              <w:bottom w:val="single" w:sz="8" w:color="EDEDED"/>
            </w:tcBorders>
          </w:tcPr>
          <w:p>
            <w:pPr>
              <w:spacing w:after="0"/>
              <w:rPr>
                <w:sz w:val="24"/>
                <w:szCs w:val="24"/>
                <w:color w:val="auto"/>
              </w:rPr>
            </w:pPr>
          </w:p>
        </w:tc>
        <w:tc>
          <w:tcPr>
            <w:tcW w:w="28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105</w:t>
            </w:r>
          </w:p>
        </w:tc>
        <w:tc>
          <w:tcPr>
            <w:tcW w:w="60" w:type="dxa"/>
            <w:vAlign w:val="bottom"/>
            <w:tcBorders>
              <w:bottom w:val="single" w:sz="8" w:color="EDEDED"/>
            </w:tcBorders>
          </w:tcPr>
          <w:p>
            <w:pPr>
              <w:spacing w:after="0"/>
              <w:rPr>
                <w:sz w:val="24"/>
                <w:szCs w:val="24"/>
                <w:color w:val="auto"/>
              </w:rPr>
            </w:pPr>
          </w:p>
        </w:tc>
        <w:tc>
          <w:tcPr>
            <w:tcW w:w="40" w:type="dxa"/>
            <w:vAlign w:val="bottom"/>
            <w:tcBorders>
              <w:bottom w:val="single" w:sz="8" w:color="00162F"/>
            </w:tcBorders>
          </w:tcPr>
          <w:p>
            <w:pPr>
              <w:spacing w:after="0"/>
              <w:rPr>
                <w:sz w:val="24"/>
                <w:szCs w:val="24"/>
                <w:color w:val="auto"/>
              </w:rPr>
            </w:pPr>
          </w:p>
        </w:tc>
        <w:tc>
          <w:tcPr>
            <w:tcW w:w="24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106</w:t>
            </w:r>
          </w:p>
        </w:tc>
        <w:tc>
          <w:tcPr>
            <w:tcW w:w="6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(27)</w:t>
            </w:r>
          </w:p>
        </w:tc>
        <w:tc>
          <w:tcPr>
            <w:tcW w:w="8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(31)</w:t>
            </w:r>
          </w:p>
        </w:tc>
        <w:tc>
          <w:tcPr>
            <w:tcW w:w="80" w:type="dxa"/>
            <w:vAlign w:val="bottom"/>
            <w:tcBorders>
              <w:bottom w:val="single" w:sz="8" w:color="EDEDED"/>
            </w:tcBorders>
          </w:tcPr>
          <w:p>
            <w:pPr>
              <w:spacing w:after="0"/>
              <w:rPr>
                <w:sz w:val="24"/>
                <w:szCs w:val="24"/>
                <w:color w:val="auto"/>
              </w:rPr>
            </w:pPr>
          </w:p>
        </w:tc>
        <w:tc>
          <w:tcPr>
            <w:tcW w:w="280" w:type="dxa"/>
            <w:vAlign w:val="bottom"/>
            <w:tcBorders>
              <w:bottom w:val="single" w:sz="8" w:color="00162F"/>
            </w:tcBorders>
          </w:tcPr>
          <w:p>
            <w:pPr>
              <w:spacing w:after="0"/>
              <w:rPr>
                <w:sz w:val="24"/>
                <w:szCs w:val="24"/>
                <w:color w:val="auto"/>
              </w:rPr>
            </w:pPr>
          </w:p>
        </w:tc>
        <w:tc>
          <w:tcPr>
            <w:tcW w:w="8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(34)</w:t>
            </w:r>
          </w:p>
        </w:tc>
        <w:tc>
          <w:tcPr>
            <w:tcW w:w="0" w:type="dxa"/>
            <w:vAlign w:val="bottom"/>
          </w:tcPr>
          <w:p>
            <w:pPr>
              <w:spacing w:after="0"/>
              <w:rPr>
                <w:sz w:val="1"/>
                <w:szCs w:val="1"/>
                <w:color w:val="auto"/>
              </w:rPr>
            </w:pPr>
          </w:p>
        </w:tc>
      </w:tr>
      <w:tr>
        <w:trPr>
          <w:trHeight w:val="297"/>
        </w:trPr>
        <w:tc>
          <w:tcPr>
            <w:tcW w:w="40" w:type="dxa"/>
            <w:vAlign w:val="bottom"/>
            <w:tcBorders>
              <w:bottom w:val="single" w:sz="8" w:color="EDEDED"/>
            </w:tcBorders>
            <w:shd w:val="clear" w:color="auto" w:fill="EDEDED"/>
          </w:tcPr>
          <w:p>
            <w:pPr>
              <w:spacing w:after="0"/>
              <w:rPr>
                <w:sz w:val="24"/>
                <w:szCs w:val="24"/>
                <w:color w:val="auto"/>
              </w:rPr>
            </w:pPr>
          </w:p>
        </w:tc>
        <w:tc>
          <w:tcPr>
            <w:tcW w:w="3680" w:type="dxa"/>
            <w:vAlign w:val="bottom"/>
            <w:tcBorders>
              <w:bottom w:val="single" w:sz="8" w:color="EDEDED"/>
            </w:tcBorders>
            <w:gridSpan w:val="2"/>
            <w:shd w:val="clear" w:color="auto" w:fill="EDEDED"/>
          </w:tcPr>
          <w:p>
            <w:pPr>
              <w:spacing w:after="0"/>
              <w:rPr>
                <w:sz w:val="20"/>
                <w:szCs w:val="20"/>
                <w:color w:val="auto"/>
              </w:rPr>
            </w:pPr>
            <w:r>
              <w:rPr>
                <w:rFonts w:ascii="Arial" w:cs="Arial" w:eastAsia="Arial" w:hAnsi="Arial"/>
                <w:sz w:val="20"/>
                <w:szCs w:val="20"/>
                <w:color w:val="00162F"/>
              </w:rPr>
              <w:t>Net periodic benefit cost (income)</w:t>
            </w:r>
          </w:p>
        </w:tc>
        <w:tc>
          <w:tcPr>
            <w:tcW w:w="28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8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104)</w:t>
            </w:r>
          </w:p>
        </w:tc>
        <w:tc>
          <w:tcPr>
            <w:tcW w:w="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148)</w:t>
            </w:r>
          </w:p>
        </w:tc>
        <w:tc>
          <w:tcPr>
            <w:tcW w:w="6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00162F"/>
            </w:tcBorders>
            <w:shd w:val="clear" w:color="auto" w:fill="EDEDED"/>
          </w:tcPr>
          <w:p>
            <w:pPr>
              <w:spacing w:after="0"/>
              <w:rPr>
                <w:sz w:val="24"/>
                <w:szCs w:val="24"/>
                <w:color w:val="auto"/>
              </w:rPr>
            </w:pPr>
          </w:p>
        </w:tc>
        <w:tc>
          <w:tcPr>
            <w:tcW w:w="24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w w:val="89"/>
              </w:rPr>
              <w:t>$</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34)</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73</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66</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8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-231775</wp:posOffset>
            </wp:positionV>
            <wp:extent cx="3721100" cy="501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2">
                      <a:extLst>
                        <a:ext uri="{28A0092B-C50C-407E-A947-70E740481C1C}"/>
                      </a:extLst>
                    </a:blip>
                    <a:srcRect/>
                    <a:stretch>
                      <a:fillRect/>
                    </a:stretch>
                  </pic:blipFill>
                  <pic:spPr bwMode="auto">
                    <a:xfrm>
                      <a:off x="0" y="0"/>
                      <a:ext cx="3721100" cy="50165"/>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-55880</wp:posOffset>
            </wp:positionV>
            <wp:extent cx="4453255" cy="755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3">
                      <a:extLst>
                        <a:ext uri="{28A0092B-C50C-407E-A947-70E740481C1C}"/>
                      </a:extLst>
                    </a:blip>
                    <a:srcRect/>
                    <a:stretch>
                      <a:fillRect/>
                    </a:stretch>
                  </pic:blipFill>
                  <pic:spPr bwMode="auto">
                    <a:xfrm>
                      <a:off x="0" y="0"/>
                      <a:ext cx="4453255" cy="75565"/>
                    </a:xfrm>
                    <a:prstGeom prst="rect">
                      <a:avLst/>
                    </a:prstGeom>
                    <a:noFill/>
                  </pic:spPr>
                </pic:pic>
              </a:graphicData>
            </a:graphic>
          </wp:anchor>
        </w:drawing>
      </w:r>
    </w:p>
    <w:p>
      <w:pPr>
        <w:spacing w:after="0" w:line="172"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The service cost component of net periodic benefit cost (income) is included in operating expenses and the other components of net periodic benefit cost (income) are included in nonoperating other income (expense), net on our consolidated statements of operations.</w:t>
      </w:r>
    </w:p>
    <w:p>
      <w:pPr>
        <w:spacing w:after="0" w:line="219"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Assumptions</w:t>
      </w:r>
    </w:p>
    <w:p>
      <w:pPr>
        <w:spacing w:after="0" w:line="95"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The following actuarial assumptions were used to determine our benefit obligations and net periodic benefit cost (income) for the periods presented:</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
        <w:spacing w:after="0"/>
        <w:rPr>
          <w:sz w:val="20"/>
          <w:szCs w:val="20"/>
          <w:color w:val="auto"/>
        </w:rPr>
      </w:pPr>
      <w:r>
        <w:rPr>
          <w:rFonts w:ascii="Arial" w:cs="Arial" w:eastAsia="Arial" w:hAnsi="Arial"/>
          <w:sz w:val="20"/>
          <w:szCs w:val="20"/>
          <w:u w:val="single" w:color="auto"/>
          <w:color w:val="00162F"/>
        </w:rPr>
        <w:t>Benefit obligations as of December 31:</w:t>
      </w:r>
    </w:p>
    <w:p>
      <w:pPr>
        <w:spacing w:after="0" w:line="67" w:lineRule="exact"/>
        <w:rPr>
          <w:sz w:val="20"/>
          <w:szCs w:val="20"/>
          <w:color w:val="auto"/>
        </w:rPr>
      </w:pPr>
    </w:p>
    <w:p>
      <w:pPr>
        <w:ind w:left="45"/>
        <w:spacing w:after="0"/>
        <w:rPr>
          <w:sz w:val="20"/>
          <w:szCs w:val="20"/>
          <w:color w:val="auto"/>
        </w:rPr>
      </w:pPr>
      <w:r>
        <w:rPr>
          <w:rFonts w:ascii="Arial" w:cs="Arial" w:eastAsia="Arial" w:hAnsi="Arial"/>
          <w:sz w:val="20"/>
          <w:szCs w:val="20"/>
          <w:color w:val="00162F"/>
        </w:rPr>
        <w:t>Weighted average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 w:right="260"/>
        <w:spacing w:after="0" w:line="241" w:lineRule="auto"/>
        <w:rPr>
          <w:sz w:val="20"/>
          <w:szCs w:val="20"/>
          <w:color w:val="auto"/>
        </w:rPr>
      </w:pPr>
      <w:r>
        <w:rPr>
          <w:rFonts w:ascii="Arial" w:cs="Arial" w:eastAsia="Arial" w:hAnsi="Arial"/>
          <w:sz w:val="20"/>
          <w:szCs w:val="20"/>
          <w:u w:val="single" w:color="auto"/>
          <w:color w:val="00162F"/>
        </w:rPr>
        <w:t>Net periodic benefit cost (income) for the years ended December 31:</w:t>
      </w:r>
    </w:p>
    <w:p>
      <w:pPr>
        <w:spacing w:after="0" w:line="13" w:lineRule="exact"/>
        <w:rPr>
          <w:sz w:val="20"/>
          <w:szCs w:val="20"/>
          <w:color w:val="auto"/>
        </w:rPr>
      </w:pPr>
    </w:p>
    <w:p>
      <w:pPr>
        <w:ind w:left="45"/>
        <w:spacing w:after="0"/>
        <w:rPr>
          <w:sz w:val="20"/>
          <w:szCs w:val="20"/>
          <w:color w:val="auto"/>
        </w:rPr>
      </w:pPr>
      <w:r>
        <w:rPr>
          <w:rFonts w:ascii="Arial" w:cs="Arial" w:eastAsia="Arial" w:hAnsi="Arial"/>
          <w:sz w:val="20"/>
          <w:szCs w:val="20"/>
          <w:color w:val="00162F"/>
        </w:rPr>
        <w:t>Weighted average discount rate</w:t>
      </w:r>
    </w:p>
    <w:p>
      <w:pPr>
        <w:spacing w:after="0" w:line="67" w:lineRule="exact"/>
        <w:rPr>
          <w:sz w:val="20"/>
          <w:szCs w:val="20"/>
          <w:color w:val="auto"/>
        </w:rPr>
      </w:pPr>
    </w:p>
    <w:p>
      <w:pPr>
        <w:ind w:left="225" w:hanging="177"/>
        <w:spacing w:after="0" w:line="241" w:lineRule="auto"/>
        <w:rPr>
          <w:sz w:val="20"/>
          <w:szCs w:val="20"/>
          <w:color w:val="auto"/>
        </w:rPr>
      </w:pPr>
      <w:r>
        <w:rPr>
          <w:rFonts w:ascii="Arial" w:cs="Arial" w:eastAsia="Arial" w:hAnsi="Arial"/>
          <w:sz w:val="20"/>
          <w:szCs w:val="20"/>
          <w:color w:val="00162F"/>
        </w:rPr>
        <w:t>Weighted average expected rate of return on plan assets</w:t>
      </w:r>
    </w:p>
    <w:p>
      <w:pPr>
        <w:spacing w:after="0" w:line="53" w:lineRule="exact"/>
        <w:rPr>
          <w:sz w:val="20"/>
          <w:szCs w:val="20"/>
          <w:color w:val="auto"/>
        </w:rPr>
      </w:pPr>
    </w:p>
    <w:p>
      <w:pPr>
        <w:ind w:left="225" w:right="400" w:hanging="177"/>
        <w:spacing w:after="0" w:line="241" w:lineRule="auto"/>
        <w:rPr>
          <w:sz w:val="20"/>
          <w:szCs w:val="20"/>
          <w:color w:val="auto"/>
        </w:rPr>
      </w:pPr>
      <w:r>
        <w:rPr>
          <w:rFonts w:ascii="Arial" w:cs="Arial" w:eastAsia="Arial" w:hAnsi="Arial"/>
          <w:sz w:val="20"/>
          <w:szCs w:val="20"/>
          <w:color w:val="00162F"/>
        </w:rPr>
        <w:t xml:space="preserve">Weighted average health care cost trend rate assumed for next year </w:t>
      </w:r>
      <w:r>
        <w:rPr>
          <w:rFonts w:ascii="Arial" w:cs="Arial" w:eastAsia="Arial" w:hAnsi="Arial"/>
          <w:sz w:val="12"/>
          <w:szCs w:val="12"/>
          <w:color w:val="0016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125412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4">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84"/>
        </w:trPr>
        <w:tc>
          <w:tcPr>
            <w:tcW w:w="2780" w:type="dxa"/>
            <w:vAlign w:val="bottom"/>
            <w:gridSpan w:val="3"/>
            <w:vMerge w:val="restart"/>
          </w:tcPr>
          <w:p>
            <w:pPr>
              <w:jc w:val="right"/>
              <w:ind w:right="681"/>
              <w:spacing w:after="0"/>
              <w:rPr>
                <w:sz w:val="20"/>
                <w:szCs w:val="20"/>
                <w:color w:val="auto"/>
              </w:rPr>
            </w:pPr>
            <w:r>
              <w:rPr>
                <w:rFonts w:ascii="Arial" w:cs="Arial" w:eastAsia="Arial" w:hAnsi="Arial"/>
                <w:sz w:val="16"/>
                <w:szCs w:val="16"/>
                <w:b w:val="1"/>
                <w:bCs w:val="1"/>
                <w:color w:val="00162F"/>
              </w:rPr>
              <w:t>Pension Benefits</w:t>
            </w:r>
          </w:p>
        </w:tc>
        <w:tc>
          <w:tcPr>
            <w:tcW w:w="60" w:type="dxa"/>
            <w:vAlign w:val="bottom"/>
          </w:tcPr>
          <w:p>
            <w:pPr>
              <w:spacing w:after="0"/>
              <w:rPr>
                <w:sz w:val="16"/>
                <w:szCs w:val="16"/>
                <w:color w:val="auto"/>
              </w:rPr>
            </w:pPr>
          </w:p>
        </w:tc>
        <w:tc>
          <w:tcPr>
            <w:tcW w:w="2780" w:type="dxa"/>
            <w:vAlign w:val="bottom"/>
            <w:gridSpan w:val="3"/>
          </w:tcPr>
          <w:p>
            <w:pPr>
              <w:jc w:val="center"/>
              <w:spacing w:after="0"/>
              <w:rPr>
                <w:sz w:val="20"/>
                <w:szCs w:val="20"/>
                <w:color w:val="auto"/>
              </w:rPr>
            </w:pPr>
            <w:r>
              <w:rPr>
                <w:rFonts w:ascii="Arial" w:cs="Arial" w:eastAsia="Arial" w:hAnsi="Arial"/>
                <w:sz w:val="16"/>
                <w:szCs w:val="16"/>
                <w:b w:val="1"/>
                <w:bCs w:val="1"/>
                <w:color w:val="00162F"/>
                <w:w w:val="98"/>
              </w:rPr>
              <w:t>Retiree Medical and</w:t>
            </w:r>
          </w:p>
        </w:tc>
        <w:tc>
          <w:tcPr>
            <w:tcW w:w="0" w:type="dxa"/>
            <w:vAlign w:val="bottom"/>
          </w:tcPr>
          <w:p>
            <w:pPr>
              <w:spacing w:after="0"/>
              <w:rPr>
                <w:sz w:val="1"/>
                <w:szCs w:val="1"/>
                <w:color w:val="auto"/>
              </w:rPr>
            </w:pPr>
          </w:p>
        </w:tc>
      </w:tr>
      <w:tr>
        <w:trPr>
          <w:trHeight w:val="211"/>
        </w:trPr>
        <w:tc>
          <w:tcPr>
            <w:tcW w:w="2780" w:type="dxa"/>
            <w:vAlign w:val="bottom"/>
            <w:tcBorders>
              <w:bottom w:val="single" w:sz="8" w:color="00162F"/>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780" w:type="dxa"/>
            <w:vAlign w:val="bottom"/>
            <w:tcBorders>
              <w:bottom w:val="single" w:sz="8" w:color="00162F"/>
            </w:tcBorders>
            <w:gridSpan w:val="3"/>
          </w:tcPr>
          <w:p>
            <w:pPr>
              <w:jc w:val="center"/>
              <w:spacing w:after="0"/>
              <w:rPr>
                <w:sz w:val="20"/>
                <w:szCs w:val="20"/>
                <w:color w:val="auto"/>
              </w:rPr>
            </w:pPr>
            <w:r>
              <w:rPr>
                <w:rFonts w:ascii="Arial" w:cs="Arial" w:eastAsia="Arial" w:hAnsi="Arial"/>
                <w:sz w:val="16"/>
                <w:szCs w:val="16"/>
                <w:b w:val="1"/>
                <w:bCs w:val="1"/>
                <w:color w:val="00162F"/>
                <w:w w:val="98"/>
              </w:rPr>
              <w:t>Other Postretirement Benefits</w:t>
            </w:r>
          </w:p>
        </w:tc>
        <w:tc>
          <w:tcPr>
            <w:tcW w:w="0" w:type="dxa"/>
            <w:vAlign w:val="bottom"/>
          </w:tcPr>
          <w:p>
            <w:pPr>
              <w:spacing w:after="0"/>
              <w:rPr>
                <w:sz w:val="1"/>
                <w:szCs w:val="1"/>
                <w:color w:val="auto"/>
              </w:rPr>
            </w:pPr>
          </w:p>
        </w:tc>
      </w:tr>
      <w:tr>
        <w:trPr>
          <w:trHeight w:val="232"/>
        </w:trPr>
        <w:tc>
          <w:tcPr>
            <w:tcW w:w="1340" w:type="dxa"/>
            <w:vAlign w:val="bottom"/>
            <w:tcBorders>
              <w:bottom w:val="single" w:sz="8" w:color="00162F"/>
            </w:tcBorders>
          </w:tcPr>
          <w:p>
            <w:pPr>
              <w:jc w:val="right"/>
              <w:ind w:right="421"/>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rPr>
                <w:sz w:val="20"/>
                <w:szCs w:val="20"/>
                <w:color w:val="auto"/>
              </w:rPr>
            </w:pPr>
          </w:p>
        </w:tc>
        <w:tc>
          <w:tcPr>
            <w:tcW w:w="1360" w:type="dxa"/>
            <w:vAlign w:val="bottom"/>
            <w:tcBorders>
              <w:bottom w:val="single" w:sz="8" w:color="00162F"/>
            </w:tcBorders>
          </w:tcPr>
          <w:p>
            <w:pPr>
              <w:jc w:val="right"/>
              <w:ind w:right="421"/>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rPr>
                <w:sz w:val="20"/>
                <w:szCs w:val="20"/>
                <w:color w:val="auto"/>
              </w:rPr>
            </w:pPr>
          </w:p>
        </w:tc>
        <w:tc>
          <w:tcPr>
            <w:tcW w:w="1360" w:type="dxa"/>
            <w:vAlign w:val="bottom"/>
            <w:tcBorders>
              <w:bottom w:val="single" w:sz="8" w:color="00162F"/>
            </w:tcBorders>
          </w:tcPr>
          <w:p>
            <w:pPr>
              <w:jc w:val="right"/>
              <w:ind w:right="421"/>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rPr>
                <w:sz w:val="20"/>
                <w:szCs w:val="20"/>
                <w:color w:val="auto"/>
              </w:rPr>
            </w:pPr>
          </w:p>
        </w:tc>
        <w:tc>
          <w:tcPr>
            <w:tcW w:w="1340" w:type="dxa"/>
            <w:vAlign w:val="bottom"/>
            <w:tcBorders>
              <w:bottom w:val="single" w:sz="8" w:color="00162F"/>
            </w:tcBorders>
          </w:tcPr>
          <w:p>
            <w:pPr>
              <w:jc w:val="right"/>
              <w:ind w:right="421"/>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-31115</wp:posOffset>
            </wp:positionV>
            <wp:extent cx="6813550" cy="2139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5">
                      <a:extLst>
                        <a:ext uri="{28A0092B-C50C-407E-A947-70E740481C1C}"/>
                      </a:extLst>
                    </a:blip>
                    <a:srcRect/>
                    <a:stretch>
                      <a:fillRect/>
                    </a:stretch>
                  </pic:blipFill>
                  <pic:spPr bwMode="auto">
                    <a:xfrm>
                      <a:off x="0" y="0"/>
                      <a:ext cx="6813550" cy="21399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00" w:type="dxa"/>
            <w:vAlign w:val="bottom"/>
          </w:tcPr>
          <w:p>
            <w:pPr>
              <w:spacing w:after="0"/>
              <w:rPr>
                <w:sz w:val="22"/>
                <w:szCs w:val="22"/>
                <w:color w:val="auto"/>
              </w:rPr>
            </w:pPr>
          </w:p>
        </w:tc>
        <w:tc>
          <w:tcPr>
            <w:tcW w:w="1140" w:type="dxa"/>
            <w:vAlign w:val="bottom"/>
            <w:gridSpan w:val="3"/>
          </w:tcPr>
          <w:p>
            <w:pPr>
              <w:jc w:val="right"/>
              <w:ind w:right="571"/>
              <w:spacing w:after="0"/>
              <w:rPr>
                <w:sz w:val="20"/>
                <w:szCs w:val="20"/>
                <w:color w:val="auto"/>
              </w:rPr>
            </w:pPr>
            <w:r>
              <w:rPr>
                <w:rFonts w:ascii="Arial" w:cs="Arial" w:eastAsia="Arial" w:hAnsi="Arial"/>
                <w:sz w:val="20"/>
                <w:szCs w:val="20"/>
                <w:color w:val="00162F"/>
              </w:rPr>
              <w:t>5.5%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center"/>
              <w:ind w:right="85"/>
              <w:spacing w:after="0"/>
              <w:rPr>
                <w:sz w:val="20"/>
                <w:szCs w:val="20"/>
                <w:color w:val="auto"/>
              </w:rPr>
            </w:pPr>
            <w:r>
              <w:rPr>
                <w:rFonts w:ascii="Arial" w:cs="Arial" w:eastAsia="Arial" w:hAnsi="Arial"/>
                <w:sz w:val="20"/>
                <w:szCs w:val="20"/>
                <w:color w:val="00162F"/>
                <w:w w:val="96"/>
              </w:rPr>
              <w:t>5.7%</w:t>
            </w:r>
          </w:p>
        </w:tc>
        <w:tc>
          <w:tcPr>
            <w:tcW w:w="1260" w:type="dxa"/>
            <w:vAlign w:val="bottom"/>
            <w:gridSpan w:val="4"/>
          </w:tcPr>
          <w:p>
            <w:pPr>
              <w:jc w:val="right"/>
              <w:ind w:right="100"/>
              <w:spacing w:after="0"/>
              <w:rPr>
                <w:sz w:val="20"/>
                <w:szCs w:val="20"/>
                <w:color w:val="auto"/>
              </w:rPr>
            </w:pPr>
            <w:r>
              <w:rPr>
                <w:rFonts w:ascii="Arial" w:cs="Arial" w:eastAsia="Arial" w:hAnsi="Arial"/>
                <w:sz w:val="20"/>
                <w:szCs w:val="20"/>
                <w:color w:val="00162F"/>
              </w:rPr>
              <w:t>5.3%</w:t>
            </w:r>
          </w:p>
        </w:tc>
        <w:tc>
          <w:tcPr>
            <w:tcW w:w="760" w:type="dxa"/>
            <w:vAlign w:val="bottom"/>
          </w:tcPr>
          <w:p>
            <w:pPr>
              <w:spacing w:after="0"/>
              <w:rPr>
                <w:sz w:val="22"/>
                <w:szCs w:val="22"/>
                <w:color w:val="auto"/>
              </w:rPr>
            </w:pPr>
          </w:p>
        </w:tc>
        <w:tc>
          <w:tcPr>
            <w:tcW w:w="1000" w:type="dxa"/>
            <w:vAlign w:val="bottom"/>
            <w:gridSpan w:val="2"/>
          </w:tcPr>
          <w:p>
            <w:pPr>
              <w:jc w:val="right"/>
              <w:ind w:right="341"/>
              <w:spacing w:after="0"/>
              <w:rPr>
                <w:sz w:val="20"/>
                <w:szCs w:val="20"/>
                <w:color w:val="auto"/>
              </w:rPr>
            </w:pPr>
            <w:r>
              <w:rPr>
                <w:rFonts w:ascii="Arial" w:cs="Arial" w:eastAsia="Arial" w:hAnsi="Arial"/>
                <w:sz w:val="20"/>
                <w:szCs w:val="20"/>
                <w:color w:val="00162F"/>
              </w:rPr>
              <w:t>5.6%</w:t>
            </w:r>
          </w:p>
        </w:tc>
        <w:tc>
          <w:tcPr>
            <w:tcW w:w="0" w:type="dxa"/>
            <w:vAlign w:val="bottom"/>
          </w:tcPr>
          <w:p>
            <w:pPr>
              <w:spacing w:after="0"/>
              <w:rPr>
                <w:sz w:val="1"/>
                <w:szCs w:val="1"/>
                <w:color w:val="auto"/>
              </w:rPr>
            </w:pPr>
          </w:p>
        </w:tc>
      </w:tr>
      <w:tr>
        <w:trPr>
          <w:trHeight w:val="400"/>
        </w:trPr>
        <w:tc>
          <w:tcPr>
            <w:tcW w:w="800" w:type="dxa"/>
            <w:vAlign w:val="bottom"/>
          </w:tcPr>
          <w:p>
            <w:pPr>
              <w:spacing w:after="0"/>
              <w:rPr>
                <w:sz w:val="24"/>
                <w:szCs w:val="24"/>
                <w:color w:val="auto"/>
              </w:rPr>
            </w:pPr>
          </w:p>
        </w:tc>
        <w:tc>
          <w:tcPr>
            <w:tcW w:w="1380" w:type="dxa"/>
            <w:vAlign w:val="bottom"/>
            <w:gridSpan w:val="5"/>
            <w:vMerge w:val="restart"/>
          </w:tcPr>
          <w:p>
            <w:pPr>
              <w:jc w:val="center"/>
              <w:ind w:right="20"/>
              <w:spacing w:after="0"/>
              <w:rPr>
                <w:sz w:val="20"/>
                <w:szCs w:val="20"/>
                <w:color w:val="auto"/>
              </w:rPr>
            </w:pPr>
            <w:r>
              <w:rPr>
                <w:rFonts w:ascii="Arial" w:cs="Arial" w:eastAsia="Arial" w:hAnsi="Arial"/>
                <w:sz w:val="16"/>
                <w:szCs w:val="16"/>
                <w:b w:val="1"/>
                <w:bCs w:val="1"/>
                <w:color w:val="00162F"/>
                <w:w w:val="98"/>
              </w:rPr>
              <w:t>Pension Benefits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6"/>
          </w:tcPr>
          <w:p>
            <w:pPr>
              <w:jc w:val="center"/>
              <w:spacing w:after="0"/>
              <w:rPr>
                <w:sz w:val="20"/>
                <w:szCs w:val="20"/>
                <w:color w:val="auto"/>
              </w:rPr>
            </w:pPr>
            <w:r>
              <w:rPr>
                <w:rFonts w:ascii="Arial" w:cs="Arial" w:eastAsia="Arial" w:hAnsi="Arial"/>
                <w:sz w:val="16"/>
                <w:szCs w:val="16"/>
                <w:b w:val="1"/>
                <w:bCs w:val="1"/>
                <w:color w:val="00162F"/>
                <w:w w:val="99"/>
              </w:rPr>
              <w:t>Retiree Medical and</w:t>
            </w:r>
          </w:p>
        </w:tc>
        <w:tc>
          <w:tcPr>
            <w:tcW w:w="0" w:type="dxa"/>
            <w:vAlign w:val="bottom"/>
          </w:tcPr>
          <w:p>
            <w:pPr>
              <w:spacing w:after="0"/>
              <w:rPr>
                <w:sz w:val="1"/>
                <w:szCs w:val="1"/>
                <w:color w:val="auto"/>
              </w:rPr>
            </w:pPr>
          </w:p>
        </w:tc>
      </w:tr>
      <w:tr>
        <w:trPr>
          <w:trHeight w:val="211"/>
        </w:trPr>
        <w:tc>
          <w:tcPr>
            <w:tcW w:w="800" w:type="dxa"/>
            <w:vAlign w:val="bottom"/>
            <w:tcBorders>
              <w:bottom w:val="single" w:sz="8" w:color="00162F"/>
            </w:tcBorders>
          </w:tcPr>
          <w:p>
            <w:pPr>
              <w:spacing w:after="0"/>
              <w:rPr>
                <w:sz w:val="18"/>
                <w:szCs w:val="18"/>
                <w:color w:val="auto"/>
              </w:rPr>
            </w:pPr>
          </w:p>
        </w:tc>
        <w:tc>
          <w:tcPr>
            <w:tcW w:w="1380" w:type="dxa"/>
            <w:vAlign w:val="bottom"/>
            <w:tcBorders>
              <w:bottom w:val="single" w:sz="8" w:color="00162F"/>
            </w:tcBorders>
            <w:gridSpan w:val="5"/>
            <w:vMerge w:val="continue"/>
          </w:tcPr>
          <w:p>
            <w:pPr>
              <w:spacing w:after="0"/>
              <w:rPr>
                <w:sz w:val="18"/>
                <w:szCs w:val="18"/>
                <w:color w:val="auto"/>
              </w:rPr>
            </w:pPr>
          </w:p>
        </w:tc>
        <w:tc>
          <w:tcPr>
            <w:tcW w:w="780" w:type="dxa"/>
            <w:vAlign w:val="bottom"/>
            <w:tcBorders>
              <w:bottom w:val="single" w:sz="8" w:color="00162F"/>
            </w:tcBorders>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tcBorders>
              <w:bottom w:val="single" w:sz="8" w:color="00162F"/>
            </w:tcBorders>
            <w:gridSpan w:val="6"/>
          </w:tcPr>
          <w:p>
            <w:pPr>
              <w:jc w:val="center"/>
              <w:spacing w:after="0"/>
              <w:rPr>
                <w:sz w:val="20"/>
                <w:szCs w:val="20"/>
                <w:color w:val="auto"/>
              </w:rPr>
            </w:pPr>
            <w:r>
              <w:rPr>
                <w:rFonts w:ascii="Arial" w:cs="Arial" w:eastAsia="Arial" w:hAnsi="Arial"/>
                <w:sz w:val="16"/>
                <w:szCs w:val="16"/>
                <w:b w:val="1"/>
                <w:bCs w:val="1"/>
                <w:color w:val="00162F"/>
                <w:w w:val="99"/>
              </w:rPr>
              <w:t>Other Postretirement Benefits</w:t>
            </w:r>
          </w:p>
        </w:tc>
        <w:tc>
          <w:tcPr>
            <w:tcW w:w="0" w:type="dxa"/>
            <w:vAlign w:val="bottom"/>
          </w:tcPr>
          <w:p>
            <w:pPr>
              <w:spacing w:after="0"/>
              <w:rPr>
                <w:sz w:val="1"/>
                <w:szCs w:val="1"/>
                <w:color w:val="auto"/>
              </w:rPr>
            </w:pPr>
          </w:p>
        </w:tc>
      </w:tr>
      <w:tr>
        <w:trPr>
          <w:trHeight w:val="232"/>
        </w:trPr>
        <w:tc>
          <w:tcPr>
            <w:tcW w:w="800" w:type="dxa"/>
            <w:vAlign w:val="bottom"/>
            <w:tcBorders>
              <w:bottom w:val="single" w:sz="8" w:color="00162F"/>
            </w:tcBorders>
          </w:tcPr>
          <w:p>
            <w:pPr>
              <w:ind w:left="300"/>
              <w:spacing w:after="0"/>
              <w:rPr>
                <w:sz w:val="20"/>
                <w:szCs w:val="20"/>
                <w:color w:val="auto"/>
              </w:rPr>
            </w:pPr>
            <w:r>
              <w:rPr>
                <w:rFonts w:ascii="Arial" w:cs="Arial" w:eastAsia="Arial" w:hAnsi="Arial"/>
                <w:sz w:val="16"/>
                <w:szCs w:val="16"/>
                <w:b w:val="1"/>
                <w:bCs w:val="1"/>
                <w:color w:val="00162F"/>
              </w:rPr>
              <w:t>2025</w:t>
            </w:r>
          </w:p>
        </w:tc>
        <w:tc>
          <w:tcPr>
            <w:tcW w:w="140" w:type="dxa"/>
            <w:vAlign w:val="bottom"/>
            <w:tcBorders>
              <w:bottom w:val="single" w:sz="8" w:color="00162F"/>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rPr>
              <w:t>2024</w:t>
            </w:r>
          </w:p>
        </w:tc>
        <w:tc>
          <w:tcPr>
            <w:tcW w:w="80" w:type="dxa"/>
            <w:vAlign w:val="bottom"/>
          </w:tcPr>
          <w:p>
            <w:pPr>
              <w:spacing w:after="0"/>
              <w:rPr>
                <w:sz w:val="20"/>
                <w:szCs w:val="20"/>
                <w:color w:val="auto"/>
              </w:rPr>
            </w:pPr>
          </w:p>
        </w:tc>
        <w:tc>
          <w:tcPr>
            <w:tcW w:w="160" w:type="dxa"/>
            <w:vAlign w:val="bottom"/>
            <w:tcBorders>
              <w:bottom w:val="single" w:sz="8" w:color="00162F"/>
            </w:tcBorders>
          </w:tcPr>
          <w:p>
            <w:pPr>
              <w:spacing w:after="0"/>
              <w:rPr>
                <w:sz w:val="20"/>
                <w:szCs w:val="20"/>
                <w:color w:val="auto"/>
              </w:rPr>
            </w:pPr>
          </w:p>
        </w:tc>
        <w:tc>
          <w:tcPr>
            <w:tcW w:w="780" w:type="dxa"/>
            <w:vAlign w:val="bottom"/>
            <w:tcBorders>
              <w:bottom w:val="single" w:sz="8" w:color="00162F"/>
            </w:tcBorders>
          </w:tcPr>
          <w:p>
            <w:pPr>
              <w:jc w:val="center"/>
              <w:ind w:right="65"/>
              <w:spacing w:after="0"/>
              <w:rPr>
                <w:sz w:val="20"/>
                <w:szCs w:val="20"/>
                <w:color w:val="auto"/>
              </w:rPr>
            </w:pPr>
            <w:r>
              <w:rPr>
                <w:rFonts w:ascii="Arial" w:cs="Arial" w:eastAsia="Arial" w:hAnsi="Arial"/>
                <w:sz w:val="16"/>
                <w:szCs w:val="16"/>
                <w:b w:val="1"/>
                <w:bCs w:val="1"/>
                <w:color w:val="00162F"/>
                <w:w w:val="95"/>
              </w:rPr>
              <w:t>2023</w:t>
            </w:r>
          </w:p>
        </w:tc>
        <w:tc>
          <w:tcPr>
            <w:tcW w:w="80" w:type="dxa"/>
            <w:vAlign w:val="bottom"/>
          </w:tcPr>
          <w:p>
            <w:pPr>
              <w:spacing w:after="0"/>
              <w:rPr>
                <w:sz w:val="20"/>
                <w:szCs w:val="20"/>
                <w:color w:val="auto"/>
              </w:rPr>
            </w:pPr>
          </w:p>
        </w:tc>
        <w:tc>
          <w:tcPr>
            <w:tcW w:w="920" w:type="dxa"/>
            <w:vAlign w:val="bottom"/>
            <w:tcBorders>
              <w:bottom w:val="single" w:sz="8" w:color="00162F"/>
            </w:tcBorders>
          </w:tcPr>
          <w:p>
            <w:pPr>
              <w:jc w:val="right"/>
              <w:ind w:right="201"/>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center"/>
              <w:ind w:right="86"/>
              <w:spacing w:after="0"/>
              <w:rPr>
                <w:sz w:val="20"/>
                <w:szCs w:val="20"/>
                <w:color w:val="auto"/>
              </w:rPr>
            </w:pPr>
            <w:r>
              <w:rPr>
                <w:rFonts w:ascii="Arial" w:cs="Arial" w:eastAsia="Arial" w:hAnsi="Arial"/>
                <w:sz w:val="16"/>
                <w:szCs w:val="16"/>
                <w:b w:val="1"/>
                <w:bCs w:val="1"/>
                <w:color w:val="00162F"/>
                <w:w w:val="95"/>
              </w:rPr>
              <w:t>2024</w:t>
            </w:r>
          </w:p>
        </w:tc>
        <w:tc>
          <w:tcPr>
            <w:tcW w:w="60" w:type="dxa"/>
            <w:vAlign w:val="bottom"/>
          </w:tcPr>
          <w:p>
            <w:pPr>
              <w:spacing w:after="0"/>
              <w:rPr>
                <w:sz w:val="20"/>
                <w:szCs w:val="20"/>
                <w:color w:val="auto"/>
              </w:rPr>
            </w:pPr>
          </w:p>
        </w:tc>
        <w:tc>
          <w:tcPr>
            <w:tcW w:w="940" w:type="dxa"/>
            <w:vAlign w:val="bottom"/>
            <w:tcBorders>
              <w:bottom w:val="single" w:sz="8" w:color="00162F"/>
            </w:tcBorders>
          </w:tcPr>
          <w:p>
            <w:pPr>
              <w:ind w:left="300"/>
              <w:spacing w:after="0"/>
              <w:rPr>
                <w:sz w:val="20"/>
                <w:szCs w:val="20"/>
                <w:color w:val="auto"/>
              </w:rPr>
            </w:pPr>
            <w:r>
              <w:rPr>
                <w:rFonts w:ascii="Arial" w:cs="Arial" w:eastAsia="Arial" w:hAnsi="Arial"/>
                <w:sz w:val="16"/>
                <w:szCs w:val="16"/>
                <w:b w:val="1"/>
                <w:bCs w:val="1"/>
                <w:color w:val="00162F"/>
              </w:rPr>
              <w:t>2023</w:t>
            </w:r>
          </w:p>
        </w:tc>
        <w:tc>
          <w:tcPr>
            <w:tcW w:w="0" w:type="dxa"/>
            <w:vAlign w:val="bottom"/>
          </w:tcPr>
          <w:p>
            <w:pPr>
              <w:spacing w:after="0"/>
              <w:rPr>
                <w:sz w:val="1"/>
                <w:szCs w:val="1"/>
                <w:color w:val="auto"/>
              </w:rPr>
            </w:pPr>
          </w:p>
        </w:tc>
      </w:tr>
      <w:tr>
        <w:trPr>
          <w:trHeight w:val="755"/>
        </w:trPr>
        <w:tc>
          <w:tcPr>
            <w:tcW w:w="800" w:type="dxa"/>
            <w:vAlign w:val="bottom"/>
          </w:tcPr>
          <w:p>
            <w:pPr>
              <w:jc w:val="right"/>
              <w:spacing w:after="0"/>
              <w:rPr>
                <w:sz w:val="20"/>
                <w:szCs w:val="20"/>
                <w:color w:val="auto"/>
              </w:rPr>
            </w:pPr>
            <w:r>
              <w:rPr>
                <w:rFonts w:ascii="Arial" w:cs="Arial" w:eastAsia="Arial" w:hAnsi="Arial"/>
                <w:sz w:val="20"/>
                <w:szCs w:val="20"/>
                <w:color w:val="00162F"/>
              </w:rPr>
              <w:t>5.7%</w:t>
            </w:r>
          </w:p>
        </w:tc>
        <w:tc>
          <w:tcPr>
            <w:tcW w:w="1140" w:type="dxa"/>
            <w:vAlign w:val="bottom"/>
            <w:gridSpan w:val="3"/>
          </w:tcPr>
          <w:p>
            <w:pPr>
              <w:jc w:val="center"/>
              <w:ind w:left="166"/>
              <w:spacing w:after="0"/>
              <w:rPr>
                <w:sz w:val="20"/>
                <w:szCs w:val="20"/>
                <w:color w:val="auto"/>
              </w:rPr>
            </w:pPr>
            <w:r>
              <w:rPr>
                <w:rFonts w:ascii="Arial" w:cs="Arial" w:eastAsia="Arial" w:hAnsi="Arial"/>
                <w:sz w:val="20"/>
                <w:szCs w:val="20"/>
                <w:color w:val="00162F"/>
                <w:w w:val="96"/>
              </w:rPr>
              <w:t>5.2%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ind w:right="25"/>
              <w:spacing w:after="0"/>
              <w:rPr>
                <w:sz w:val="20"/>
                <w:szCs w:val="20"/>
                <w:color w:val="auto"/>
              </w:rPr>
            </w:pPr>
            <w:r>
              <w:rPr>
                <w:rFonts w:ascii="Arial" w:cs="Arial" w:eastAsia="Arial" w:hAnsi="Arial"/>
                <w:sz w:val="20"/>
                <w:szCs w:val="20"/>
                <w:color w:val="00162F"/>
              </w:rPr>
              <w:t>5.6%</w:t>
            </w:r>
          </w:p>
        </w:tc>
        <w:tc>
          <w:tcPr>
            <w:tcW w:w="1000" w:type="dxa"/>
            <w:vAlign w:val="bottom"/>
            <w:gridSpan w:val="2"/>
          </w:tcPr>
          <w:p>
            <w:pPr>
              <w:jc w:val="center"/>
              <w:ind w:left="21"/>
              <w:spacing w:after="0"/>
              <w:rPr>
                <w:sz w:val="20"/>
                <w:szCs w:val="20"/>
                <w:color w:val="auto"/>
              </w:rPr>
            </w:pPr>
            <w:r>
              <w:rPr>
                <w:rFonts w:ascii="Arial" w:cs="Arial" w:eastAsia="Arial" w:hAnsi="Arial"/>
                <w:sz w:val="20"/>
                <w:szCs w:val="20"/>
                <w:color w:val="00162F"/>
                <w:w w:val="96"/>
              </w:rPr>
              <w:t>5.6%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ind w:right="46"/>
              <w:spacing w:after="0"/>
              <w:rPr>
                <w:sz w:val="20"/>
                <w:szCs w:val="20"/>
                <w:color w:val="auto"/>
              </w:rPr>
            </w:pPr>
            <w:r>
              <w:rPr>
                <w:rFonts w:ascii="Arial" w:cs="Arial" w:eastAsia="Arial" w:hAnsi="Arial"/>
                <w:sz w:val="20"/>
                <w:szCs w:val="20"/>
                <w:color w:val="00162F"/>
              </w:rPr>
              <w:t>5.3%</w:t>
            </w:r>
          </w:p>
        </w:tc>
        <w:tc>
          <w:tcPr>
            <w:tcW w:w="1000" w:type="dxa"/>
            <w:vAlign w:val="bottom"/>
            <w:gridSpan w:val="2"/>
          </w:tcPr>
          <w:p>
            <w:pPr>
              <w:ind w:left="340"/>
              <w:spacing w:after="0"/>
              <w:rPr>
                <w:sz w:val="20"/>
                <w:szCs w:val="20"/>
                <w:color w:val="auto"/>
              </w:rPr>
            </w:pPr>
            <w:r>
              <w:rPr>
                <w:rFonts w:ascii="Arial" w:cs="Arial" w:eastAsia="Arial" w:hAnsi="Arial"/>
                <w:sz w:val="20"/>
                <w:szCs w:val="20"/>
                <w:color w:val="00162F"/>
              </w:rPr>
              <w:t>5.7%</w:t>
            </w:r>
          </w:p>
        </w:tc>
        <w:tc>
          <w:tcPr>
            <w:tcW w:w="0" w:type="dxa"/>
            <w:vAlign w:val="bottom"/>
          </w:tcPr>
          <w:p>
            <w:pPr>
              <w:spacing w:after="0"/>
              <w:rPr>
                <w:sz w:val="1"/>
                <w:szCs w:val="1"/>
                <w:color w:val="auto"/>
              </w:rPr>
            </w:pPr>
          </w:p>
        </w:tc>
      </w:tr>
      <w:tr>
        <w:trPr>
          <w:trHeight w:val="490"/>
        </w:trPr>
        <w:tc>
          <w:tcPr>
            <w:tcW w:w="800" w:type="dxa"/>
            <w:vAlign w:val="bottom"/>
          </w:tcPr>
          <w:p>
            <w:pPr>
              <w:jc w:val="right"/>
              <w:spacing w:after="0"/>
              <w:rPr>
                <w:sz w:val="20"/>
                <w:szCs w:val="20"/>
                <w:color w:val="auto"/>
              </w:rPr>
            </w:pPr>
            <w:r>
              <w:rPr>
                <w:rFonts w:ascii="Arial" w:cs="Arial" w:eastAsia="Arial" w:hAnsi="Arial"/>
                <w:sz w:val="20"/>
                <w:szCs w:val="20"/>
                <w:color w:val="00162F"/>
              </w:rPr>
              <w:t>7.75%</w:t>
            </w:r>
          </w:p>
        </w:tc>
        <w:tc>
          <w:tcPr>
            <w:tcW w:w="1140" w:type="dxa"/>
            <w:vAlign w:val="bottom"/>
            <w:gridSpan w:val="3"/>
          </w:tcPr>
          <w:p>
            <w:pPr>
              <w:jc w:val="center"/>
              <w:ind w:left="166"/>
              <w:spacing w:after="0"/>
              <w:rPr>
                <w:sz w:val="20"/>
                <w:szCs w:val="20"/>
                <w:color w:val="auto"/>
              </w:rPr>
            </w:pPr>
            <w:r>
              <w:rPr>
                <w:rFonts w:ascii="Arial" w:cs="Arial" w:eastAsia="Arial" w:hAnsi="Arial"/>
                <w:sz w:val="20"/>
                <w:szCs w:val="20"/>
                <w:color w:val="00162F"/>
                <w:w w:val="96"/>
              </w:rPr>
              <w:t>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ind w:right="25"/>
              <w:spacing w:after="0"/>
              <w:rPr>
                <w:sz w:val="20"/>
                <w:szCs w:val="20"/>
                <w:color w:val="auto"/>
              </w:rPr>
            </w:pPr>
            <w:r>
              <w:rPr>
                <w:rFonts w:ascii="Arial" w:cs="Arial" w:eastAsia="Arial" w:hAnsi="Arial"/>
                <w:sz w:val="20"/>
                <w:szCs w:val="20"/>
                <w:color w:val="00162F"/>
              </w:rPr>
              <w:t>8.0%</w:t>
            </w:r>
          </w:p>
        </w:tc>
        <w:tc>
          <w:tcPr>
            <w:tcW w:w="1000" w:type="dxa"/>
            <w:vAlign w:val="bottom"/>
            <w:gridSpan w:val="2"/>
          </w:tcPr>
          <w:p>
            <w:pPr>
              <w:jc w:val="center"/>
              <w:ind w:left="21"/>
              <w:spacing w:after="0"/>
              <w:rPr>
                <w:sz w:val="20"/>
                <w:szCs w:val="20"/>
                <w:color w:val="auto"/>
              </w:rPr>
            </w:pPr>
            <w:r>
              <w:rPr>
                <w:rFonts w:ascii="Arial" w:cs="Arial" w:eastAsia="Arial" w:hAnsi="Arial"/>
                <w:sz w:val="20"/>
                <w:szCs w:val="20"/>
                <w:color w:val="00162F"/>
                <w:w w:val="98"/>
              </w:rPr>
              <w:t>7.75%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ind w:right="46"/>
              <w:spacing w:after="0"/>
              <w:rPr>
                <w:sz w:val="20"/>
                <w:szCs w:val="20"/>
                <w:color w:val="auto"/>
              </w:rPr>
            </w:pPr>
            <w:r>
              <w:rPr>
                <w:rFonts w:ascii="Arial" w:cs="Arial" w:eastAsia="Arial" w:hAnsi="Arial"/>
                <w:sz w:val="20"/>
                <w:szCs w:val="20"/>
                <w:color w:val="00162F"/>
              </w:rPr>
              <w:t>8.0%</w:t>
            </w:r>
          </w:p>
        </w:tc>
        <w:tc>
          <w:tcPr>
            <w:tcW w:w="1000" w:type="dxa"/>
            <w:vAlign w:val="bottom"/>
            <w:gridSpan w:val="2"/>
          </w:tcPr>
          <w:p>
            <w:pPr>
              <w:ind w:left="340"/>
              <w:spacing w:after="0"/>
              <w:rPr>
                <w:sz w:val="20"/>
                <w:szCs w:val="20"/>
                <w:color w:val="auto"/>
              </w:rPr>
            </w:pPr>
            <w:r>
              <w:rPr>
                <w:rFonts w:ascii="Arial" w:cs="Arial" w:eastAsia="Arial" w:hAnsi="Arial"/>
                <w:sz w:val="20"/>
                <w:szCs w:val="20"/>
                <w:color w:val="00162F"/>
              </w:rPr>
              <w:t>8.0%</w:t>
            </w:r>
          </w:p>
        </w:tc>
        <w:tc>
          <w:tcPr>
            <w:tcW w:w="0" w:type="dxa"/>
            <w:vAlign w:val="bottom"/>
          </w:tcPr>
          <w:p>
            <w:pPr>
              <w:spacing w:after="0"/>
              <w:rPr>
                <w:sz w:val="1"/>
                <w:szCs w:val="1"/>
                <w:color w:val="auto"/>
              </w:rPr>
            </w:pPr>
          </w:p>
        </w:tc>
      </w:tr>
      <w:tr>
        <w:trPr>
          <w:trHeight w:val="490"/>
        </w:trPr>
        <w:tc>
          <w:tcPr>
            <w:tcW w:w="800" w:type="dxa"/>
            <w:vAlign w:val="bottom"/>
          </w:tcPr>
          <w:p>
            <w:pPr>
              <w:ind w:left="300"/>
              <w:spacing w:after="0"/>
              <w:rPr>
                <w:sz w:val="20"/>
                <w:szCs w:val="20"/>
                <w:color w:val="auto"/>
              </w:rPr>
            </w:pPr>
            <w:r>
              <w:rPr>
                <w:rFonts w:ascii="Arial" w:cs="Arial" w:eastAsia="Arial" w:hAnsi="Arial"/>
                <w:sz w:val="20"/>
                <w:szCs w:val="20"/>
                <w:color w:val="00162F"/>
              </w:rPr>
              <w:t>N/A</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20"/>
                <w:szCs w:val="20"/>
                <w:color w:val="00162F"/>
                <w:w w:val="95"/>
              </w:rPr>
              <w:t>N/A</w:t>
            </w:r>
          </w:p>
        </w:tc>
        <w:tc>
          <w:tcPr>
            <w:tcW w:w="780" w:type="dxa"/>
            <w:vAlign w:val="bottom"/>
          </w:tcPr>
          <w:p>
            <w:pPr>
              <w:jc w:val="center"/>
              <w:ind w:right="65"/>
              <w:spacing w:after="0"/>
              <w:rPr>
                <w:sz w:val="20"/>
                <w:szCs w:val="20"/>
                <w:color w:val="auto"/>
              </w:rPr>
            </w:pPr>
            <w:r>
              <w:rPr>
                <w:rFonts w:ascii="Arial" w:cs="Arial" w:eastAsia="Arial" w:hAnsi="Arial"/>
                <w:sz w:val="20"/>
                <w:szCs w:val="20"/>
                <w:color w:val="00162F"/>
              </w:rPr>
              <w:t>N/A</w:t>
            </w:r>
          </w:p>
        </w:tc>
        <w:tc>
          <w:tcPr>
            <w:tcW w:w="1000" w:type="dxa"/>
            <w:vAlign w:val="bottom"/>
            <w:gridSpan w:val="2"/>
          </w:tcPr>
          <w:p>
            <w:pPr>
              <w:jc w:val="center"/>
              <w:ind w:left="21"/>
              <w:spacing w:after="0"/>
              <w:rPr>
                <w:sz w:val="20"/>
                <w:szCs w:val="20"/>
                <w:color w:val="auto"/>
              </w:rPr>
            </w:pPr>
            <w:r>
              <w:rPr>
                <w:rFonts w:ascii="Arial" w:cs="Arial" w:eastAsia="Arial" w:hAnsi="Arial"/>
                <w:sz w:val="20"/>
                <w:szCs w:val="20"/>
                <w:color w:val="00162F"/>
                <w:w w:val="96"/>
              </w:rPr>
              <w:t>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ind w:right="46"/>
              <w:spacing w:after="0"/>
              <w:rPr>
                <w:sz w:val="20"/>
                <w:szCs w:val="20"/>
                <w:color w:val="auto"/>
              </w:rPr>
            </w:pPr>
            <w:r>
              <w:rPr>
                <w:rFonts w:ascii="Arial" w:cs="Arial" w:eastAsia="Arial" w:hAnsi="Arial"/>
                <w:sz w:val="20"/>
                <w:szCs w:val="20"/>
                <w:color w:val="00162F"/>
              </w:rPr>
              <w:t>6.5%</w:t>
            </w:r>
          </w:p>
        </w:tc>
        <w:tc>
          <w:tcPr>
            <w:tcW w:w="1000" w:type="dxa"/>
            <w:vAlign w:val="bottom"/>
            <w:gridSpan w:val="2"/>
          </w:tcPr>
          <w:p>
            <w:pPr>
              <w:ind w:left="340"/>
              <w:spacing w:after="0"/>
              <w:rPr>
                <w:sz w:val="20"/>
                <w:szCs w:val="20"/>
                <w:color w:val="auto"/>
              </w:rPr>
            </w:pPr>
            <w:r>
              <w:rPr>
                <w:rFonts w:ascii="Arial" w:cs="Arial" w:eastAsia="Arial" w:hAnsi="Arial"/>
                <w:sz w:val="20"/>
                <w:szCs w:val="20"/>
                <w:color w:val="00162F"/>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-617220</wp:posOffset>
            </wp:positionV>
            <wp:extent cx="6788150" cy="3111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6">
                      <a:extLst>
                        <a:ext uri="{28A0092B-C50C-407E-A947-70E740481C1C}"/>
                      </a:extLst>
                    </a:blip>
                    <a:srcRect/>
                    <a:stretch>
                      <a:fillRect/>
                    </a:stretch>
                  </pic:blipFill>
                  <pic:spPr bwMode="auto">
                    <a:xfrm>
                      <a:off x="0" y="0"/>
                      <a:ext cx="6788150" cy="311150"/>
                    </a:xfrm>
                    <a:prstGeom prst="rect">
                      <a:avLst/>
                    </a:prstGeom>
                    <a:noFill/>
                  </pic:spPr>
                </pic:pic>
              </a:graphicData>
            </a:graphic>
          </wp:anchor>
        </w:drawing>
        <w:drawing>
          <wp:anchor simplePos="0" relativeHeight="251657728" behindDoc="1" locked="0" layoutInCell="0" allowOverlap="1">
            <wp:simplePos x="0" y="0"/>
            <wp:positionH relativeFrom="column">
              <wp:posOffset>-2987040</wp:posOffset>
            </wp:positionH>
            <wp:positionV relativeFrom="paragraph">
              <wp:posOffset>-1132205</wp:posOffset>
            </wp:positionV>
            <wp:extent cx="6813550" cy="3270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7">
                      <a:extLst>
                        <a:ext uri="{28A0092B-C50C-407E-A947-70E740481C1C}"/>
                      </a:extLst>
                    </a:blip>
                    <a:srcRect/>
                    <a:stretch>
                      <a:fillRect/>
                    </a:stretch>
                  </pic:blipFill>
                  <pic:spPr bwMode="auto">
                    <a:xfrm>
                      <a:off x="0" y="0"/>
                      <a:ext cx="6813550" cy="32702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405" w:space="300"/>
            <w:col w:w="5980"/>
          </w:cols>
          <w:pgMar w:left="595" w:top="487" w:right="600" w:bottom="0" w:gutter="0" w:footer="0" w:header="0"/>
          <w:type w:val="continuous"/>
        </w:sectPr>
      </w:pPr>
    </w:p>
    <w:p>
      <w:pPr>
        <w:spacing w:after="0" w:line="24" w:lineRule="exact"/>
        <w:rPr>
          <w:sz w:val="20"/>
          <w:szCs w:val="20"/>
          <w:color w:val="auto"/>
        </w:rPr>
      </w:pPr>
    </w:p>
    <w:p>
      <w:pPr>
        <w:ind w:left="365" w:hanging="365"/>
        <w:spacing w:after="0" w:line="282" w:lineRule="auto"/>
        <w:tabs>
          <w:tab w:leader="none" w:pos="365" w:val="left"/>
        </w:tabs>
        <w:numPr>
          <w:ilvl w:val="0"/>
          <w:numId w:val="55"/>
        </w:numPr>
        <w:rPr>
          <w:rFonts w:ascii="Arial" w:cs="Arial" w:eastAsia="Arial" w:hAnsi="Arial"/>
          <w:sz w:val="13"/>
          <w:szCs w:val="13"/>
          <w:color w:val="00162F"/>
        </w:rPr>
      </w:pPr>
      <w:r>
        <w:rPr>
          <w:rFonts w:ascii="Arial" w:cs="Arial" w:eastAsia="Arial" w:hAnsi="Arial"/>
          <w:sz w:val="20"/>
          <w:szCs w:val="20"/>
          <w:color w:val="00162F"/>
        </w:rPr>
        <w:t>The weighted average health care cost trend rate at December 31, 2025 is assumed to decline gradually to 4.5% by 2036 and remain level thereafter.</w:t>
      </w:r>
    </w:p>
    <w:p>
      <w:pPr>
        <w:spacing w:after="0" w:line="113"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As of January 1, 2026, our estimate of the long-term rate of return on plan assets is 7.3%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10 years, current and expected market conditions, and expected value to be generated through active management and securities lending programs.</w:t>
      </w:r>
    </w:p>
    <w:p>
      <w:pPr>
        <w:sectPr>
          <w:pgSz w:w="11880" w:h="15480" w:orient="portrait"/>
          <w:cols w:equalWidth="0" w:num="1">
            <w:col w:w="10685"/>
          </w:cols>
          <w:pgMar w:left="595" w:top="487"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114</w:t>
      </w:r>
    </w:p>
    <w:p>
      <w:pPr>
        <w:sectPr>
          <w:pgSz w:w="11880" w:h="15480" w:orient="portrait"/>
          <w:cols w:equalWidth="0" w:num="1">
            <w:col w:w="10685"/>
          </w:cols>
          <w:pgMar w:left="595" w:top="487" w:right="600" w:bottom="0" w:gutter="0" w:footer="0" w:header="0"/>
          <w:type w:val="continuous"/>
        </w:sectPr>
      </w:pPr>
    </w:p>
    <w:bookmarkStart w:id="115" w:name="page116"/>
    <w:bookmarkEnd w:id="115"/>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Minimum Contributions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We are required to make minimum contributions to our defined benefit pension plans under the minimum funding requirements of the Employee Retirement Income Security Act of 1974 (ERISA) and various other laws for U.S. based plans as well as underfunding rules specific to countries where we maintain defined benefit pension plans. Based on current funding assumptions, we have minimum required contributions of $238 million for 2026 including contributions to defined benefit pension plans for our wholly-owned subsidiaries. Our future funding obligations will depend on the performance of our investments held in a trust by the pension plans, interest rates for determining funding targets, the amount of and timing of any supplemental contributions and our actuarial experience.</w:t>
      </w:r>
    </w:p>
    <w:p>
      <w:pPr>
        <w:spacing w:after="0" w:line="144"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In January 2026, we made required contributions of $236 million and a supplemental contribution of $50 million to our defined benefit pension plans.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Benefit Payments</w:t>
      </w:r>
    </w:p>
    <w:p>
      <w:pPr>
        <w:spacing w:after="0" w:line="95"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following benefit payments, which reflect expected future service as appropriate, are expected to be paid (approximately,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Borders>
              <w:bottom w:val="single" w:sz="8" w:color="EDEDED"/>
            </w:tcBorders>
          </w:tcPr>
          <w:p>
            <w:pPr>
              <w:spacing w:after="0"/>
              <w:rPr>
                <w:sz w:val="18"/>
                <w:szCs w:val="18"/>
                <w:color w:val="auto"/>
              </w:rPr>
            </w:pPr>
          </w:p>
        </w:tc>
        <w:tc>
          <w:tcPr>
            <w:tcW w:w="820" w:type="dxa"/>
            <w:vAlign w:val="bottom"/>
            <w:tcBorders>
              <w:bottom w:val="single" w:sz="8" w:color="00162F"/>
            </w:tcBorders>
          </w:tcPr>
          <w:p>
            <w:pPr>
              <w:jc w:val="right"/>
              <w:ind w:right="148"/>
              <w:spacing w:after="0"/>
              <w:rPr>
                <w:sz w:val="20"/>
                <w:szCs w:val="20"/>
                <w:color w:val="auto"/>
              </w:rPr>
            </w:pPr>
            <w:r>
              <w:rPr>
                <w:rFonts w:ascii="Arial" w:cs="Arial" w:eastAsia="Arial" w:hAnsi="Arial"/>
                <w:sz w:val="16"/>
                <w:szCs w:val="16"/>
                <w:b w:val="1"/>
                <w:bCs w:val="1"/>
                <w:color w:val="00162F"/>
              </w:rPr>
              <w:t>2026</w:t>
            </w:r>
          </w:p>
        </w:tc>
        <w:tc>
          <w:tcPr>
            <w:tcW w:w="80" w:type="dxa"/>
            <w:vAlign w:val="bottom"/>
            <w:tcBorders>
              <w:bottom w:val="single" w:sz="8" w:color="EDEDED"/>
            </w:tcBorders>
          </w:tcPr>
          <w:p>
            <w:pPr>
              <w:spacing w:after="0"/>
              <w:rPr>
                <w:sz w:val="18"/>
                <w:szCs w:val="18"/>
                <w:color w:val="auto"/>
              </w:rPr>
            </w:pPr>
          </w:p>
        </w:tc>
        <w:tc>
          <w:tcPr>
            <w:tcW w:w="200" w:type="dxa"/>
            <w:vAlign w:val="bottom"/>
            <w:tcBorders>
              <w:bottom w:val="single" w:sz="8" w:color="00162F"/>
            </w:tcBorders>
          </w:tcPr>
          <w:p>
            <w:pPr>
              <w:spacing w:after="0"/>
              <w:rPr>
                <w:sz w:val="18"/>
                <w:szCs w:val="18"/>
                <w:color w:val="auto"/>
              </w:rPr>
            </w:pPr>
          </w:p>
        </w:tc>
        <w:tc>
          <w:tcPr>
            <w:tcW w:w="640" w:type="dxa"/>
            <w:vAlign w:val="bottom"/>
            <w:tcBorders>
              <w:bottom w:val="single" w:sz="8" w:color="00162F"/>
            </w:tcBorders>
          </w:tcPr>
          <w:p>
            <w:pPr>
              <w:jc w:val="right"/>
              <w:ind w:right="148"/>
              <w:spacing w:after="0"/>
              <w:rPr>
                <w:sz w:val="20"/>
                <w:szCs w:val="20"/>
                <w:color w:val="auto"/>
              </w:rPr>
            </w:pPr>
            <w:r>
              <w:rPr>
                <w:rFonts w:ascii="Arial" w:cs="Arial" w:eastAsia="Arial" w:hAnsi="Arial"/>
                <w:sz w:val="16"/>
                <w:szCs w:val="16"/>
                <w:b w:val="1"/>
                <w:bCs w:val="1"/>
                <w:color w:val="00162F"/>
              </w:rPr>
              <w:t>2027</w:t>
            </w:r>
          </w:p>
        </w:tc>
        <w:tc>
          <w:tcPr>
            <w:tcW w:w="60" w:type="dxa"/>
            <w:vAlign w:val="bottom"/>
            <w:tcBorders>
              <w:bottom w:val="single" w:sz="8" w:color="EDEDED"/>
            </w:tcBorders>
          </w:tcPr>
          <w:p>
            <w:pPr>
              <w:spacing w:after="0"/>
              <w:rPr>
                <w:sz w:val="18"/>
                <w:szCs w:val="18"/>
                <w:color w:val="auto"/>
              </w:rPr>
            </w:pPr>
          </w:p>
        </w:tc>
        <w:tc>
          <w:tcPr>
            <w:tcW w:w="840" w:type="dxa"/>
            <w:vAlign w:val="bottom"/>
            <w:tcBorders>
              <w:bottom w:val="single" w:sz="8" w:color="00162F"/>
            </w:tcBorders>
          </w:tcPr>
          <w:p>
            <w:pPr>
              <w:jc w:val="right"/>
              <w:ind w:right="161"/>
              <w:spacing w:after="0"/>
              <w:rPr>
                <w:sz w:val="20"/>
                <w:szCs w:val="20"/>
                <w:color w:val="auto"/>
              </w:rPr>
            </w:pPr>
            <w:r>
              <w:rPr>
                <w:rFonts w:ascii="Arial" w:cs="Arial" w:eastAsia="Arial" w:hAnsi="Arial"/>
                <w:sz w:val="16"/>
                <w:szCs w:val="16"/>
                <w:b w:val="1"/>
                <w:bCs w:val="1"/>
                <w:color w:val="00162F"/>
              </w:rPr>
              <w:t>2028</w:t>
            </w:r>
          </w:p>
        </w:tc>
        <w:tc>
          <w:tcPr>
            <w:tcW w:w="80" w:type="dxa"/>
            <w:vAlign w:val="bottom"/>
            <w:tcBorders>
              <w:bottom w:val="single" w:sz="8" w:color="EDEDED"/>
            </w:tcBorders>
          </w:tcPr>
          <w:p>
            <w:pPr>
              <w:spacing w:after="0"/>
              <w:rPr>
                <w:sz w:val="18"/>
                <w:szCs w:val="18"/>
                <w:color w:val="auto"/>
              </w:rPr>
            </w:pPr>
          </w:p>
        </w:tc>
        <w:tc>
          <w:tcPr>
            <w:tcW w:w="820" w:type="dxa"/>
            <w:vAlign w:val="bottom"/>
            <w:tcBorders>
              <w:bottom w:val="single" w:sz="8" w:color="00162F"/>
            </w:tcBorders>
          </w:tcPr>
          <w:p>
            <w:pPr>
              <w:jc w:val="right"/>
              <w:ind w:right="161"/>
              <w:spacing w:after="0"/>
              <w:rPr>
                <w:sz w:val="20"/>
                <w:szCs w:val="20"/>
                <w:color w:val="auto"/>
              </w:rPr>
            </w:pPr>
            <w:r>
              <w:rPr>
                <w:rFonts w:ascii="Arial" w:cs="Arial" w:eastAsia="Arial" w:hAnsi="Arial"/>
                <w:sz w:val="16"/>
                <w:szCs w:val="16"/>
                <w:b w:val="1"/>
                <w:bCs w:val="1"/>
                <w:color w:val="00162F"/>
              </w:rPr>
              <w:t>2029</w:t>
            </w:r>
          </w:p>
        </w:tc>
        <w:tc>
          <w:tcPr>
            <w:tcW w:w="80" w:type="dxa"/>
            <w:vAlign w:val="bottom"/>
            <w:tcBorders>
              <w:bottom w:val="single" w:sz="8" w:color="EDEDED"/>
            </w:tcBorders>
          </w:tcPr>
          <w:p>
            <w:pPr>
              <w:spacing w:after="0"/>
              <w:rPr>
                <w:sz w:val="18"/>
                <w:szCs w:val="18"/>
                <w:color w:val="auto"/>
              </w:rPr>
            </w:pPr>
          </w:p>
        </w:tc>
        <w:tc>
          <w:tcPr>
            <w:tcW w:w="840" w:type="dxa"/>
            <w:vAlign w:val="bottom"/>
            <w:tcBorders>
              <w:bottom w:val="single" w:sz="8" w:color="00162F"/>
            </w:tcBorders>
          </w:tcPr>
          <w:p>
            <w:pPr>
              <w:jc w:val="right"/>
              <w:ind w:right="161"/>
              <w:spacing w:after="0"/>
              <w:rPr>
                <w:sz w:val="20"/>
                <w:szCs w:val="20"/>
                <w:color w:val="auto"/>
              </w:rPr>
            </w:pPr>
            <w:r>
              <w:rPr>
                <w:rFonts w:ascii="Arial" w:cs="Arial" w:eastAsia="Arial" w:hAnsi="Arial"/>
                <w:sz w:val="16"/>
                <w:szCs w:val="16"/>
                <w:b w:val="1"/>
                <w:bCs w:val="1"/>
                <w:color w:val="00162F"/>
              </w:rPr>
              <w:t>2030</w:t>
            </w:r>
          </w:p>
        </w:tc>
        <w:tc>
          <w:tcPr>
            <w:tcW w:w="60" w:type="dxa"/>
            <w:vAlign w:val="bottom"/>
            <w:tcBorders>
              <w:bottom w:val="single" w:sz="8" w:color="EDEDED"/>
            </w:tcBorders>
          </w:tcPr>
          <w:p>
            <w:pPr>
              <w:spacing w:after="0"/>
              <w:rPr>
                <w:sz w:val="18"/>
                <w:szCs w:val="18"/>
                <w:color w:val="auto"/>
              </w:rPr>
            </w:pPr>
          </w:p>
        </w:tc>
        <w:tc>
          <w:tcPr>
            <w:tcW w:w="900" w:type="dxa"/>
            <w:vAlign w:val="bottom"/>
            <w:tcBorders>
              <w:bottom w:val="single" w:sz="8" w:color="00162F"/>
            </w:tcBorders>
          </w:tcPr>
          <w:p>
            <w:pPr>
              <w:jc w:val="right"/>
              <w:ind w:right="1"/>
              <w:spacing w:after="0"/>
              <w:rPr>
                <w:sz w:val="20"/>
                <w:szCs w:val="20"/>
                <w:color w:val="auto"/>
              </w:rPr>
            </w:pPr>
            <w:r>
              <w:rPr>
                <w:rFonts w:ascii="Arial" w:cs="Arial" w:eastAsia="Arial" w:hAnsi="Arial"/>
                <w:sz w:val="16"/>
                <w:szCs w:val="16"/>
                <w:b w:val="1"/>
                <w:bCs w:val="1"/>
                <w:color w:val="00162F"/>
              </w:rPr>
              <w:t>2031-2035</w:t>
            </w:r>
          </w:p>
        </w:tc>
      </w:tr>
      <w:tr>
        <w:trPr>
          <w:trHeight w:val="287"/>
        </w:trPr>
        <w:tc>
          <w:tcPr>
            <w:tcW w:w="52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Pension benefits</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   984</w:t>
            </w:r>
          </w:p>
        </w:tc>
        <w:tc>
          <w:tcPr>
            <w:tcW w:w="28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6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999</w:t>
            </w:r>
          </w:p>
        </w:tc>
        <w:tc>
          <w:tcPr>
            <w:tcW w:w="90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$ 1,012</w:t>
            </w:r>
          </w:p>
        </w:tc>
        <w:tc>
          <w:tcPr>
            <w:tcW w:w="90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$ 1,023</w:t>
            </w:r>
          </w:p>
        </w:tc>
        <w:tc>
          <w:tcPr>
            <w:tcW w:w="920" w:type="dxa"/>
            <w:vAlign w:val="bottom"/>
            <w:gridSpan w:val="2"/>
            <w:shd w:val="clear" w:color="auto" w:fill="EDEDED"/>
          </w:tcPr>
          <w:p>
            <w:pPr>
              <w:jc w:val="right"/>
              <w:ind w:right="21"/>
              <w:spacing w:after="0"/>
              <w:rPr>
                <w:sz w:val="20"/>
                <w:szCs w:val="20"/>
                <w:color w:val="auto"/>
              </w:rPr>
            </w:pPr>
            <w:r>
              <w:rPr>
                <w:rFonts w:ascii="Arial" w:cs="Arial" w:eastAsia="Arial" w:hAnsi="Arial"/>
                <w:sz w:val="20"/>
                <w:szCs w:val="20"/>
                <w:color w:val="00162F"/>
              </w:rPr>
              <w:t>$ 1,029</w:t>
            </w:r>
          </w:p>
        </w:tc>
        <w:tc>
          <w:tcPr>
            <w:tcW w:w="96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5,113</w:t>
            </w:r>
          </w:p>
        </w:tc>
      </w:tr>
      <w:tr>
        <w:trPr>
          <w:trHeight w:val="290"/>
        </w:trPr>
        <w:tc>
          <w:tcPr>
            <w:tcW w:w="5240" w:type="dxa"/>
            <w:vAlign w:val="bottom"/>
          </w:tcPr>
          <w:p>
            <w:pPr>
              <w:ind w:left="40"/>
              <w:spacing w:after="0"/>
              <w:rPr>
                <w:sz w:val="20"/>
                <w:szCs w:val="20"/>
                <w:color w:val="auto"/>
              </w:rPr>
            </w:pPr>
            <w:r>
              <w:rPr>
                <w:rFonts w:ascii="Arial" w:cs="Arial" w:eastAsia="Arial" w:hAnsi="Arial"/>
                <w:sz w:val="20"/>
                <w:szCs w:val="20"/>
                <w:color w:val="00162F"/>
              </w:rPr>
              <w:t>Retiree medical and other postretirement benefits</w:t>
            </w:r>
          </w:p>
        </w:tc>
        <w:tc>
          <w:tcPr>
            <w:tcW w:w="820" w:type="dxa"/>
            <w:vAlign w:val="bottom"/>
          </w:tcPr>
          <w:p>
            <w:pPr>
              <w:jc w:val="right"/>
              <w:spacing w:after="0"/>
              <w:rPr>
                <w:sz w:val="20"/>
                <w:szCs w:val="20"/>
                <w:color w:val="auto"/>
              </w:rPr>
            </w:pPr>
            <w:r>
              <w:rPr>
                <w:rFonts w:ascii="Arial" w:cs="Arial" w:eastAsia="Arial" w:hAnsi="Arial"/>
                <w:sz w:val="20"/>
                <w:szCs w:val="20"/>
                <w:color w:val="00162F"/>
              </w:rPr>
              <w:t>136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00162F"/>
              </w:rPr>
              <w:t>138</w:t>
            </w:r>
          </w:p>
        </w:tc>
        <w:tc>
          <w:tcPr>
            <w:tcW w:w="900" w:type="dxa"/>
            <w:vAlign w:val="bottom"/>
            <w:gridSpan w:val="2"/>
          </w:tcPr>
          <w:p>
            <w:pPr>
              <w:jc w:val="right"/>
              <w:ind w:right="1"/>
              <w:spacing w:after="0"/>
              <w:rPr>
                <w:sz w:val="20"/>
                <w:szCs w:val="20"/>
                <w:color w:val="auto"/>
              </w:rPr>
            </w:pPr>
            <w:r>
              <w:rPr>
                <w:rFonts w:ascii="Arial" w:cs="Arial" w:eastAsia="Arial" w:hAnsi="Arial"/>
                <w:sz w:val="20"/>
                <w:szCs w:val="20"/>
                <w:color w:val="00162F"/>
              </w:rPr>
              <w:t>140</w:t>
            </w:r>
          </w:p>
        </w:tc>
        <w:tc>
          <w:tcPr>
            <w:tcW w:w="900" w:type="dxa"/>
            <w:vAlign w:val="bottom"/>
            <w:gridSpan w:val="2"/>
          </w:tcPr>
          <w:p>
            <w:pPr>
              <w:jc w:val="right"/>
              <w:ind w:right="1"/>
              <w:spacing w:after="0"/>
              <w:rPr>
                <w:sz w:val="20"/>
                <w:szCs w:val="20"/>
                <w:color w:val="auto"/>
              </w:rPr>
            </w:pPr>
            <w:r>
              <w:rPr>
                <w:rFonts w:ascii="Arial" w:cs="Arial" w:eastAsia="Arial" w:hAnsi="Arial"/>
                <w:sz w:val="20"/>
                <w:szCs w:val="20"/>
                <w:color w:val="00162F"/>
              </w:rPr>
              <w:t>139</w:t>
            </w:r>
          </w:p>
        </w:tc>
        <w:tc>
          <w:tcPr>
            <w:tcW w:w="920" w:type="dxa"/>
            <w:vAlign w:val="bottom"/>
            <w:gridSpan w:val="2"/>
          </w:tcPr>
          <w:p>
            <w:pPr>
              <w:jc w:val="right"/>
              <w:ind w:right="21"/>
              <w:spacing w:after="0"/>
              <w:rPr>
                <w:sz w:val="20"/>
                <w:szCs w:val="20"/>
                <w:color w:val="auto"/>
              </w:rPr>
            </w:pPr>
            <w:r>
              <w:rPr>
                <w:rFonts w:ascii="Arial" w:cs="Arial" w:eastAsia="Arial" w:hAnsi="Arial"/>
                <w:sz w:val="20"/>
                <w:szCs w:val="20"/>
                <w:color w:val="00162F"/>
              </w:rPr>
              <w:t>137</w:t>
            </w:r>
          </w:p>
        </w:tc>
        <w:tc>
          <w:tcPr>
            <w:tcW w:w="960" w:type="dxa"/>
            <w:vAlign w:val="bottom"/>
            <w:gridSpan w:val="2"/>
          </w:tcPr>
          <w:p>
            <w:pPr>
              <w:jc w:val="right"/>
              <w:ind w:right="1"/>
              <w:spacing w:after="0"/>
              <w:rPr>
                <w:sz w:val="20"/>
                <w:szCs w:val="20"/>
                <w:color w:val="auto"/>
              </w:rPr>
            </w:pPr>
            <w:r>
              <w:rPr>
                <w:rFonts w:ascii="Arial" w:cs="Arial" w:eastAsia="Arial" w:hAnsi="Arial"/>
                <w:sz w:val="20"/>
                <w:szCs w:val="20"/>
                <w:color w:val="00162F"/>
              </w:rPr>
              <w:t>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-384810</wp:posOffset>
            </wp:positionV>
            <wp:extent cx="3466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8">
                      <a:extLst>
                        <a:ext uri="{28A0092B-C50C-407E-A947-70E740481C1C}"/>
                      </a:extLst>
                    </a:blip>
                    <a:srcRect/>
                    <a:stretch>
                      <a:fillRect/>
                    </a:stretch>
                  </pic:blipFill>
                  <pic:spPr bwMode="auto">
                    <a:xfrm>
                      <a:off x="0" y="0"/>
                      <a:ext cx="3466465" cy="25400"/>
                    </a:xfrm>
                    <a:prstGeom prst="rect">
                      <a:avLst/>
                    </a:prstGeom>
                    <a:noFill/>
                  </pic:spPr>
                </pic:pic>
              </a:graphicData>
            </a:graphic>
          </wp:anchor>
        </w:drawing>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Plan Assets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objectives of our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Based on these investment objectives, a long-term strategic asset allocation has been established. This strategic allocation seeks to balance the potential benefit of improving the funded position with the potential risk that the funded position would decline. The current strategic target asset allocation with the corresponding allowed range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00162F"/>
              </w:rPr>
              <w:t>Asset Class/Sub-Class</w:t>
            </w:r>
          </w:p>
        </w:tc>
        <w:tc>
          <w:tcPr>
            <w:tcW w:w="1840" w:type="dxa"/>
            <w:vAlign w:val="bottom"/>
          </w:tcPr>
          <w:p>
            <w:pPr>
              <w:ind w:left="280"/>
              <w:spacing w:after="0"/>
              <w:rPr>
                <w:sz w:val="20"/>
                <w:szCs w:val="20"/>
                <w:color w:val="auto"/>
              </w:rPr>
            </w:pPr>
            <w:r>
              <w:rPr>
                <w:rFonts w:ascii="Arial" w:cs="Arial" w:eastAsia="Arial" w:hAnsi="Arial"/>
                <w:sz w:val="16"/>
                <w:szCs w:val="16"/>
                <w:b w:val="1"/>
                <w:bCs w:val="1"/>
                <w:color w:val="00162F"/>
              </w:rPr>
              <w:t>Target Allocation</w:t>
            </w:r>
          </w:p>
        </w:tc>
        <w:tc>
          <w:tcPr>
            <w:tcW w:w="80" w:type="dxa"/>
            <w:vAlign w:val="bottom"/>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00162F"/>
                <w:w w:val="99"/>
              </w:rPr>
              <w:t>Allowed Range</w:t>
            </w:r>
          </w:p>
        </w:tc>
      </w:tr>
      <w:tr>
        <w:trPr>
          <w:trHeight w:val="20"/>
        </w:trPr>
        <w:tc>
          <w:tcPr>
            <w:tcW w:w="40" w:type="dxa"/>
            <w:vAlign w:val="bottom"/>
            <w:tcBorders>
              <w:bottom w:val="single" w:sz="8" w:color="EDEDED"/>
            </w:tcBorders>
          </w:tcPr>
          <w:p>
            <w:pPr>
              <w:spacing w:after="0" w:line="20" w:lineRule="exact"/>
              <w:rPr>
                <w:sz w:val="1"/>
                <w:szCs w:val="1"/>
                <w:color w:val="auto"/>
              </w:rPr>
            </w:pPr>
          </w:p>
        </w:tc>
        <w:tc>
          <w:tcPr>
            <w:tcW w:w="1720" w:type="dxa"/>
            <w:vAlign w:val="bottom"/>
            <w:tcBorders>
              <w:top w:val="single" w:sz="8" w:color="00162F"/>
              <w:bottom w:val="single" w:sz="8" w:color="EDEDED"/>
            </w:tcBorders>
          </w:tcPr>
          <w:p>
            <w:pPr>
              <w:spacing w:after="0" w:line="20" w:lineRule="exact"/>
              <w:rPr>
                <w:sz w:val="1"/>
                <w:szCs w:val="1"/>
                <w:color w:val="auto"/>
              </w:rPr>
            </w:pPr>
          </w:p>
        </w:tc>
        <w:tc>
          <w:tcPr>
            <w:tcW w:w="5160" w:type="dxa"/>
            <w:vAlign w:val="bottom"/>
            <w:tcBorders>
              <w:bottom w:val="single" w:sz="8" w:color="EDEDED"/>
            </w:tcBorders>
          </w:tcPr>
          <w:p>
            <w:pPr>
              <w:spacing w:after="0" w:line="20" w:lineRule="exact"/>
              <w:rPr>
                <w:sz w:val="1"/>
                <w:szCs w:val="1"/>
                <w:color w:val="auto"/>
              </w:rPr>
            </w:pPr>
          </w:p>
        </w:tc>
        <w:tc>
          <w:tcPr>
            <w:tcW w:w="1840" w:type="dxa"/>
            <w:vAlign w:val="bottom"/>
            <w:tcBorders>
              <w:bottom w:val="single" w:sz="8" w:color="00162F"/>
            </w:tcBorders>
          </w:tcPr>
          <w:p>
            <w:pPr>
              <w:spacing w:after="0" w:line="20" w:lineRule="exact"/>
              <w:rPr>
                <w:sz w:val="1"/>
                <w:szCs w:val="1"/>
                <w:color w:val="auto"/>
              </w:rPr>
            </w:pPr>
          </w:p>
        </w:tc>
        <w:tc>
          <w:tcPr>
            <w:tcW w:w="80" w:type="dxa"/>
            <w:vAlign w:val="bottom"/>
            <w:tcBorders>
              <w:bottom w:val="single" w:sz="8" w:color="EDEDED"/>
            </w:tcBorders>
          </w:tcPr>
          <w:p>
            <w:pPr>
              <w:spacing w:after="0" w:line="20" w:lineRule="exact"/>
              <w:rPr>
                <w:sz w:val="1"/>
                <w:szCs w:val="1"/>
                <w:color w:val="auto"/>
              </w:rPr>
            </w:pPr>
          </w:p>
        </w:tc>
        <w:tc>
          <w:tcPr>
            <w:tcW w:w="860" w:type="dxa"/>
            <w:vAlign w:val="bottom"/>
            <w:tcBorders>
              <w:bottom w:val="single" w:sz="8" w:color="00162F"/>
            </w:tcBorders>
          </w:tcPr>
          <w:p>
            <w:pPr>
              <w:spacing w:after="0" w:line="20" w:lineRule="exact"/>
              <w:rPr>
                <w:sz w:val="1"/>
                <w:szCs w:val="1"/>
                <w:color w:val="auto"/>
              </w:rPr>
            </w:pPr>
          </w:p>
        </w:tc>
        <w:tc>
          <w:tcPr>
            <w:tcW w:w="980" w:type="dxa"/>
            <w:vAlign w:val="bottom"/>
            <w:tcBorders>
              <w:bottom w:val="single" w:sz="8" w:color="00162F"/>
            </w:tcBorders>
          </w:tcPr>
          <w:p>
            <w:pPr>
              <w:spacing w:after="0" w:line="20" w:lineRule="exact"/>
              <w:rPr>
                <w:sz w:val="1"/>
                <w:szCs w:val="1"/>
                <w:color w:val="auto"/>
              </w:rPr>
            </w:pPr>
          </w:p>
        </w:tc>
      </w:tr>
      <w:tr>
        <w:trPr>
          <w:trHeight w:val="272"/>
        </w:trPr>
        <w:tc>
          <w:tcPr>
            <w:tcW w:w="40" w:type="dxa"/>
            <w:vAlign w:val="bottom"/>
            <w:shd w:val="clear" w:color="auto" w:fill="EDEDED"/>
          </w:tcPr>
          <w:p>
            <w:pPr>
              <w:spacing w:after="0"/>
              <w:rPr>
                <w:sz w:val="23"/>
                <w:szCs w:val="23"/>
                <w:color w:val="auto"/>
              </w:rPr>
            </w:pPr>
          </w:p>
        </w:tc>
        <w:tc>
          <w:tcPr>
            <w:tcW w:w="6880" w:type="dxa"/>
            <w:vAlign w:val="bottom"/>
            <w:gridSpan w:val="2"/>
            <w:shd w:val="clear" w:color="auto" w:fill="EDEDED"/>
          </w:tcPr>
          <w:p>
            <w:pPr>
              <w:spacing w:after="0"/>
              <w:rPr>
                <w:sz w:val="20"/>
                <w:szCs w:val="20"/>
                <w:color w:val="auto"/>
              </w:rPr>
            </w:pPr>
            <w:r>
              <w:rPr>
                <w:rFonts w:ascii="Arial" w:cs="Arial" w:eastAsia="Arial" w:hAnsi="Arial"/>
                <w:sz w:val="20"/>
                <w:szCs w:val="20"/>
                <w:color w:val="00162F"/>
              </w:rPr>
              <w:t>Equity</w:t>
            </w:r>
          </w:p>
        </w:tc>
        <w:tc>
          <w:tcPr>
            <w:tcW w:w="184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45%</w:t>
            </w:r>
          </w:p>
        </w:tc>
        <w:tc>
          <w:tcPr>
            <w:tcW w:w="1920" w:type="dxa"/>
            <w:vAlign w:val="bottom"/>
            <w:gridSpan w:val="3"/>
            <w:shd w:val="clear" w:color="auto" w:fill="EDEDED"/>
          </w:tcPr>
          <w:p>
            <w:pPr>
              <w:jc w:val="center"/>
              <w:spacing w:after="0"/>
              <w:rPr>
                <w:sz w:val="20"/>
                <w:szCs w:val="20"/>
                <w:color w:val="auto"/>
              </w:rPr>
            </w:pPr>
            <w:r>
              <w:rPr>
                <w:rFonts w:ascii="Arial" w:cs="Arial" w:eastAsia="Arial" w:hAnsi="Arial"/>
                <w:sz w:val="20"/>
                <w:szCs w:val="20"/>
                <w:color w:val="00162F"/>
                <w:w w:val="98"/>
              </w:rPr>
              <w:t>10% - 80%</w:t>
            </w:r>
          </w:p>
        </w:tc>
      </w:tr>
      <w:tr>
        <w:trPr>
          <w:trHeight w:val="278"/>
        </w:trPr>
        <w:tc>
          <w:tcPr>
            <w:tcW w:w="40" w:type="dxa"/>
            <w:vAlign w:val="bottom"/>
          </w:tcPr>
          <w:p>
            <w:pPr>
              <w:spacing w:after="0"/>
              <w:rPr>
                <w:sz w:val="24"/>
                <w:szCs w:val="24"/>
                <w:color w:val="auto"/>
              </w:rPr>
            </w:pPr>
          </w:p>
        </w:tc>
        <w:tc>
          <w:tcPr>
            <w:tcW w:w="6880" w:type="dxa"/>
            <w:vAlign w:val="bottom"/>
            <w:gridSpan w:val="2"/>
          </w:tcPr>
          <w:p>
            <w:pPr>
              <w:ind w:left="140"/>
              <w:spacing w:after="0"/>
              <w:rPr>
                <w:sz w:val="20"/>
                <w:szCs w:val="20"/>
                <w:color w:val="auto"/>
              </w:rPr>
            </w:pPr>
            <w:r>
              <w:rPr>
                <w:rFonts w:ascii="Arial" w:cs="Arial" w:eastAsia="Arial" w:hAnsi="Arial"/>
                <w:sz w:val="20"/>
                <w:szCs w:val="20"/>
                <w:color w:val="00162F"/>
              </w:rPr>
              <w:t>Public:</w:t>
            </w: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6"/>
        </w:trPr>
        <w:tc>
          <w:tcPr>
            <w:tcW w:w="40" w:type="dxa"/>
            <w:vAlign w:val="bottom"/>
            <w:shd w:val="clear" w:color="auto" w:fill="EDEDED"/>
          </w:tcPr>
          <w:p>
            <w:pPr>
              <w:spacing w:after="0"/>
              <w:rPr>
                <w:sz w:val="24"/>
                <w:szCs w:val="24"/>
                <w:color w:val="auto"/>
              </w:rPr>
            </w:pPr>
          </w:p>
        </w:tc>
        <w:tc>
          <w:tcPr>
            <w:tcW w:w="6880" w:type="dxa"/>
            <w:vAlign w:val="bottom"/>
            <w:gridSpan w:val="2"/>
            <w:shd w:val="clear" w:color="auto" w:fill="EDEDED"/>
          </w:tcPr>
          <w:p>
            <w:pPr>
              <w:ind w:left="220"/>
              <w:spacing w:after="0"/>
              <w:rPr>
                <w:sz w:val="20"/>
                <w:szCs w:val="20"/>
                <w:color w:val="auto"/>
              </w:rPr>
            </w:pPr>
            <w:r>
              <w:rPr>
                <w:rFonts w:ascii="Arial" w:cs="Arial" w:eastAsia="Arial" w:hAnsi="Arial"/>
                <w:sz w:val="20"/>
                <w:szCs w:val="20"/>
                <w:color w:val="00162F"/>
              </w:rPr>
              <w:t>U.S.</w:t>
            </w:r>
          </w:p>
        </w:tc>
        <w:tc>
          <w:tcPr>
            <w:tcW w:w="184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18%</w:t>
            </w:r>
          </w:p>
        </w:tc>
        <w:tc>
          <w:tcPr>
            <w:tcW w:w="1920" w:type="dxa"/>
            <w:vAlign w:val="bottom"/>
            <w:gridSpan w:val="3"/>
            <w:shd w:val="clear" w:color="auto" w:fill="EDEDED"/>
          </w:tcPr>
          <w:p>
            <w:pPr>
              <w:jc w:val="center"/>
              <w:ind w:left="1"/>
              <w:spacing w:after="0"/>
              <w:rPr>
                <w:sz w:val="20"/>
                <w:szCs w:val="20"/>
                <w:color w:val="auto"/>
              </w:rPr>
            </w:pPr>
            <w:r>
              <w:rPr>
                <w:rFonts w:ascii="Arial" w:cs="Arial" w:eastAsia="Arial" w:hAnsi="Arial"/>
                <w:sz w:val="20"/>
                <w:szCs w:val="20"/>
                <w:color w:val="00162F"/>
                <w:w w:val="99"/>
              </w:rPr>
              <w:t>5% - 40%</w:t>
            </w:r>
          </w:p>
        </w:tc>
      </w:tr>
      <w:tr>
        <w:trPr>
          <w:trHeight w:val="278"/>
        </w:trPr>
        <w:tc>
          <w:tcPr>
            <w:tcW w:w="40" w:type="dxa"/>
            <w:vAlign w:val="bottom"/>
          </w:tcPr>
          <w:p>
            <w:pPr>
              <w:spacing w:after="0"/>
              <w:rPr>
                <w:sz w:val="24"/>
                <w:szCs w:val="24"/>
                <w:color w:val="auto"/>
              </w:rPr>
            </w:pPr>
          </w:p>
        </w:tc>
        <w:tc>
          <w:tcPr>
            <w:tcW w:w="6880" w:type="dxa"/>
            <w:vAlign w:val="bottom"/>
            <w:gridSpan w:val="2"/>
          </w:tcPr>
          <w:p>
            <w:pPr>
              <w:ind w:left="220"/>
              <w:spacing w:after="0"/>
              <w:rPr>
                <w:sz w:val="20"/>
                <w:szCs w:val="20"/>
                <w:color w:val="auto"/>
              </w:rPr>
            </w:pPr>
            <w:r>
              <w:rPr>
                <w:rFonts w:ascii="Arial" w:cs="Arial" w:eastAsia="Arial" w:hAnsi="Arial"/>
                <w:sz w:val="20"/>
                <w:szCs w:val="20"/>
                <w:color w:val="00162F"/>
              </w:rPr>
              <w:t>International developed markets</w:t>
            </w:r>
          </w:p>
        </w:tc>
        <w:tc>
          <w:tcPr>
            <w:tcW w:w="1840" w:type="dxa"/>
            <w:vAlign w:val="bottom"/>
          </w:tcPr>
          <w:p>
            <w:pPr>
              <w:jc w:val="center"/>
              <w:spacing w:after="0"/>
              <w:rPr>
                <w:sz w:val="20"/>
                <w:szCs w:val="20"/>
                <w:color w:val="auto"/>
              </w:rPr>
            </w:pPr>
            <w:r>
              <w:rPr>
                <w:rFonts w:ascii="Arial" w:cs="Arial" w:eastAsia="Arial" w:hAnsi="Arial"/>
                <w:sz w:val="20"/>
                <w:szCs w:val="20"/>
                <w:color w:val="00162F"/>
              </w:rPr>
              <w:t>9%</w:t>
            </w:r>
          </w:p>
        </w:tc>
        <w:tc>
          <w:tcPr>
            <w:tcW w:w="1920" w:type="dxa"/>
            <w:vAlign w:val="bottom"/>
            <w:gridSpan w:val="3"/>
          </w:tcPr>
          <w:p>
            <w:pPr>
              <w:jc w:val="center"/>
              <w:ind w:left="1"/>
              <w:spacing w:after="0"/>
              <w:rPr>
                <w:sz w:val="20"/>
                <w:szCs w:val="20"/>
                <w:color w:val="auto"/>
              </w:rPr>
            </w:pPr>
            <w:r>
              <w:rPr>
                <w:rFonts w:ascii="Arial" w:cs="Arial" w:eastAsia="Arial" w:hAnsi="Arial"/>
                <w:sz w:val="20"/>
                <w:szCs w:val="20"/>
                <w:color w:val="00162F"/>
                <w:w w:val="99"/>
              </w:rPr>
              <w:t>0% - 20%</w:t>
            </w:r>
          </w:p>
        </w:tc>
      </w:tr>
      <w:tr>
        <w:trPr>
          <w:trHeight w:val="286"/>
        </w:trPr>
        <w:tc>
          <w:tcPr>
            <w:tcW w:w="40" w:type="dxa"/>
            <w:vAlign w:val="bottom"/>
            <w:shd w:val="clear" w:color="auto" w:fill="EDEDED"/>
          </w:tcPr>
          <w:p>
            <w:pPr>
              <w:spacing w:after="0"/>
              <w:rPr>
                <w:sz w:val="24"/>
                <w:szCs w:val="24"/>
                <w:color w:val="auto"/>
              </w:rPr>
            </w:pPr>
          </w:p>
        </w:tc>
        <w:tc>
          <w:tcPr>
            <w:tcW w:w="6880" w:type="dxa"/>
            <w:vAlign w:val="bottom"/>
            <w:gridSpan w:val="2"/>
            <w:shd w:val="clear" w:color="auto" w:fill="EDEDED"/>
          </w:tcPr>
          <w:p>
            <w:pPr>
              <w:ind w:left="220"/>
              <w:spacing w:after="0"/>
              <w:rPr>
                <w:sz w:val="20"/>
                <w:szCs w:val="20"/>
                <w:color w:val="auto"/>
              </w:rPr>
            </w:pPr>
            <w:r>
              <w:rPr>
                <w:rFonts w:ascii="Arial" w:cs="Arial" w:eastAsia="Arial" w:hAnsi="Arial"/>
                <w:sz w:val="20"/>
                <w:szCs w:val="20"/>
                <w:color w:val="00162F"/>
              </w:rPr>
              <w:t>Emerging markets</w:t>
            </w:r>
          </w:p>
        </w:tc>
        <w:tc>
          <w:tcPr>
            <w:tcW w:w="1840" w:type="dxa"/>
            <w:vAlign w:val="bottom"/>
            <w:shd w:val="clear" w:color="auto" w:fill="EDEDED"/>
          </w:tcPr>
          <w:p>
            <w:pPr>
              <w:jc w:val="center"/>
              <w:spacing w:after="0"/>
              <w:rPr>
                <w:sz w:val="20"/>
                <w:szCs w:val="20"/>
                <w:color w:val="auto"/>
              </w:rPr>
            </w:pPr>
            <w:r>
              <w:rPr>
                <w:rFonts w:ascii="Arial" w:cs="Arial" w:eastAsia="Arial" w:hAnsi="Arial"/>
                <w:sz w:val="20"/>
                <w:szCs w:val="20"/>
                <w:color w:val="00162F"/>
              </w:rPr>
              <w:t>3%</w:t>
            </w:r>
          </w:p>
        </w:tc>
        <w:tc>
          <w:tcPr>
            <w:tcW w:w="1920" w:type="dxa"/>
            <w:vAlign w:val="bottom"/>
            <w:gridSpan w:val="3"/>
            <w:shd w:val="clear" w:color="auto" w:fill="EDEDED"/>
          </w:tcPr>
          <w:p>
            <w:pPr>
              <w:jc w:val="center"/>
              <w:ind w:left="1"/>
              <w:spacing w:after="0"/>
              <w:rPr>
                <w:sz w:val="20"/>
                <w:szCs w:val="20"/>
                <w:color w:val="auto"/>
              </w:rPr>
            </w:pPr>
            <w:r>
              <w:rPr>
                <w:rFonts w:ascii="Arial" w:cs="Arial" w:eastAsia="Arial" w:hAnsi="Arial"/>
                <w:sz w:val="20"/>
                <w:szCs w:val="20"/>
                <w:color w:val="00162F"/>
                <w:w w:val="99"/>
              </w:rPr>
              <w:t>0% - 10%</w:t>
            </w:r>
          </w:p>
        </w:tc>
      </w:tr>
      <w:tr>
        <w:trPr>
          <w:trHeight w:val="278"/>
        </w:trPr>
        <w:tc>
          <w:tcPr>
            <w:tcW w:w="40" w:type="dxa"/>
            <w:vAlign w:val="bottom"/>
          </w:tcPr>
          <w:p>
            <w:pPr>
              <w:spacing w:after="0"/>
              <w:rPr>
                <w:sz w:val="24"/>
                <w:szCs w:val="24"/>
                <w:color w:val="auto"/>
              </w:rPr>
            </w:pPr>
          </w:p>
        </w:tc>
        <w:tc>
          <w:tcPr>
            <w:tcW w:w="6880" w:type="dxa"/>
            <w:vAlign w:val="bottom"/>
            <w:gridSpan w:val="2"/>
          </w:tcPr>
          <w:p>
            <w:pPr>
              <w:ind w:left="140"/>
              <w:spacing w:after="0"/>
              <w:rPr>
                <w:sz w:val="20"/>
                <w:szCs w:val="20"/>
                <w:color w:val="auto"/>
              </w:rPr>
            </w:pPr>
            <w:r>
              <w:rPr>
                <w:rFonts w:ascii="Arial" w:cs="Arial" w:eastAsia="Arial" w:hAnsi="Arial"/>
                <w:sz w:val="20"/>
                <w:szCs w:val="20"/>
                <w:color w:val="00162F"/>
              </w:rPr>
              <w:t>Private equity</w:t>
            </w:r>
          </w:p>
        </w:tc>
        <w:tc>
          <w:tcPr>
            <w:tcW w:w="1840" w:type="dxa"/>
            <w:vAlign w:val="bottom"/>
          </w:tcPr>
          <w:p>
            <w:pPr>
              <w:jc w:val="center"/>
              <w:spacing w:after="0"/>
              <w:rPr>
                <w:sz w:val="20"/>
                <w:szCs w:val="20"/>
                <w:color w:val="auto"/>
              </w:rPr>
            </w:pPr>
            <w:r>
              <w:rPr>
                <w:rFonts w:ascii="Arial" w:cs="Arial" w:eastAsia="Arial" w:hAnsi="Arial"/>
                <w:sz w:val="20"/>
                <w:szCs w:val="20"/>
                <w:color w:val="00162F"/>
                <w:w w:val="99"/>
              </w:rPr>
              <w:t>15%</w:t>
            </w:r>
          </w:p>
        </w:tc>
        <w:tc>
          <w:tcPr>
            <w:tcW w:w="1920" w:type="dxa"/>
            <w:vAlign w:val="bottom"/>
            <w:gridSpan w:val="3"/>
          </w:tcPr>
          <w:p>
            <w:pPr>
              <w:jc w:val="center"/>
              <w:ind w:left="1"/>
              <w:spacing w:after="0"/>
              <w:rPr>
                <w:sz w:val="20"/>
                <w:szCs w:val="20"/>
                <w:color w:val="auto"/>
              </w:rPr>
            </w:pPr>
            <w:r>
              <w:rPr>
                <w:rFonts w:ascii="Arial" w:cs="Arial" w:eastAsia="Arial" w:hAnsi="Arial"/>
                <w:sz w:val="20"/>
                <w:szCs w:val="20"/>
                <w:color w:val="00162F"/>
                <w:w w:val="99"/>
              </w:rPr>
              <w:t>5% - 35%</w:t>
            </w:r>
          </w:p>
        </w:tc>
      </w:tr>
      <w:tr>
        <w:trPr>
          <w:trHeight w:val="286"/>
        </w:trPr>
        <w:tc>
          <w:tcPr>
            <w:tcW w:w="40" w:type="dxa"/>
            <w:vAlign w:val="bottom"/>
            <w:shd w:val="clear" w:color="auto" w:fill="EDEDED"/>
          </w:tcPr>
          <w:p>
            <w:pPr>
              <w:spacing w:after="0"/>
              <w:rPr>
                <w:sz w:val="24"/>
                <w:szCs w:val="24"/>
                <w:color w:val="auto"/>
              </w:rPr>
            </w:pPr>
          </w:p>
        </w:tc>
        <w:tc>
          <w:tcPr>
            <w:tcW w:w="1720" w:type="dxa"/>
            <w:vAlign w:val="bottom"/>
            <w:shd w:val="clear" w:color="auto" w:fill="EDEDED"/>
          </w:tcPr>
          <w:p>
            <w:pPr>
              <w:spacing w:after="0"/>
              <w:rPr>
                <w:sz w:val="24"/>
                <w:szCs w:val="24"/>
                <w:color w:val="auto"/>
              </w:rPr>
            </w:pPr>
          </w:p>
        </w:tc>
        <w:tc>
          <w:tcPr>
            <w:tcW w:w="5160" w:type="dxa"/>
            <w:vAlign w:val="bottom"/>
            <w:shd w:val="clear" w:color="auto" w:fill="EDEDED"/>
          </w:tcPr>
          <w:p>
            <w:pPr>
              <w:spacing w:after="0"/>
              <w:rPr>
                <w:sz w:val="24"/>
                <w:szCs w:val="24"/>
                <w:color w:val="auto"/>
              </w:rPr>
            </w:pPr>
          </w:p>
        </w:tc>
        <w:tc>
          <w:tcPr>
            <w:tcW w:w="18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r>
      <w:tr>
        <w:trPr>
          <w:trHeight w:val="278"/>
        </w:trPr>
        <w:tc>
          <w:tcPr>
            <w:tcW w:w="4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20"/>
                <w:szCs w:val="20"/>
                <w:color w:val="00162F"/>
              </w:rPr>
              <w:t>Fixed income</w:t>
            </w:r>
          </w:p>
        </w:tc>
        <w:tc>
          <w:tcPr>
            <w:tcW w:w="1840" w:type="dxa"/>
            <w:vAlign w:val="bottom"/>
          </w:tcPr>
          <w:p>
            <w:pPr>
              <w:jc w:val="center"/>
              <w:spacing w:after="0"/>
              <w:rPr>
                <w:sz w:val="20"/>
                <w:szCs w:val="20"/>
                <w:color w:val="auto"/>
              </w:rPr>
            </w:pPr>
            <w:r>
              <w:rPr>
                <w:rFonts w:ascii="Arial" w:cs="Arial" w:eastAsia="Arial" w:hAnsi="Arial"/>
                <w:sz w:val="20"/>
                <w:szCs w:val="20"/>
                <w:color w:val="00162F"/>
                <w:w w:val="99"/>
              </w:rPr>
              <w:t>55%</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15%</w:t>
            </w:r>
          </w:p>
        </w:tc>
        <w:tc>
          <w:tcPr>
            <w:tcW w:w="980" w:type="dxa"/>
            <w:vAlign w:val="bottom"/>
          </w:tcPr>
          <w:p>
            <w:pPr>
              <w:ind w:left="40"/>
              <w:spacing w:after="0"/>
              <w:rPr>
                <w:sz w:val="20"/>
                <w:szCs w:val="20"/>
                <w:color w:val="auto"/>
              </w:rPr>
            </w:pPr>
            <w:r>
              <w:rPr>
                <w:rFonts w:ascii="Arial" w:cs="Arial" w:eastAsia="Arial" w:hAnsi="Arial"/>
                <w:sz w:val="20"/>
                <w:szCs w:val="20"/>
                <w:color w:val="00162F"/>
              </w:rPr>
              <w:t>- 90%</w:t>
            </w:r>
          </w:p>
        </w:tc>
      </w:tr>
      <w:tr>
        <w:trPr>
          <w:trHeight w:val="286"/>
        </w:trPr>
        <w:tc>
          <w:tcPr>
            <w:tcW w:w="40" w:type="dxa"/>
            <w:vAlign w:val="bottom"/>
            <w:shd w:val="clear" w:color="auto" w:fill="EDEDED"/>
          </w:tcPr>
          <w:p>
            <w:pPr>
              <w:spacing w:after="0"/>
              <w:rPr>
                <w:sz w:val="24"/>
                <w:szCs w:val="24"/>
                <w:color w:val="auto"/>
              </w:rPr>
            </w:pPr>
          </w:p>
        </w:tc>
        <w:tc>
          <w:tcPr>
            <w:tcW w:w="6880" w:type="dxa"/>
            <w:vAlign w:val="bottom"/>
            <w:gridSpan w:val="2"/>
            <w:shd w:val="clear" w:color="auto" w:fill="EDEDED"/>
          </w:tcPr>
          <w:p>
            <w:pPr>
              <w:ind w:left="140"/>
              <w:spacing w:after="0"/>
              <w:rPr>
                <w:sz w:val="20"/>
                <w:szCs w:val="20"/>
                <w:color w:val="auto"/>
              </w:rPr>
            </w:pPr>
            <w:r>
              <w:rPr>
                <w:rFonts w:ascii="Arial" w:cs="Arial" w:eastAsia="Arial" w:hAnsi="Arial"/>
                <w:sz w:val="20"/>
                <w:szCs w:val="20"/>
                <w:color w:val="00162F"/>
              </w:rPr>
              <w:t>Public U.S. fixed income</w:t>
            </w:r>
          </w:p>
        </w:tc>
        <w:tc>
          <w:tcPr>
            <w:tcW w:w="184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45%</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15%</w:t>
            </w:r>
          </w:p>
        </w:tc>
        <w:tc>
          <w:tcPr>
            <w:tcW w:w="98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- 70%</w:t>
            </w:r>
          </w:p>
        </w:tc>
      </w:tr>
      <w:tr>
        <w:trPr>
          <w:trHeight w:val="278"/>
        </w:trPr>
        <w:tc>
          <w:tcPr>
            <w:tcW w:w="40" w:type="dxa"/>
            <w:vAlign w:val="bottom"/>
          </w:tcPr>
          <w:p>
            <w:pPr>
              <w:spacing w:after="0"/>
              <w:rPr>
                <w:sz w:val="24"/>
                <w:szCs w:val="24"/>
                <w:color w:val="auto"/>
              </w:rPr>
            </w:pPr>
          </w:p>
        </w:tc>
        <w:tc>
          <w:tcPr>
            <w:tcW w:w="6880" w:type="dxa"/>
            <w:vAlign w:val="bottom"/>
            <w:gridSpan w:val="2"/>
          </w:tcPr>
          <w:p>
            <w:pPr>
              <w:ind w:left="140"/>
              <w:spacing w:after="0"/>
              <w:rPr>
                <w:sz w:val="20"/>
                <w:szCs w:val="20"/>
                <w:color w:val="auto"/>
              </w:rPr>
            </w:pPr>
            <w:r>
              <w:rPr>
                <w:rFonts w:ascii="Arial" w:cs="Arial" w:eastAsia="Arial" w:hAnsi="Arial"/>
                <w:sz w:val="20"/>
                <w:szCs w:val="20"/>
                <w:color w:val="00162F"/>
              </w:rPr>
              <w:t>Private income</w:t>
            </w:r>
          </w:p>
        </w:tc>
        <w:tc>
          <w:tcPr>
            <w:tcW w:w="1840" w:type="dxa"/>
            <w:vAlign w:val="bottom"/>
          </w:tcPr>
          <w:p>
            <w:pPr>
              <w:jc w:val="center"/>
              <w:spacing w:after="0"/>
              <w:rPr>
                <w:sz w:val="20"/>
                <w:szCs w:val="20"/>
                <w:color w:val="auto"/>
              </w:rPr>
            </w:pPr>
            <w:r>
              <w:rPr>
                <w:rFonts w:ascii="Arial" w:cs="Arial" w:eastAsia="Arial" w:hAnsi="Arial"/>
                <w:sz w:val="20"/>
                <w:szCs w:val="20"/>
                <w:color w:val="00162F"/>
                <w:w w:val="99"/>
              </w:rPr>
              <w:t>10%</w:t>
            </w:r>
          </w:p>
        </w:tc>
        <w:tc>
          <w:tcPr>
            <w:tcW w:w="1920" w:type="dxa"/>
            <w:vAlign w:val="bottom"/>
            <w:gridSpan w:val="3"/>
          </w:tcPr>
          <w:p>
            <w:pPr>
              <w:jc w:val="right"/>
              <w:ind w:right="361"/>
              <w:spacing w:after="0"/>
              <w:rPr>
                <w:sz w:val="20"/>
                <w:szCs w:val="20"/>
                <w:color w:val="auto"/>
              </w:rPr>
            </w:pPr>
            <w:r>
              <w:rPr>
                <w:rFonts w:ascii="Arial" w:cs="Arial" w:eastAsia="Arial" w:hAnsi="Arial"/>
                <w:sz w:val="20"/>
                <w:szCs w:val="20"/>
                <w:color w:val="00162F"/>
              </w:rPr>
              <w:t>0% - 20%</w:t>
            </w:r>
          </w:p>
        </w:tc>
      </w:tr>
      <w:tr>
        <w:trPr>
          <w:trHeight w:val="286"/>
        </w:trPr>
        <w:tc>
          <w:tcPr>
            <w:tcW w:w="40" w:type="dxa"/>
            <w:vAlign w:val="bottom"/>
            <w:shd w:val="clear" w:color="auto" w:fill="EDEDED"/>
          </w:tcPr>
          <w:p>
            <w:pPr>
              <w:spacing w:after="0"/>
              <w:rPr>
                <w:sz w:val="24"/>
                <w:szCs w:val="24"/>
                <w:color w:val="auto"/>
              </w:rPr>
            </w:pPr>
          </w:p>
        </w:tc>
        <w:tc>
          <w:tcPr>
            <w:tcW w:w="1720" w:type="dxa"/>
            <w:vAlign w:val="bottom"/>
            <w:shd w:val="clear" w:color="auto" w:fill="EDEDED"/>
          </w:tcPr>
          <w:p>
            <w:pPr>
              <w:spacing w:after="0"/>
              <w:rPr>
                <w:sz w:val="24"/>
                <w:szCs w:val="24"/>
                <w:color w:val="auto"/>
              </w:rPr>
            </w:pPr>
          </w:p>
        </w:tc>
        <w:tc>
          <w:tcPr>
            <w:tcW w:w="5160" w:type="dxa"/>
            <w:vAlign w:val="bottom"/>
            <w:shd w:val="clear" w:color="auto" w:fill="EDEDED"/>
          </w:tcPr>
          <w:p>
            <w:pPr>
              <w:spacing w:after="0"/>
              <w:rPr>
                <w:sz w:val="24"/>
                <w:szCs w:val="24"/>
                <w:color w:val="auto"/>
              </w:rPr>
            </w:pPr>
          </w:p>
        </w:tc>
        <w:tc>
          <w:tcPr>
            <w:tcW w:w="18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r>
      <w:tr>
        <w:trPr>
          <w:trHeight w:val="278"/>
        </w:trPr>
        <w:tc>
          <w:tcPr>
            <w:tcW w:w="4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20"/>
                <w:szCs w:val="20"/>
                <w:color w:val="00162F"/>
              </w:rPr>
              <w:t>Other</w:t>
            </w:r>
          </w:p>
        </w:tc>
        <w:tc>
          <w:tcPr>
            <w:tcW w:w="1840" w:type="dxa"/>
            <w:vAlign w:val="bottom"/>
          </w:tcPr>
          <w:p>
            <w:pPr>
              <w:jc w:val="center"/>
              <w:spacing w:after="0"/>
              <w:rPr>
                <w:sz w:val="20"/>
                <w:szCs w:val="20"/>
                <w:color w:val="auto"/>
              </w:rPr>
            </w:pPr>
            <w:r>
              <w:rPr>
                <w:rFonts w:ascii="Arial" w:cs="Arial" w:eastAsia="Arial" w:hAnsi="Arial"/>
                <w:sz w:val="20"/>
                <w:szCs w:val="20"/>
                <w:color w:val="00162F"/>
              </w:rPr>
              <w:t>0%</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0%</w:t>
            </w:r>
          </w:p>
        </w:tc>
        <w:tc>
          <w:tcPr>
            <w:tcW w:w="980" w:type="dxa"/>
            <w:vAlign w:val="bottom"/>
          </w:tcPr>
          <w:p>
            <w:pPr>
              <w:ind w:left="40"/>
              <w:spacing w:after="0"/>
              <w:rPr>
                <w:sz w:val="20"/>
                <w:szCs w:val="20"/>
                <w:color w:val="auto"/>
              </w:rPr>
            </w:pPr>
            <w:r>
              <w:rPr>
                <w:rFonts w:ascii="Arial" w:cs="Arial" w:eastAsia="Arial" w:hAnsi="Arial"/>
                <w:sz w:val="20"/>
                <w:szCs w:val="20"/>
                <w:color w:val="00162F"/>
              </w:rPr>
              <w:t>- 5%</w:t>
            </w:r>
          </w:p>
        </w:tc>
      </w:tr>
      <w:tr>
        <w:trPr>
          <w:trHeight w:val="286"/>
        </w:trPr>
        <w:tc>
          <w:tcPr>
            <w:tcW w:w="40" w:type="dxa"/>
            <w:vAlign w:val="bottom"/>
            <w:shd w:val="clear" w:color="auto" w:fill="EDEDED"/>
          </w:tcPr>
          <w:p>
            <w:pPr>
              <w:spacing w:after="0"/>
              <w:rPr>
                <w:sz w:val="24"/>
                <w:szCs w:val="24"/>
                <w:color w:val="auto"/>
              </w:rPr>
            </w:pPr>
          </w:p>
        </w:tc>
        <w:tc>
          <w:tcPr>
            <w:tcW w:w="6880" w:type="dxa"/>
            <w:vAlign w:val="bottom"/>
            <w:gridSpan w:val="2"/>
            <w:shd w:val="clear" w:color="auto" w:fill="EDEDED"/>
          </w:tcPr>
          <w:p>
            <w:pPr>
              <w:spacing w:after="0"/>
              <w:rPr>
                <w:sz w:val="20"/>
                <w:szCs w:val="20"/>
                <w:color w:val="auto"/>
              </w:rPr>
            </w:pPr>
            <w:r>
              <w:rPr>
                <w:rFonts w:ascii="Arial" w:cs="Arial" w:eastAsia="Arial" w:hAnsi="Arial"/>
                <w:sz w:val="20"/>
                <w:szCs w:val="20"/>
                <w:color w:val="00162F"/>
              </w:rPr>
              <w:t>Cash equivalents</w:t>
            </w:r>
          </w:p>
        </w:tc>
        <w:tc>
          <w:tcPr>
            <w:tcW w:w="1840" w:type="dxa"/>
            <w:vAlign w:val="bottom"/>
            <w:shd w:val="clear" w:color="auto" w:fill="EDEDED"/>
          </w:tcPr>
          <w:p>
            <w:pPr>
              <w:jc w:val="center"/>
              <w:spacing w:after="0"/>
              <w:rPr>
                <w:sz w:val="20"/>
                <w:szCs w:val="20"/>
                <w:color w:val="auto"/>
              </w:rPr>
            </w:pPr>
            <w:r>
              <w:rPr>
                <w:rFonts w:ascii="Arial" w:cs="Arial" w:eastAsia="Arial" w:hAnsi="Arial"/>
                <w:sz w:val="20"/>
                <w:szCs w:val="20"/>
                <w:color w:val="00162F"/>
              </w:rPr>
              <w:t>0%</w:t>
            </w:r>
          </w:p>
        </w:tc>
        <w:tc>
          <w:tcPr>
            <w:tcW w:w="1920" w:type="dxa"/>
            <w:vAlign w:val="bottom"/>
            <w:gridSpan w:val="3"/>
            <w:shd w:val="clear" w:color="auto" w:fill="EDEDED"/>
          </w:tcPr>
          <w:p>
            <w:pPr>
              <w:jc w:val="center"/>
              <w:ind w:left="1"/>
              <w:spacing w:after="0"/>
              <w:rPr>
                <w:sz w:val="20"/>
                <w:szCs w:val="20"/>
                <w:color w:val="auto"/>
              </w:rPr>
            </w:pPr>
            <w:r>
              <w:rPr>
                <w:rFonts w:ascii="Arial" w:cs="Arial" w:eastAsia="Arial" w:hAnsi="Arial"/>
                <w:sz w:val="20"/>
                <w:szCs w:val="20"/>
                <w:color w:val="00162F"/>
                <w:w w:val="99"/>
              </w:rPr>
              <w:t>0% - 20%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-2353310</wp:posOffset>
            </wp:positionV>
            <wp:extent cx="2420620" cy="501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9">
                      <a:extLst>
                        <a:ext uri="{28A0092B-C50C-407E-A947-70E740481C1C}"/>
                      </a:extLst>
                    </a:blip>
                    <a:srcRect/>
                    <a:stretch>
                      <a:fillRect/>
                    </a:stretch>
                  </pic:blipFill>
                  <pic:spPr bwMode="auto">
                    <a:xfrm>
                      <a:off x="0" y="0"/>
                      <a:ext cx="2420620" cy="50165"/>
                    </a:xfrm>
                    <a:prstGeom prst="rect">
                      <a:avLst/>
                    </a:prstGeom>
                    <a:noFill/>
                  </pic:spPr>
                </pic:pic>
              </a:graphicData>
            </a:graphic>
          </wp:anchor>
        </w:drawing>
      </w:r>
    </w:p>
    <w:p>
      <w:pPr>
        <w:spacing w:after="0" w:line="202"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Public equity investments are intended to provide a real return over a full market cycle and, therefore, to contribute to the pension plan’s long-term objective. Public fixed income investments are intended to provide income to the plan and offer the potential for long term capital appreciation. Private investments, such as private equity and private income, are used to provide higher expected returns than public markets over the long-term by assuming reduced levels of liquidity and higher levels of risk. The pension plan’s master trust participates in securities lending programs to generate additional income by loaning plan assets to borrowers on a fully collateralized basis. The pension plan’s master trust will also engage in derivative instruments to equitize residual levels of cash as well as hedge the pension plan’s exposure to interest rates. Such programs are subject to market risk and counterparty risk.</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115</w:t>
      </w:r>
    </w:p>
    <w:p>
      <w:pPr>
        <w:sectPr>
          <w:pgSz w:w="11880" w:h="15480" w:orient="portrait"/>
          <w:cols w:equalWidth="0" w:num="1">
            <w:col w:w="10680"/>
          </w:cols>
          <w:pgMar w:left="600" w:top="487" w:right="600" w:bottom="0" w:gutter="0" w:footer="0" w:header="0"/>
          <w:type w:val="continuous"/>
        </w:sectPr>
      </w:pPr>
    </w:p>
    <w:bookmarkStart w:id="116" w:name="page117"/>
    <w:bookmarkEnd w:id="116"/>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ind w:left="5" w:firstLine="267"/>
        <w:spacing w:after="0" w:line="269" w:lineRule="auto"/>
        <w:rPr>
          <w:sz w:val="20"/>
          <w:szCs w:val="20"/>
          <w:color w:val="auto"/>
        </w:rPr>
      </w:pPr>
      <w:r>
        <w:rPr>
          <w:rFonts w:ascii="Arial" w:cs="Arial" w:eastAsia="Arial" w:hAnsi="Arial"/>
          <w:sz w:val="19"/>
          <w:szCs w:val="19"/>
          <w:color w:val="00162F"/>
        </w:rPr>
        <w:t>Investments in securities traded on recognized securities exchanges are valued at the last reported sales price on the last business day of the year. Securities traded in the over-the-counter market are valued at the last bid price. Investments in limited partnerships are carried at estimated net asset value (NAV) as determined by and reported by the general partners of the partnerships and represent the proportionate share of the estimated fair value of the underlying assets of the limited partnerships. Mutual funds are valued once daily through a NAV calculation provided at the end of each trade day. Common/collective trusts are valued at NAV based on the fair values of the underlying investments of the trusts as determined by the sponsor of the trusts. No changes in valuation techniques or inputs occurred during the year.</w:t>
      </w:r>
    </w:p>
    <w:p>
      <w:pPr>
        <w:spacing w:after="0" w:line="217"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Benefit Plan Assets Measured at Fair Value on a Recurring Basis</w:t>
      </w:r>
    </w:p>
    <w:p>
      <w:pPr>
        <w:spacing w:after="0" w:line="95"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 xml:space="preserve">The fair value of our pension plan assets at December 31, 2025 and 2024, by asset category, were as follows (in millions) </w:t>
      </w:r>
      <w:r>
        <w:rPr>
          <w:rFonts w:ascii="Arial" w:cs="Arial" w:eastAsia="Arial" w:hAnsi="Arial"/>
          <w:sz w:val="12"/>
          <w:szCs w:val="12"/>
          <w:color w:val="00162F"/>
        </w:rPr>
        <w:t>(1)</w:t>
      </w:r>
      <w:r>
        <w:rPr>
          <w:rFonts w:ascii="Arial" w:cs="Arial" w:eastAsia="Arial" w:hAnsi="Arial"/>
          <w:sz w:val="20"/>
          <w:szCs w:val="20"/>
          <w:color w:val="00162F"/>
        </w:rPr>
        <w:t>:</w:t>
      </w:r>
    </w:p>
    <w:p>
      <w:pPr>
        <w:spacing w:after="0" w:line="118"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76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1760" w:type="dxa"/>
            <w:vAlign w:val="bottom"/>
            <w:tcBorders>
              <w:bottom w:val="single" w:sz="8" w:color="00162F"/>
            </w:tcBorders>
            <w:gridSpan w:val="4"/>
          </w:tcPr>
          <w:p>
            <w:pPr>
              <w:jc w:val="right"/>
              <w:ind w:right="164"/>
              <w:spacing w:after="0"/>
              <w:rPr>
                <w:sz w:val="20"/>
                <w:szCs w:val="20"/>
                <w:color w:val="auto"/>
              </w:rPr>
            </w:pPr>
            <w:r>
              <w:rPr>
                <w:rFonts w:ascii="Arial" w:cs="Arial" w:eastAsia="Arial" w:hAnsi="Arial"/>
                <w:sz w:val="16"/>
                <w:szCs w:val="16"/>
                <w:b w:val="1"/>
                <w:bCs w:val="1"/>
                <w:color w:val="00162F"/>
              </w:rPr>
              <w:t>December 31, 2025</w:t>
            </w:r>
          </w:p>
        </w:tc>
        <w:tc>
          <w:tcPr>
            <w:tcW w:w="80" w:type="dxa"/>
            <w:vAlign w:val="bottom"/>
            <w:tcBorders>
              <w:bottom w:val="single" w:sz="8" w:color="00162F"/>
            </w:tcBorders>
          </w:tcPr>
          <w:p>
            <w:pPr>
              <w:spacing w:after="0"/>
              <w:rPr>
                <w:sz w:val="18"/>
                <w:szCs w:val="18"/>
                <w:color w:val="auto"/>
              </w:rPr>
            </w:pPr>
          </w:p>
        </w:tc>
        <w:tc>
          <w:tcPr>
            <w:tcW w:w="200" w:type="dxa"/>
            <w:vAlign w:val="bottom"/>
            <w:tcBorders>
              <w:bottom w:val="single" w:sz="8" w:color="00162F"/>
            </w:tcBorders>
          </w:tcPr>
          <w:p>
            <w:pPr>
              <w:spacing w:after="0"/>
              <w:rPr>
                <w:sz w:val="18"/>
                <w:szCs w:val="18"/>
                <w:color w:val="auto"/>
              </w:rPr>
            </w:pPr>
          </w:p>
        </w:tc>
        <w:tc>
          <w:tcPr>
            <w:tcW w:w="720" w:type="dxa"/>
            <w:vAlign w:val="bottom"/>
            <w:tcBorders>
              <w:bottom w:val="single" w:sz="8" w:color="00162F"/>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76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1760" w:type="dxa"/>
            <w:vAlign w:val="bottom"/>
            <w:tcBorders>
              <w:bottom w:val="single" w:sz="8" w:color="00162F"/>
            </w:tcBorders>
            <w:gridSpan w:val="4"/>
          </w:tcPr>
          <w:p>
            <w:pPr>
              <w:jc w:val="right"/>
              <w:ind w:right="164"/>
              <w:spacing w:after="0"/>
              <w:rPr>
                <w:sz w:val="20"/>
                <w:szCs w:val="20"/>
                <w:color w:val="auto"/>
              </w:rPr>
            </w:pPr>
            <w:r>
              <w:rPr>
                <w:rFonts w:ascii="Arial" w:cs="Arial" w:eastAsia="Arial" w:hAnsi="Arial"/>
                <w:sz w:val="16"/>
                <w:szCs w:val="16"/>
                <w:b w:val="1"/>
                <w:bCs w:val="1"/>
                <w:color w:val="00162F"/>
              </w:rPr>
              <w:t>December 31, 2024</w:t>
            </w:r>
          </w:p>
        </w:tc>
        <w:tc>
          <w:tcPr>
            <w:tcW w:w="60" w:type="dxa"/>
            <w:vAlign w:val="bottom"/>
            <w:tcBorders>
              <w:bottom w:val="single" w:sz="8" w:color="00162F"/>
            </w:tcBorders>
          </w:tcPr>
          <w:p>
            <w:pPr>
              <w:spacing w:after="0"/>
              <w:rPr>
                <w:sz w:val="18"/>
                <w:szCs w:val="18"/>
                <w:color w:val="auto"/>
              </w:rPr>
            </w:pPr>
          </w:p>
        </w:tc>
        <w:tc>
          <w:tcPr>
            <w:tcW w:w="220" w:type="dxa"/>
            <w:vAlign w:val="bottom"/>
            <w:tcBorders>
              <w:bottom w:val="single" w:sz="8" w:color="00162F"/>
            </w:tcBorders>
          </w:tcPr>
          <w:p>
            <w:pPr>
              <w:spacing w:after="0"/>
              <w:rPr>
                <w:sz w:val="18"/>
                <w:szCs w:val="18"/>
                <w:color w:val="auto"/>
              </w:rPr>
            </w:pPr>
          </w:p>
        </w:tc>
        <w:tc>
          <w:tcPr>
            <w:tcW w:w="720" w:type="dxa"/>
            <w:vAlign w:val="bottom"/>
            <w:tcBorders>
              <w:bottom w:val="single" w:sz="8" w:color="00162F"/>
            </w:tcBorders>
          </w:tcPr>
          <w:p>
            <w:pPr>
              <w:spacing w:after="0"/>
              <w:rPr>
                <w:sz w:val="18"/>
                <w:szCs w:val="18"/>
                <w:color w:val="auto"/>
              </w:rPr>
            </w:pPr>
          </w:p>
        </w:tc>
      </w:tr>
      <w:tr>
        <w:trPr>
          <w:trHeight w:val="232"/>
        </w:trPr>
        <w:tc>
          <w:tcPr>
            <w:tcW w:w="1960" w:type="dxa"/>
            <w:vAlign w:val="bottom"/>
            <w:tcBorders>
              <w:bottom w:val="single" w:sz="8" w:color="EDEDED"/>
            </w:tcBorders>
          </w:tcPr>
          <w:p>
            <w:pPr>
              <w:spacing w:after="0"/>
              <w:rPr>
                <w:sz w:val="20"/>
                <w:szCs w:val="20"/>
                <w:color w:val="auto"/>
              </w:rPr>
            </w:pPr>
          </w:p>
        </w:tc>
        <w:tc>
          <w:tcPr>
            <w:tcW w:w="72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right"/>
              <w:ind w:right="104"/>
              <w:spacing w:after="0"/>
              <w:rPr>
                <w:sz w:val="20"/>
                <w:szCs w:val="20"/>
                <w:color w:val="auto"/>
              </w:rPr>
            </w:pPr>
            <w:r>
              <w:rPr>
                <w:rFonts w:ascii="Arial" w:cs="Arial" w:eastAsia="Arial" w:hAnsi="Arial"/>
                <w:sz w:val="16"/>
                <w:szCs w:val="16"/>
                <w:b w:val="1"/>
                <w:bCs w:val="1"/>
                <w:color w:val="00162F"/>
                <w:w w:val="99"/>
              </w:rPr>
              <w:t>Level 1</w:t>
            </w:r>
          </w:p>
        </w:tc>
        <w:tc>
          <w:tcPr>
            <w:tcW w:w="8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40" w:type="dxa"/>
            <w:vAlign w:val="bottom"/>
            <w:tcBorders>
              <w:bottom w:val="single" w:sz="8" w:color="00162F"/>
            </w:tcBorders>
          </w:tcPr>
          <w:p>
            <w:pPr>
              <w:jc w:val="right"/>
              <w:ind w:right="106"/>
              <w:spacing w:after="0"/>
              <w:rPr>
                <w:sz w:val="20"/>
                <w:szCs w:val="20"/>
                <w:color w:val="auto"/>
              </w:rPr>
            </w:pPr>
            <w:r>
              <w:rPr>
                <w:rFonts w:ascii="Arial" w:cs="Arial" w:eastAsia="Arial" w:hAnsi="Arial"/>
                <w:sz w:val="16"/>
                <w:szCs w:val="16"/>
                <w:b w:val="1"/>
                <w:bCs w:val="1"/>
                <w:color w:val="00162F"/>
                <w:w w:val="95"/>
              </w:rPr>
              <w:t>Level 2</w:t>
            </w:r>
          </w:p>
        </w:tc>
        <w:tc>
          <w:tcPr>
            <w:tcW w:w="8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right"/>
              <w:ind w:right="104"/>
              <w:spacing w:after="0"/>
              <w:rPr>
                <w:sz w:val="20"/>
                <w:szCs w:val="20"/>
                <w:color w:val="auto"/>
              </w:rPr>
            </w:pPr>
            <w:r>
              <w:rPr>
                <w:rFonts w:ascii="Arial" w:cs="Arial" w:eastAsia="Arial" w:hAnsi="Arial"/>
                <w:sz w:val="16"/>
                <w:szCs w:val="16"/>
                <w:b w:val="1"/>
                <w:bCs w:val="1"/>
                <w:color w:val="00162F"/>
                <w:w w:val="99"/>
              </w:rPr>
              <w:t>Level 3</w:t>
            </w:r>
          </w:p>
        </w:tc>
        <w:tc>
          <w:tcPr>
            <w:tcW w:w="80" w:type="dxa"/>
            <w:vAlign w:val="bottom"/>
            <w:tcBorders>
              <w:bottom w:val="single" w:sz="8" w:color="EDEDED"/>
            </w:tcBorders>
          </w:tcPr>
          <w:p>
            <w:pPr>
              <w:spacing w:after="0"/>
              <w:rPr>
                <w:sz w:val="20"/>
                <w:szCs w:val="20"/>
                <w:color w:val="auto"/>
              </w:rPr>
            </w:pPr>
          </w:p>
        </w:tc>
        <w:tc>
          <w:tcPr>
            <w:tcW w:w="200" w:type="dxa"/>
            <w:vAlign w:val="bottom"/>
            <w:tcBorders>
              <w:bottom w:val="single" w:sz="8" w:color="00162F"/>
            </w:tcBorders>
          </w:tcPr>
          <w:p>
            <w:pPr>
              <w:spacing w:after="0"/>
              <w:rPr>
                <w:sz w:val="20"/>
                <w:szCs w:val="20"/>
                <w:color w:val="auto"/>
              </w:rPr>
            </w:pPr>
          </w:p>
        </w:tc>
        <w:tc>
          <w:tcPr>
            <w:tcW w:w="720" w:type="dxa"/>
            <w:vAlign w:val="bottom"/>
            <w:tcBorders>
              <w:bottom w:val="single" w:sz="8" w:color="00162F"/>
            </w:tcBorders>
          </w:tcPr>
          <w:p>
            <w:pPr>
              <w:jc w:val="right"/>
              <w:ind w:right="184"/>
              <w:spacing w:after="0"/>
              <w:rPr>
                <w:sz w:val="20"/>
                <w:szCs w:val="20"/>
                <w:color w:val="auto"/>
              </w:rPr>
            </w:pPr>
            <w:r>
              <w:rPr>
                <w:rFonts w:ascii="Arial" w:cs="Arial" w:eastAsia="Arial" w:hAnsi="Arial"/>
                <w:sz w:val="16"/>
                <w:szCs w:val="16"/>
                <w:b w:val="1"/>
                <w:bCs w:val="1"/>
                <w:color w:val="00162F"/>
              </w:rPr>
              <w:t>Total</w:t>
            </w:r>
          </w:p>
        </w:tc>
        <w:tc>
          <w:tcPr>
            <w:tcW w:w="8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right"/>
              <w:ind w:right="104"/>
              <w:spacing w:after="0"/>
              <w:rPr>
                <w:sz w:val="20"/>
                <w:szCs w:val="20"/>
                <w:color w:val="auto"/>
              </w:rPr>
            </w:pPr>
            <w:r>
              <w:rPr>
                <w:rFonts w:ascii="Arial" w:cs="Arial" w:eastAsia="Arial" w:hAnsi="Arial"/>
                <w:sz w:val="16"/>
                <w:szCs w:val="16"/>
                <w:b w:val="1"/>
                <w:bCs w:val="1"/>
                <w:color w:val="00162F"/>
                <w:w w:val="99"/>
              </w:rPr>
              <w:t>Level 1</w:t>
            </w:r>
          </w:p>
        </w:tc>
        <w:tc>
          <w:tcPr>
            <w:tcW w:w="8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40" w:type="dxa"/>
            <w:vAlign w:val="bottom"/>
            <w:tcBorders>
              <w:bottom w:val="single" w:sz="8" w:color="00162F"/>
            </w:tcBorders>
          </w:tcPr>
          <w:p>
            <w:pPr>
              <w:jc w:val="right"/>
              <w:ind w:right="106"/>
              <w:spacing w:after="0"/>
              <w:rPr>
                <w:sz w:val="20"/>
                <w:szCs w:val="20"/>
                <w:color w:val="auto"/>
              </w:rPr>
            </w:pPr>
            <w:r>
              <w:rPr>
                <w:rFonts w:ascii="Arial" w:cs="Arial" w:eastAsia="Arial" w:hAnsi="Arial"/>
                <w:sz w:val="16"/>
                <w:szCs w:val="16"/>
                <w:b w:val="1"/>
                <w:bCs w:val="1"/>
                <w:color w:val="00162F"/>
                <w:w w:val="95"/>
              </w:rPr>
              <w:t>Level 2</w:t>
            </w:r>
          </w:p>
        </w:tc>
        <w:tc>
          <w:tcPr>
            <w:tcW w:w="8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right"/>
              <w:ind w:right="104"/>
              <w:spacing w:after="0"/>
              <w:rPr>
                <w:sz w:val="20"/>
                <w:szCs w:val="20"/>
                <w:color w:val="auto"/>
              </w:rPr>
            </w:pPr>
            <w:r>
              <w:rPr>
                <w:rFonts w:ascii="Arial" w:cs="Arial" w:eastAsia="Arial" w:hAnsi="Arial"/>
                <w:sz w:val="16"/>
                <w:szCs w:val="16"/>
                <w:b w:val="1"/>
                <w:bCs w:val="1"/>
                <w:color w:val="00162F"/>
                <w:w w:val="99"/>
              </w:rPr>
              <w:t>Level 3</w:t>
            </w:r>
          </w:p>
        </w:tc>
        <w:tc>
          <w:tcPr>
            <w:tcW w:w="60" w:type="dxa"/>
            <w:vAlign w:val="bottom"/>
            <w:tcBorders>
              <w:bottom w:val="single" w:sz="8" w:color="EDEDED"/>
            </w:tcBorders>
          </w:tcPr>
          <w:p>
            <w:pPr>
              <w:spacing w:after="0"/>
              <w:rPr>
                <w:sz w:val="20"/>
                <w:szCs w:val="20"/>
                <w:color w:val="auto"/>
              </w:rPr>
            </w:pPr>
          </w:p>
        </w:tc>
        <w:tc>
          <w:tcPr>
            <w:tcW w:w="220" w:type="dxa"/>
            <w:vAlign w:val="bottom"/>
            <w:tcBorders>
              <w:bottom w:val="single" w:sz="8" w:color="00162F"/>
            </w:tcBorders>
          </w:tcPr>
          <w:p>
            <w:pPr>
              <w:spacing w:after="0"/>
              <w:rPr>
                <w:sz w:val="20"/>
                <w:szCs w:val="20"/>
                <w:color w:val="auto"/>
              </w:rPr>
            </w:pPr>
          </w:p>
        </w:tc>
        <w:tc>
          <w:tcPr>
            <w:tcW w:w="720" w:type="dxa"/>
            <w:vAlign w:val="bottom"/>
            <w:tcBorders>
              <w:bottom w:val="single" w:sz="8" w:color="00162F"/>
            </w:tcBorders>
          </w:tcPr>
          <w:p>
            <w:pPr>
              <w:jc w:val="right"/>
              <w:ind w:right="184"/>
              <w:spacing w:after="0"/>
              <w:rPr>
                <w:sz w:val="20"/>
                <w:szCs w:val="20"/>
                <w:color w:val="auto"/>
              </w:rPr>
            </w:pPr>
            <w:r>
              <w:rPr>
                <w:rFonts w:ascii="Arial" w:cs="Arial" w:eastAsia="Arial" w:hAnsi="Arial"/>
                <w:sz w:val="16"/>
                <w:szCs w:val="16"/>
                <w:b w:val="1"/>
                <w:bCs w:val="1"/>
                <w:color w:val="00162F"/>
              </w:rPr>
              <w:t>Total</w:t>
            </w:r>
          </w:p>
        </w:tc>
      </w:tr>
      <w:tr>
        <w:trPr>
          <w:trHeight w:val="287"/>
        </w:trPr>
        <w:tc>
          <w:tcPr>
            <w:tcW w:w="26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Equity </w:t>
            </w:r>
            <w:r>
              <w:rPr>
                <w:rFonts w:ascii="Arial" w:cs="Arial" w:eastAsia="Arial" w:hAnsi="Arial"/>
                <w:sz w:val="12"/>
                <w:szCs w:val="12"/>
                <w:color w:val="00162F"/>
              </w:rPr>
              <w:t>(2)</w:t>
            </w:r>
          </w:p>
        </w:tc>
        <w:tc>
          <w:tcPr>
            <w:tcW w:w="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2,087</w:t>
            </w:r>
          </w:p>
        </w:tc>
        <w:tc>
          <w:tcPr>
            <w:tcW w:w="26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26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28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2,087</w:t>
            </w:r>
          </w:p>
        </w:tc>
        <w:tc>
          <w:tcPr>
            <w:tcW w:w="26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2,498</w:t>
            </w:r>
          </w:p>
        </w:tc>
        <w:tc>
          <w:tcPr>
            <w:tcW w:w="26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26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28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2,498</w:t>
            </w:r>
          </w:p>
        </w:tc>
      </w:tr>
      <w:tr>
        <w:trPr>
          <w:trHeight w:val="293"/>
        </w:trPr>
        <w:tc>
          <w:tcPr>
            <w:tcW w:w="2680" w:type="dxa"/>
            <w:vAlign w:val="bottom"/>
            <w:gridSpan w:val="2"/>
          </w:tcPr>
          <w:p>
            <w:pPr>
              <w:ind w:left="40"/>
              <w:spacing w:after="0"/>
              <w:rPr>
                <w:sz w:val="20"/>
                <w:szCs w:val="20"/>
                <w:color w:val="auto"/>
              </w:rPr>
            </w:pPr>
            <w:r>
              <w:rPr>
                <w:rFonts w:ascii="Arial" w:cs="Arial" w:eastAsia="Arial" w:hAnsi="Arial"/>
                <w:sz w:val="20"/>
                <w:szCs w:val="20"/>
                <w:color w:val="00162F"/>
              </w:rPr>
              <w:t xml:space="preserve">Fixed income </w:t>
            </w:r>
            <w:r>
              <w:rPr>
                <w:rFonts w:ascii="Arial" w:cs="Arial" w:eastAsia="Arial" w:hAnsi="Arial"/>
                <w:sz w:val="12"/>
                <w:szCs w:val="12"/>
                <w:color w:val="00162F"/>
              </w:rPr>
              <w:t>(3)</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0162F"/>
              </w:rPr>
              <w:t>476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0162F"/>
              </w:rPr>
              <w:t>5,390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0162F"/>
              </w:rPr>
              <w:t>5,866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0162F"/>
              </w:rPr>
              <w:t>439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0162F"/>
              </w:rPr>
              <w:t>3,723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0162F"/>
              </w:rPr>
              <w:t>4,162</w:t>
            </w:r>
          </w:p>
        </w:tc>
      </w:tr>
      <w:tr>
        <w:trPr>
          <w:trHeight w:val="301"/>
        </w:trPr>
        <w:tc>
          <w:tcPr>
            <w:tcW w:w="26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Other, net </w:t>
            </w:r>
            <w:r>
              <w:rPr>
                <w:rFonts w:ascii="Arial" w:cs="Arial" w:eastAsia="Arial" w:hAnsi="Arial"/>
                <w:sz w:val="12"/>
                <w:szCs w:val="12"/>
                <w:color w:val="00162F"/>
              </w:rPr>
              <w:t>(4)</w:t>
            </w: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144</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288</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63</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495</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91</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144</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68</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303</w:t>
            </w:r>
          </w:p>
        </w:tc>
      </w:tr>
      <w:tr>
        <w:trPr>
          <w:trHeight w:val="275"/>
        </w:trPr>
        <w:tc>
          <w:tcPr>
            <w:tcW w:w="2680" w:type="dxa"/>
            <w:vAlign w:val="bottom"/>
            <w:gridSpan w:val="2"/>
          </w:tcPr>
          <w:p>
            <w:pPr>
              <w:ind w:left="40"/>
              <w:spacing w:after="0"/>
              <w:rPr>
                <w:sz w:val="20"/>
                <w:szCs w:val="20"/>
                <w:color w:val="auto"/>
              </w:rPr>
            </w:pPr>
            <w:r>
              <w:rPr>
                <w:rFonts w:ascii="Arial" w:cs="Arial" w:eastAsia="Arial" w:hAnsi="Arial"/>
                <w:sz w:val="20"/>
                <w:szCs w:val="20"/>
                <w:color w:val="00162F"/>
              </w:rPr>
              <w:t xml:space="preserve">Measured at NAV </w:t>
            </w:r>
            <w:r>
              <w:rPr>
                <w:rFonts w:ascii="Arial" w:cs="Arial" w:eastAsia="Arial" w:hAnsi="Arial"/>
                <w:sz w:val="12"/>
                <w:szCs w:val="12"/>
                <w:color w:val="00162F"/>
              </w:rPr>
              <w:t>(5)</w:t>
            </w:r>
            <w:r>
              <w:rPr>
                <w:rFonts w:ascii="Arial" w:cs="Arial" w:eastAsia="Arial" w:hAnsi="Arial"/>
                <w:sz w:val="20"/>
                <w:szCs w:val="20"/>
                <w:color w:val="00162F"/>
              </w:rPr>
              <w:t>:</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304"/>
        </w:trPr>
        <w:tc>
          <w:tcPr>
            <w:tcW w:w="2680" w:type="dxa"/>
            <w:vAlign w:val="bottom"/>
            <w:gridSpan w:val="2"/>
            <w:shd w:val="clear" w:color="auto" w:fill="EDEDED"/>
          </w:tcPr>
          <w:p>
            <w:pPr>
              <w:ind w:left="160"/>
              <w:spacing w:after="0"/>
              <w:rPr>
                <w:sz w:val="20"/>
                <w:szCs w:val="20"/>
                <w:color w:val="auto"/>
              </w:rPr>
            </w:pPr>
            <w:r>
              <w:rPr>
                <w:rFonts w:ascii="Arial" w:cs="Arial" w:eastAsia="Arial" w:hAnsi="Arial"/>
                <w:sz w:val="20"/>
                <w:szCs w:val="20"/>
                <w:color w:val="00162F"/>
              </w:rPr>
              <w:t xml:space="preserve">Common collective trusts </w:t>
            </w:r>
            <w:r>
              <w:rPr>
                <w:rFonts w:ascii="Arial" w:cs="Arial" w:eastAsia="Arial" w:hAnsi="Arial"/>
                <w:sz w:val="12"/>
                <w:szCs w:val="12"/>
                <w:color w:val="00162F"/>
              </w:rPr>
              <w:t>(6)</w:t>
            </w: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273</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1,153</w:t>
            </w:r>
          </w:p>
        </w:tc>
      </w:tr>
      <w:tr>
        <w:trPr>
          <w:trHeight w:val="287"/>
        </w:trPr>
        <w:tc>
          <w:tcPr>
            <w:tcW w:w="2680" w:type="dxa"/>
            <w:vAlign w:val="bottom"/>
            <w:tcBorders>
              <w:bottom w:val="single" w:sz="8" w:color="EDEDED"/>
            </w:tcBorders>
            <w:gridSpan w:val="2"/>
          </w:tcPr>
          <w:p>
            <w:pPr>
              <w:ind w:left="160"/>
              <w:spacing w:after="0"/>
              <w:rPr>
                <w:sz w:val="20"/>
                <w:szCs w:val="20"/>
                <w:color w:val="auto"/>
              </w:rPr>
            </w:pPr>
            <w:r>
              <w:rPr>
                <w:rFonts w:ascii="Arial" w:cs="Arial" w:eastAsia="Arial" w:hAnsi="Arial"/>
                <w:sz w:val="20"/>
                <w:szCs w:val="20"/>
                <w:color w:val="00162F"/>
              </w:rPr>
              <w:t xml:space="preserve">Private investments </w:t>
            </w:r>
            <w:r>
              <w:rPr>
                <w:rFonts w:ascii="Arial" w:cs="Arial" w:eastAsia="Arial" w:hAnsi="Arial"/>
                <w:sz w:val="12"/>
                <w:szCs w:val="12"/>
                <w:color w:val="00162F"/>
              </w:rPr>
              <w:t>(7)</w:t>
            </w:r>
          </w:p>
        </w:tc>
        <w:tc>
          <w:tcPr>
            <w:tcW w:w="180" w:type="dxa"/>
            <w:vAlign w:val="bottom"/>
            <w:tcBorders>
              <w:bottom w:val="single" w:sz="8" w:color="00162F"/>
            </w:tcBorders>
          </w:tcPr>
          <w:p>
            <w:pPr>
              <w:spacing w:after="0"/>
              <w:rPr>
                <w:sz w:val="24"/>
                <w:szCs w:val="24"/>
                <w:color w:val="auto"/>
              </w:rPr>
            </w:pPr>
          </w:p>
        </w:tc>
        <w:tc>
          <w:tcPr>
            <w:tcW w:w="7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7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7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200" w:type="dxa"/>
            <w:vAlign w:val="bottom"/>
            <w:tcBorders>
              <w:bottom w:val="single" w:sz="8" w:color="00162F"/>
            </w:tcBorders>
          </w:tcPr>
          <w:p>
            <w:pPr>
              <w:spacing w:after="0"/>
              <w:rPr>
                <w:sz w:val="24"/>
                <w:szCs w:val="24"/>
                <w:color w:val="auto"/>
              </w:rPr>
            </w:pPr>
          </w:p>
        </w:tc>
        <w:tc>
          <w:tcPr>
            <w:tcW w:w="7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4,071</w:t>
            </w:r>
          </w:p>
        </w:tc>
        <w:tc>
          <w:tcPr>
            <w:tcW w:w="8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7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7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7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tcPr>
          <w:p>
            <w:pPr>
              <w:spacing w:after="0"/>
              <w:rPr>
                <w:sz w:val="24"/>
                <w:szCs w:val="24"/>
                <w:color w:val="auto"/>
              </w:rPr>
            </w:pPr>
          </w:p>
        </w:tc>
        <w:tc>
          <w:tcPr>
            <w:tcW w:w="220" w:type="dxa"/>
            <w:vAlign w:val="bottom"/>
            <w:tcBorders>
              <w:bottom w:val="single" w:sz="8" w:color="00162F"/>
            </w:tcBorders>
          </w:tcPr>
          <w:p>
            <w:pPr>
              <w:spacing w:after="0"/>
              <w:rPr>
                <w:sz w:val="24"/>
                <w:szCs w:val="24"/>
                <w:color w:val="auto"/>
              </w:rPr>
            </w:pPr>
          </w:p>
        </w:tc>
        <w:tc>
          <w:tcPr>
            <w:tcW w:w="7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4,138</w:t>
            </w:r>
          </w:p>
        </w:tc>
      </w:tr>
      <w:tr>
        <w:trPr>
          <w:trHeight w:val="297"/>
        </w:trPr>
        <w:tc>
          <w:tcPr>
            <w:tcW w:w="2680" w:type="dxa"/>
            <w:vAlign w:val="bottom"/>
            <w:gridSpan w:val="2"/>
            <w:shd w:val="clear" w:color="auto" w:fill="EDEDED"/>
          </w:tcPr>
          <w:p>
            <w:pPr>
              <w:ind w:left="280"/>
              <w:spacing w:after="0"/>
              <w:rPr>
                <w:sz w:val="20"/>
                <w:szCs w:val="20"/>
                <w:color w:val="auto"/>
              </w:rPr>
            </w:pPr>
            <w:r>
              <w:rPr>
                <w:rFonts w:ascii="Arial" w:cs="Arial" w:eastAsia="Arial" w:hAnsi="Arial"/>
                <w:sz w:val="20"/>
                <w:szCs w:val="20"/>
                <w:color w:val="00162F"/>
              </w:rPr>
              <w:t>Total plan assets</w:t>
            </w:r>
          </w:p>
        </w:tc>
        <w:tc>
          <w:tcPr>
            <w:tcW w:w="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2,707</w:t>
            </w:r>
          </w:p>
        </w:tc>
        <w:tc>
          <w:tcPr>
            <w:tcW w:w="26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5,678</w:t>
            </w:r>
          </w:p>
        </w:tc>
        <w:tc>
          <w:tcPr>
            <w:tcW w:w="26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63</w:t>
            </w:r>
          </w:p>
        </w:tc>
        <w:tc>
          <w:tcPr>
            <w:tcW w:w="28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12,792</w:t>
            </w:r>
          </w:p>
        </w:tc>
        <w:tc>
          <w:tcPr>
            <w:tcW w:w="26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3,028</w:t>
            </w:r>
          </w:p>
        </w:tc>
        <w:tc>
          <w:tcPr>
            <w:tcW w:w="26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3,867</w:t>
            </w:r>
          </w:p>
        </w:tc>
        <w:tc>
          <w:tcPr>
            <w:tcW w:w="26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68</w:t>
            </w:r>
          </w:p>
        </w:tc>
        <w:tc>
          <w:tcPr>
            <w:tcW w:w="28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12,254</w:t>
            </w:r>
          </w:p>
        </w:tc>
      </w:tr>
      <w:tr>
        <w:trPr>
          <w:trHeight w:val="133"/>
        </w:trPr>
        <w:tc>
          <w:tcPr>
            <w:tcW w:w="1960" w:type="dxa"/>
            <w:vAlign w:val="bottom"/>
            <w:tcBorders>
              <w:top w:val="single" w:sz="8" w:color="EDEDED"/>
              <w:bottom w:val="single" w:sz="8" w:color="00162F"/>
            </w:tcBorders>
          </w:tcPr>
          <w:p>
            <w:pPr>
              <w:spacing w:after="0"/>
              <w:rPr>
                <w:sz w:val="11"/>
                <w:szCs w:val="11"/>
                <w:color w:val="auto"/>
              </w:rPr>
            </w:pPr>
          </w:p>
        </w:tc>
        <w:tc>
          <w:tcPr>
            <w:tcW w:w="72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60" w:type="dxa"/>
            <w:vAlign w:val="bottom"/>
            <w:tcBorders>
              <w:top w:val="single" w:sz="8" w:color="00162F"/>
            </w:tcBorders>
          </w:tcPr>
          <w:p>
            <w:pPr>
              <w:spacing w:after="0"/>
              <w:rPr>
                <w:sz w:val="11"/>
                <w:szCs w:val="11"/>
                <w:color w:val="auto"/>
              </w:rPr>
            </w:pPr>
          </w:p>
        </w:tc>
        <w:tc>
          <w:tcPr>
            <w:tcW w:w="8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40" w:type="dxa"/>
            <w:vAlign w:val="bottom"/>
            <w:tcBorders>
              <w:top w:val="single" w:sz="8" w:color="00162F"/>
            </w:tcBorders>
          </w:tcPr>
          <w:p>
            <w:pPr>
              <w:spacing w:after="0"/>
              <w:rPr>
                <w:sz w:val="11"/>
                <w:szCs w:val="11"/>
                <w:color w:val="auto"/>
              </w:rPr>
            </w:pPr>
          </w:p>
        </w:tc>
        <w:tc>
          <w:tcPr>
            <w:tcW w:w="8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60" w:type="dxa"/>
            <w:vAlign w:val="bottom"/>
            <w:tcBorders>
              <w:top w:val="single" w:sz="8" w:color="00162F"/>
            </w:tcBorders>
          </w:tcPr>
          <w:p>
            <w:pPr>
              <w:spacing w:after="0"/>
              <w:rPr>
                <w:sz w:val="11"/>
                <w:szCs w:val="11"/>
                <w:color w:val="auto"/>
              </w:rPr>
            </w:pPr>
          </w:p>
        </w:tc>
        <w:tc>
          <w:tcPr>
            <w:tcW w:w="80" w:type="dxa"/>
            <w:vAlign w:val="bottom"/>
            <w:tcBorders>
              <w:top w:val="single" w:sz="8" w:color="EDEDED"/>
            </w:tcBorders>
          </w:tcPr>
          <w:p>
            <w:pPr>
              <w:spacing w:after="0"/>
              <w:rPr>
                <w:sz w:val="11"/>
                <w:szCs w:val="11"/>
                <w:color w:val="auto"/>
              </w:rPr>
            </w:pPr>
          </w:p>
        </w:tc>
        <w:tc>
          <w:tcPr>
            <w:tcW w:w="200" w:type="dxa"/>
            <w:vAlign w:val="bottom"/>
            <w:tcBorders>
              <w:top w:val="single" w:sz="8" w:color="00162F"/>
            </w:tcBorders>
          </w:tcPr>
          <w:p>
            <w:pPr>
              <w:spacing w:after="0"/>
              <w:rPr>
                <w:sz w:val="11"/>
                <w:szCs w:val="11"/>
                <w:color w:val="auto"/>
              </w:rPr>
            </w:pPr>
          </w:p>
        </w:tc>
        <w:tc>
          <w:tcPr>
            <w:tcW w:w="720" w:type="dxa"/>
            <w:vAlign w:val="bottom"/>
            <w:tcBorders>
              <w:top w:val="single" w:sz="8" w:color="00162F"/>
            </w:tcBorders>
          </w:tcPr>
          <w:p>
            <w:pPr>
              <w:spacing w:after="0"/>
              <w:rPr>
                <w:sz w:val="11"/>
                <w:szCs w:val="11"/>
                <w:color w:val="auto"/>
              </w:rPr>
            </w:pPr>
          </w:p>
        </w:tc>
        <w:tc>
          <w:tcPr>
            <w:tcW w:w="8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60" w:type="dxa"/>
            <w:vAlign w:val="bottom"/>
            <w:tcBorders>
              <w:top w:val="single" w:sz="8" w:color="00162F"/>
            </w:tcBorders>
          </w:tcPr>
          <w:p>
            <w:pPr>
              <w:spacing w:after="0"/>
              <w:rPr>
                <w:sz w:val="11"/>
                <w:szCs w:val="11"/>
                <w:color w:val="auto"/>
              </w:rPr>
            </w:pPr>
          </w:p>
        </w:tc>
        <w:tc>
          <w:tcPr>
            <w:tcW w:w="8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40" w:type="dxa"/>
            <w:vAlign w:val="bottom"/>
            <w:tcBorders>
              <w:top w:val="single" w:sz="8" w:color="00162F"/>
            </w:tcBorders>
          </w:tcPr>
          <w:p>
            <w:pPr>
              <w:spacing w:after="0"/>
              <w:rPr>
                <w:sz w:val="11"/>
                <w:szCs w:val="11"/>
                <w:color w:val="auto"/>
              </w:rPr>
            </w:pPr>
          </w:p>
        </w:tc>
        <w:tc>
          <w:tcPr>
            <w:tcW w:w="8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60" w:type="dxa"/>
            <w:vAlign w:val="bottom"/>
            <w:tcBorders>
              <w:top w:val="single" w:sz="8" w:color="00162F"/>
            </w:tcBorders>
          </w:tcPr>
          <w:p>
            <w:pPr>
              <w:spacing w:after="0"/>
              <w:rPr>
                <w:sz w:val="11"/>
                <w:szCs w:val="11"/>
                <w:color w:val="auto"/>
              </w:rPr>
            </w:pPr>
          </w:p>
        </w:tc>
        <w:tc>
          <w:tcPr>
            <w:tcW w:w="60" w:type="dxa"/>
            <w:vAlign w:val="bottom"/>
            <w:tcBorders>
              <w:top w:val="single" w:sz="8" w:color="EDEDED"/>
            </w:tcBorders>
          </w:tcPr>
          <w:p>
            <w:pPr>
              <w:spacing w:after="0"/>
              <w:rPr>
                <w:sz w:val="11"/>
                <w:szCs w:val="11"/>
                <w:color w:val="auto"/>
              </w:rPr>
            </w:pPr>
          </w:p>
        </w:tc>
        <w:tc>
          <w:tcPr>
            <w:tcW w:w="220" w:type="dxa"/>
            <w:vAlign w:val="bottom"/>
            <w:tcBorders>
              <w:top w:val="single" w:sz="8" w:color="00162F"/>
            </w:tcBorders>
          </w:tcPr>
          <w:p>
            <w:pPr>
              <w:spacing w:after="0"/>
              <w:rPr>
                <w:sz w:val="11"/>
                <w:szCs w:val="11"/>
                <w:color w:val="auto"/>
              </w:rPr>
            </w:pPr>
          </w:p>
        </w:tc>
        <w:tc>
          <w:tcPr>
            <w:tcW w:w="720" w:type="dxa"/>
            <w:vAlign w:val="bottom"/>
            <w:tcBorders>
              <w:top w:val="single" w:sz="8" w:color="00162F"/>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-1438910</wp:posOffset>
            </wp:positionV>
            <wp:extent cx="510730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0">
                      <a:extLst>
                        <a:ext uri="{28A0092B-C50C-407E-A947-70E740481C1C}"/>
                      </a:extLst>
                    </a:blip>
                    <a:srcRect/>
                    <a:stretch>
                      <a:fillRect/>
                    </a:stretch>
                  </pic:blipFill>
                  <pic:spPr bwMode="auto">
                    <a:xfrm>
                      <a:off x="0" y="0"/>
                      <a:ext cx="5107305" cy="25400"/>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-316865</wp:posOffset>
            </wp:positionV>
            <wp:extent cx="450024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1">
                      <a:extLst>
                        <a:ext uri="{28A0092B-C50C-407E-A947-70E740481C1C}"/>
                      </a:extLst>
                    </a:blip>
                    <a:srcRect/>
                    <a:stretch>
                      <a:fillRect/>
                    </a:stretch>
                  </pic:blipFill>
                  <pic:spPr bwMode="auto">
                    <a:xfrm>
                      <a:off x="0" y="0"/>
                      <a:ext cx="4500245" cy="25400"/>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-140970</wp:posOffset>
            </wp:positionV>
            <wp:extent cx="510730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2">
                      <a:extLst>
                        <a:ext uri="{28A0092B-C50C-407E-A947-70E740481C1C}"/>
                      </a:extLst>
                    </a:blip>
                    <a:srcRect/>
                    <a:stretch>
                      <a:fillRect/>
                    </a:stretch>
                  </pic:blipFill>
                  <pic:spPr bwMode="auto">
                    <a:xfrm>
                      <a:off x="0" y="0"/>
                      <a:ext cx="5107305" cy="50800"/>
                    </a:xfrm>
                    <a:prstGeom prst="rect">
                      <a:avLst/>
                    </a:prstGeom>
                    <a:noFill/>
                  </pic:spPr>
                </pic:pic>
              </a:graphicData>
            </a:graphic>
          </wp:anchor>
        </w:drawing>
      </w:r>
    </w:p>
    <w:p>
      <w:pPr>
        <w:spacing w:after="0" w:line="14" w:lineRule="exact"/>
        <w:rPr>
          <w:sz w:val="20"/>
          <w:szCs w:val="20"/>
          <w:color w:val="auto"/>
        </w:rPr>
      </w:pPr>
    </w:p>
    <w:p>
      <w:pPr>
        <w:ind w:left="365" w:hanging="365"/>
        <w:spacing w:after="0"/>
        <w:tabs>
          <w:tab w:leader="none" w:pos="365" w:val="left"/>
        </w:tabs>
        <w:numPr>
          <w:ilvl w:val="0"/>
          <w:numId w:val="56"/>
        </w:numPr>
        <w:rPr>
          <w:rFonts w:ascii="Arial" w:cs="Arial" w:eastAsia="Arial" w:hAnsi="Arial"/>
          <w:sz w:val="13"/>
          <w:szCs w:val="13"/>
          <w:color w:val="00162F"/>
        </w:rPr>
      </w:pPr>
      <w:r>
        <w:rPr>
          <w:rFonts w:ascii="Arial" w:cs="Arial" w:eastAsia="Arial" w:hAnsi="Arial"/>
          <w:sz w:val="20"/>
          <w:szCs w:val="20"/>
          <w:color w:val="00162F"/>
        </w:rPr>
        <w:t>See Note 7 for a description of the levels within the fair value hierarchy.</w:t>
      </w:r>
    </w:p>
    <w:p>
      <w:pPr>
        <w:spacing w:after="0" w:line="185" w:lineRule="exact"/>
        <w:rPr>
          <w:rFonts w:ascii="Arial" w:cs="Arial" w:eastAsia="Arial" w:hAnsi="Arial"/>
          <w:sz w:val="13"/>
          <w:szCs w:val="13"/>
          <w:color w:val="00162F"/>
        </w:rPr>
      </w:pPr>
    </w:p>
    <w:p>
      <w:pPr>
        <w:ind w:left="365" w:hanging="365"/>
        <w:spacing w:after="0"/>
        <w:tabs>
          <w:tab w:leader="none" w:pos="365" w:val="left"/>
        </w:tabs>
        <w:numPr>
          <w:ilvl w:val="0"/>
          <w:numId w:val="56"/>
        </w:numPr>
        <w:rPr>
          <w:rFonts w:ascii="Arial" w:cs="Arial" w:eastAsia="Arial" w:hAnsi="Arial"/>
          <w:sz w:val="13"/>
          <w:szCs w:val="13"/>
          <w:color w:val="00162F"/>
        </w:rPr>
      </w:pPr>
      <w:r>
        <w:rPr>
          <w:rFonts w:ascii="Arial" w:cs="Arial" w:eastAsia="Arial" w:hAnsi="Arial"/>
          <w:sz w:val="20"/>
          <w:szCs w:val="20"/>
          <w:color w:val="00162F"/>
        </w:rPr>
        <w:t>Equity investments primarily include domestic and international common stock.</w:t>
      </w:r>
    </w:p>
    <w:p>
      <w:pPr>
        <w:spacing w:after="0" w:line="185"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56"/>
        </w:numPr>
        <w:rPr>
          <w:rFonts w:ascii="Arial" w:cs="Arial" w:eastAsia="Arial" w:hAnsi="Arial"/>
          <w:sz w:val="13"/>
          <w:szCs w:val="13"/>
          <w:color w:val="00162F"/>
        </w:rPr>
      </w:pPr>
      <w:r>
        <w:rPr>
          <w:rFonts w:ascii="Arial" w:cs="Arial" w:eastAsia="Arial" w:hAnsi="Arial"/>
          <w:sz w:val="20"/>
          <w:szCs w:val="20"/>
          <w:color w:val="00162F"/>
        </w:rPr>
        <w:t>Fixed income investments primarily include corporate and government bonds, as well as mutual funds invested in fixed income securities.</w:t>
      </w:r>
    </w:p>
    <w:p>
      <w:pPr>
        <w:spacing w:after="0" w:line="112" w:lineRule="exact"/>
        <w:rPr>
          <w:rFonts w:ascii="Arial" w:cs="Arial" w:eastAsia="Arial" w:hAnsi="Arial"/>
          <w:sz w:val="13"/>
          <w:szCs w:val="13"/>
          <w:color w:val="00162F"/>
        </w:rPr>
      </w:pPr>
    </w:p>
    <w:p>
      <w:pPr>
        <w:jc w:val="both"/>
        <w:ind w:left="365" w:hanging="365"/>
        <w:spacing w:after="0" w:line="310" w:lineRule="auto"/>
        <w:tabs>
          <w:tab w:leader="none" w:pos="365" w:val="left"/>
        </w:tabs>
        <w:numPr>
          <w:ilvl w:val="0"/>
          <w:numId w:val="56"/>
        </w:numPr>
        <w:rPr>
          <w:rFonts w:ascii="Arial" w:cs="Arial" w:eastAsia="Arial" w:hAnsi="Arial"/>
          <w:sz w:val="12"/>
          <w:szCs w:val="12"/>
          <w:color w:val="00162F"/>
        </w:rPr>
      </w:pPr>
      <w:r>
        <w:rPr>
          <w:rFonts w:ascii="Arial" w:cs="Arial" w:eastAsia="Arial" w:hAnsi="Arial"/>
          <w:sz w:val="19"/>
          <w:szCs w:val="19"/>
          <w:color w:val="00162F"/>
        </w:rPr>
        <w:t>Other primarily includes a short-term investment fund, net receivables and payables of the pension plan’s master trust for dividends, interest and amounts due to or from the sale and purchase of securities and cash and cash equivalents.</w:t>
      </w:r>
    </w:p>
    <w:p>
      <w:pPr>
        <w:spacing w:after="0" w:line="88" w:lineRule="exact"/>
        <w:rPr>
          <w:rFonts w:ascii="Arial" w:cs="Arial" w:eastAsia="Arial" w:hAnsi="Arial"/>
          <w:sz w:val="12"/>
          <w:szCs w:val="12"/>
          <w:color w:val="00162F"/>
        </w:rPr>
      </w:pPr>
    </w:p>
    <w:p>
      <w:pPr>
        <w:ind w:left="365" w:hanging="365"/>
        <w:spacing w:after="0" w:line="282" w:lineRule="auto"/>
        <w:tabs>
          <w:tab w:leader="none" w:pos="365" w:val="left"/>
        </w:tabs>
        <w:numPr>
          <w:ilvl w:val="0"/>
          <w:numId w:val="56"/>
        </w:numPr>
        <w:rPr>
          <w:rFonts w:ascii="Arial" w:cs="Arial" w:eastAsia="Arial" w:hAnsi="Arial"/>
          <w:sz w:val="13"/>
          <w:szCs w:val="13"/>
          <w:color w:val="00162F"/>
        </w:rPr>
      </w:pPr>
      <w:r>
        <w:rPr>
          <w:rFonts w:ascii="Arial" w:cs="Arial" w:eastAsia="Arial" w:hAnsi="Arial"/>
          <w:sz w:val="20"/>
          <w:szCs w:val="20"/>
          <w:color w:val="00162F"/>
        </w:rPr>
        <w:t>Includes investments that were measured at NAV per share (or its equivalent) as a practical expedient that have not been classified in the fair value hierarchy.</w:t>
      </w:r>
    </w:p>
    <w:p>
      <w:pPr>
        <w:spacing w:after="0" w:line="112" w:lineRule="exact"/>
        <w:rPr>
          <w:rFonts w:ascii="Arial" w:cs="Arial" w:eastAsia="Arial" w:hAnsi="Arial"/>
          <w:sz w:val="13"/>
          <w:szCs w:val="13"/>
          <w:color w:val="00162F"/>
        </w:rPr>
      </w:pPr>
    </w:p>
    <w:p>
      <w:pPr>
        <w:ind w:left="365" w:hanging="365"/>
        <w:spacing w:after="0"/>
        <w:tabs>
          <w:tab w:leader="none" w:pos="365" w:val="left"/>
        </w:tabs>
        <w:numPr>
          <w:ilvl w:val="0"/>
          <w:numId w:val="56"/>
        </w:numPr>
        <w:rPr>
          <w:rFonts w:ascii="Arial" w:cs="Arial" w:eastAsia="Arial" w:hAnsi="Arial"/>
          <w:sz w:val="13"/>
          <w:szCs w:val="13"/>
          <w:color w:val="00162F"/>
        </w:rPr>
      </w:pPr>
      <w:r>
        <w:rPr>
          <w:rFonts w:ascii="Arial" w:cs="Arial" w:eastAsia="Arial" w:hAnsi="Arial"/>
          <w:sz w:val="20"/>
          <w:szCs w:val="20"/>
          <w:color w:val="00162F"/>
        </w:rPr>
        <w:t>Common collective trusts include commingled funds primarily invested in equity securities.</w:t>
      </w:r>
    </w:p>
    <w:p>
      <w:pPr>
        <w:spacing w:after="0" w:line="185" w:lineRule="exact"/>
        <w:rPr>
          <w:rFonts w:ascii="Arial" w:cs="Arial" w:eastAsia="Arial" w:hAnsi="Arial"/>
          <w:sz w:val="13"/>
          <w:szCs w:val="13"/>
          <w:color w:val="00162F"/>
        </w:rPr>
      </w:pPr>
    </w:p>
    <w:p>
      <w:pPr>
        <w:jc w:val="both"/>
        <w:ind w:left="365" w:hanging="365"/>
        <w:spacing w:after="0" w:line="254" w:lineRule="auto"/>
        <w:tabs>
          <w:tab w:leader="none" w:pos="365" w:val="left"/>
        </w:tabs>
        <w:numPr>
          <w:ilvl w:val="0"/>
          <w:numId w:val="56"/>
        </w:numPr>
        <w:rPr>
          <w:rFonts w:ascii="Arial" w:cs="Arial" w:eastAsia="Arial" w:hAnsi="Arial"/>
          <w:sz w:val="13"/>
          <w:szCs w:val="13"/>
          <w:color w:val="00162F"/>
        </w:rPr>
      </w:pPr>
      <w:r>
        <w:rPr>
          <w:rFonts w:ascii="Arial" w:cs="Arial" w:eastAsia="Arial" w:hAnsi="Arial"/>
          <w:sz w:val="20"/>
          <w:szCs w:val="20"/>
          <w:color w:val="00162F"/>
        </w:rPr>
        <w:t>Private investments include limited partnerships that invest primarily in domestic private equity and private income opportunities. The pension plan’s master trust does not have the right to redeem its limited partnership investment at its NAV, but rather receives distributions as the underlying assets are liquidated. It is estimated that the underlying assets of these funds will be gradually liquidated over the next 10 years. As of December 31, 2025, the pension plan’s master trust has future funding commitments to these limited partnerships of approximately $1.0 billion, most of which are expected to be called over the next seven years.</w:t>
      </w:r>
    </w:p>
    <w:p>
      <w:pPr>
        <w:spacing w:after="0" w:line="143" w:lineRule="exact"/>
        <w:rPr>
          <w:sz w:val="20"/>
          <w:szCs w:val="20"/>
          <w:color w:val="auto"/>
        </w:rPr>
      </w:pPr>
    </w:p>
    <w:p>
      <w:pPr>
        <w:ind w:left="5" w:firstLine="267"/>
        <w:spacing w:after="0" w:line="282" w:lineRule="auto"/>
        <w:rPr>
          <w:sz w:val="20"/>
          <w:szCs w:val="20"/>
          <w:color w:val="auto"/>
        </w:rPr>
      </w:pPr>
      <w:r>
        <w:rPr>
          <w:rFonts w:ascii="Arial" w:cs="Arial" w:eastAsia="Arial" w:hAnsi="Arial"/>
          <w:sz w:val="20"/>
          <w:szCs w:val="20"/>
          <w:color w:val="00162F"/>
        </w:rPr>
        <w:t>Changes in fair value measurements of Level 3 investments during the years ended December 31, 2025 and 2024, were as follows (in millions):</w:t>
      </w:r>
    </w:p>
    <w:p>
      <w:pPr>
        <w:spacing w:after="0" w:line="103"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7740" w:type="dxa"/>
            <w:vAlign w:val="bottom"/>
            <w:tcBorders>
              <w:bottom w:val="single" w:sz="8" w:color="EDEDED"/>
            </w:tcBorders>
          </w:tcPr>
          <w:p>
            <w:pPr>
              <w:spacing w:after="0"/>
              <w:rPr>
                <w:sz w:val="18"/>
                <w:szCs w:val="18"/>
                <w:color w:val="auto"/>
              </w:rPr>
            </w:pPr>
          </w:p>
        </w:tc>
        <w:tc>
          <w:tcPr>
            <w:tcW w:w="1000" w:type="dxa"/>
            <w:vAlign w:val="bottom"/>
            <w:tcBorders>
              <w:bottom w:val="single" w:sz="8" w:color="00162F"/>
            </w:tcBorders>
          </w:tcPr>
          <w:p>
            <w:pPr>
              <w:jc w:val="right"/>
              <w:ind w:right="28"/>
              <w:spacing w:after="0"/>
              <w:rPr>
                <w:sz w:val="20"/>
                <w:szCs w:val="20"/>
                <w:color w:val="auto"/>
              </w:rPr>
            </w:pPr>
            <w:r>
              <w:rPr>
                <w:rFonts w:ascii="Arial" w:cs="Arial" w:eastAsia="Arial" w:hAnsi="Arial"/>
                <w:sz w:val="16"/>
                <w:szCs w:val="16"/>
                <w:b w:val="1"/>
                <w:bCs w:val="1"/>
                <w:color w:val="00162F"/>
              </w:rPr>
              <w:t>2025</w:t>
            </w:r>
          </w:p>
        </w:tc>
        <w:tc>
          <w:tcPr>
            <w:tcW w:w="440" w:type="dxa"/>
            <w:vAlign w:val="bottom"/>
            <w:tcBorders>
              <w:bottom w:val="single" w:sz="8" w:color="00162F"/>
            </w:tcBorders>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360" w:type="dxa"/>
            <w:vAlign w:val="bottom"/>
            <w:tcBorders>
              <w:bottom w:val="single" w:sz="8" w:color="00162F"/>
            </w:tcBorders>
          </w:tcPr>
          <w:p>
            <w:pPr>
              <w:spacing w:after="0"/>
              <w:rPr>
                <w:sz w:val="18"/>
                <w:szCs w:val="18"/>
                <w:color w:val="auto"/>
              </w:rPr>
            </w:pPr>
          </w:p>
        </w:tc>
        <w:tc>
          <w:tcPr>
            <w:tcW w:w="1080" w:type="dxa"/>
            <w:vAlign w:val="bottom"/>
            <w:tcBorders>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2024</w:t>
            </w:r>
          </w:p>
        </w:tc>
      </w:tr>
      <w:tr>
        <w:trPr>
          <w:trHeight w:val="287"/>
        </w:trPr>
        <w:tc>
          <w:tcPr>
            <w:tcW w:w="77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Balance at beginning of year</w:t>
            </w:r>
          </w:p>
        </w:tc>
        <w:tc>
          <w:tcPr>
            <w:tcW w:w="1000" w:type="dxa"/>
            <w:vAlign w:val="bottom"/>
            <w:shd w:val="clear" w:color="auto" w:fill="EDEDED"/>
          </w:tcPr>
          <w:p>
            <w:pPr>
              <w:jc w:val="right"/>
              <w:ind w:right="748"/>
              <w:spacing w:after="0"/>
              <w:rPr>
                <w:sz w:val="20"/>
                <w:szCs w:val="20"/>
                <w:color w:val="auto"/>
              </w:rPr>
            </w:pPr>
            <w:r>
              <w:rPr>
                <w:rFonts w:ascii="Arial" w:cs="Arial" w:eastAsia="Arial" w:hAnsi="Arial"/>
                <w:sz w:val="20"/>
                <w:szCs w:val="20"/>
                <w:color w:val="00162F"/>
              </w:rPr>
              <w:t>$</w:t>
            </w:r>
          </w:p>
        </w:tc>
        <w:tc>
          <w:tcPr>
            <w:tcW w:w="440" w:type="dxa"/>
            <w:vAlign w:val="bottom"/>
            <w:shd w:val="clear" w:color="auto" w:fill="EDEDED"/>
          </w:tcPr>
          <w:p>
            <w:pPr>
              <w:jc w:val="right"/>
              <w:ind w:right="1"/>
              <w:spacing w:after="0"/>
              <w:rPr>
                <w:sz w:val="20"/>
                <w:szCs w:val="20"/>
                <w:color w:val="auto"/>
              </w:rPr>
            </w:pPr>
            <w:r>
              <w:rPr>
                <w:rFonts w:ascii="Arial" w:cs="Arial" w:eastAsia="Arial" w:hAnsi="Arial"/>
                <w:sz w:val="20"/>
                <w:szCs w:val="20"/>
                <w:color w:val="00162F"/>
              </w:rPr>
              <w:t>68</w:t>
            </w:r>
          </w:p>
        </w:tc>
        <w:tc>
          <w:tcPr>
            <w:tcW w:w="420" w:type="dxa"/>
            <w:vAlign w:val="bottom"/>
            <w:gridSpan w:val="2"/>
            <w:shd w:val="clear" w:color="auto" w:fill="EDEDED"/>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84</w:t>
            </w:r>
          </w:p>
        </w:tc>
      </w:tr>
      <w:tr>
        <w:trPr>
          <w:trHeight w:val="293"/>
        </w:trPr>
        <w:tc>
          <w:tcPr>
            <w:tcW w:w="7740" w:type="dxa"/>
            <w:vAlign w:val="bottom"/>
          </w:tcPr>
          <w:p>
            <w:pPr>
              <w:ind w:left="40"/>
              <w:spacing w:after="0"/>
              <w:rPr>
                <w:sz w:val="20"/>
                <w:szCs w:val="20"/>
                <w:color w:val="auto"/>
              </w:rPr>
            </w:pPr>
            <w:r>
              <w:rPr>
                <w:rFonts w:ascii="Arial" w:cs="Arial" w:eastAsia="Arial" w:hAnsi="Arial"/>
                <w:sz w:val="20"/>
                <w:szCs w:val="20"/>
                <w:color w:val="00162F"/>
              </w:rPr>
              <w:t>Actual gain (loss) on plan assets: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774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Relating to assets still held at the reporting date</w:t>
            </w:r>
          </w:p>
        </w:tc>
        <w:tc>
          <w:tcPr>
            <w:tcW w:w="1000" w:type="dxa"/>
            <w:vAlign w:val="bottom"/>
            <w:shd w:val="clear" w:color="auto" w:fill="EDEDED"/>
          </w:tcPr>
          <w:p>
            <w:pPr>
              <w:spacing w:after="0"/>
              <w:rPr>
                <w:sz w:val="24"/>
                <w:szCs w:val="24"/>
                <w:color w:val="auto"/>
              </w:rPr>
            </w:pPr>
          </w:p>
        </w:tc>
        <w:tc>
          <w:tcPr>
            <w:tcW w:w="4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(25)</w:t>
            </w:r>
          </w:p>
        </w:tc>
      </w:tr>
      <w:tr>
        <w:trPr>
          <w:trHeight w:val="293"/>
        </w:trPr>
        <w:tc>
          <w:tcPr>
            <w:tcW w:w="7740" w:type="dxa"/>
            <w:vAlign w:val="bottom"/>
          </w:tcPr>
          <w:p>
            <w:pPr>
              <w:ind w:left="40"/>
              <w:spacing w:after="0"/>
              <w:rPr>
                <w:sz w:val="20"/>
                <w:szCs w:val="20"/>
                <w:color w:val="auto"/>
              </w:rPr>
            </w:pPr>
            <w:r>
              <w:rPr>
                <w:rFonts w:ascii="Arial" w:cs="Arial" w:eastAsia="Arial" w:hAnsi="Arial"/>
                <w:sz w:val="20"/>
                <w:szCs w:val="20"/>
                <w:color w:val="00162F"/>
              </w:rPr>
              <w:t>Purchases</w:t>
            </w:r>
          </w:p>
        </w:tc>
        <w:tc>
          <w:tcPr>
            <w:tcW w:w="1000" w:type="dxa"/>
            <w:vAlign w:val="bottom"/>
          </w:tcPr>
          <w:p>
            <w:pPr>
              <w:spacing w:after="0"/>
              <w:rPr>
                <w:sz w:val="24"/>
                <w:szCs w:val="24"/>
                <w:color w:val="auto"/>
              </w:rPr>
            </w:pPr>
          </w:p>
        </w:tc>
        <w:tc>
          <w:tcPr>
            <w:tcW w:w="440" w:type="dxa"/>
            <w:vAlign w:val="bottom"/>
          </w:tcPr>
          <w:p>
            <w:pPr>
              <w:jc w:val="right"/>
              <w:ind w:right="1"/>
              <w:spacing w:after="0"/>
              <w:rPr>
                <w:sz w:val="20"/>
                <w:szCs w:val="20"/>
                <w:color w:val="auto"/>
              </w:rPr>
            </w:pPr>
            <w:r>
              <w:rPr>
                <w:rFonts w:ascii="Arial" w:cs="Arial" w:eastAsia="Arial" w:hAnsi="Arial"/>
                <w:sz w:val="20"/>
                <w:szCs w:val="20"/>
                <w:color w:val="00162F"/>
              </w:rPr>
              <w:t>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9</w:t>
            </w:r>
          </w:p>
        </w:tc>
      </w:tr>
      <w:tr>
        <w:trPr>
          <w:trHeight w:val="291"/>
        </w:trPr>
        <w:tc>
          <w:tcPr>
            <w:tcW w:w="774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Sales</w:t>
            </w:r>
          </w:p>
        </w:tc>
        <w:tc>
          <w:tcPr>
            <w:tcW w:w="1000" w:type="dxa"/>
            <w:vAlign w:val="bottom"/>
            <w:tcBorders>
              <w:bottom w:val="single" w:sz="8" w:color="00162F"/>
            </w:tcBorders>
            <w:shd w:val="clear" w:color="auto" w:fill="EDEDED"/>
          </w:tcPr>
          <w:p>
            <w:pPr>
              <w:spacing w:after="0"/>
              <w:rPr>
                <w:sz w:val="24"/>
                <w:szCs w:val="24"/>
                <w:color w:val="auto"/>
              </w:rPr>
            </w:pPr>
          </w:p>
        </w:tc>
        <w:tc>
          <w:tcPr>
            <w:tcW w:w="4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57"/>
        </w:trPr>
        <w:tc>
          <w:tcPr>
            <w:tcW w:w="7740" w:type="dxa"/>
            <w:vAlign w:val="bottom"/>
          </w:tcPr>
          <w:p>
            <w:pPr>
              <w:ind w:left="40"/>
              <w:spacing w:after="0"/>
              <w:rPr>
                <w:sz w:val="20"/>
                <w:szCs w:val="20"/>
                <w:color w:val="auto"/>
              </w:rPr>
            </w:pPr>
            <w:r>
              <w:rPr>
                <w:rFonts w:ascii="Arial" w:cs="Arial" w:eastAsia="Arial" w:hAnsi="Arial"/>
                <w:sz w:val="20"/>
                <w:szCs w:val="20"/>
                <w:color w:val="00162F"/>
              </w:rPr>
              <w:t>Balance at end of year</w:t>
            </w:r>
          </w:p>
        </w:tc>
        <w:tc>
          <w:tcPr>
            <w:tcW w:w="1000" w:type="dxa"/>
            <w:vAlign w:val="bottom"/>
          </w:tcPr>
          <w:p>
            <w:pPr>
              <w:jc w:val="right"/>
              <w:ind w:right="748"/>
              <w:spacing w:after="0"/>
              <w:rPr>
                <w:sz w:val="20"/>
                <w:szCs w:val="20"/>
                <w:color w:val="auto"/>
              </w:rPr>
            </w:pPr>
            <w:r>
              <w:rPr>
                <w:rFonts w:ascii="Arial" w:cs="Arial" w:eastAsia="Arial" w:hAnsi="Arial"/>
                <w:sz w:val="20"/>
                <w:szCs w:val="20"/>
                <w:color w:val="00162F"/>
              </w:rPr>
              <w:t>$</w:t>
            </w:r>
          </w:p>
        </w:tc>
        <w:tc>
          <w:tcPr>
            <w:tcW w:w="440" w:type="dxa"/>
            <w:vAlign w:val="bottom"/>
          </w:tcPr>
          <w:p>
            <w:pPr>
              <w:jc w:val="right"/>
              <w:ind w:right="1"/>
              <w:spacing w:after="0"/>
              <w:rPr>
                <w:sz w:val="20"/>
                <w:szCs w:val="20"/>
                <w:color w:val="auto"/>
              </w:rPr>
            </w:pPr>
            <w:r>
              <w:rPr>
                <w:rFonts w:ascii="Arial" w:cs="Arial" w:eastAsia="Arial" w:hAnsi="Arial"/>
                <w:sz w:val="20"/>
                <w:szCs w:val="20"/>
                <w:color w:val="00162F"/>
              </w:rPr>
              <w:t>63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68</w:t>
            </w:r>
          </w:p>
        </w:tc>
      </w:tr>
      <w:tr>
        <w:trPr>
          <w:trHeight w:val="20"/>
        </w:trPr>
        <w:tc>
          <w:tcPr>
            <w:tcW w:w="7740" w:type="dxa"/>
            <w:vAlign w:val="bottom"/>
          </w:tcPr>
          <w:p>
            <w:pPr>
              <w:spacing w:after="0" w:line="20" w:lineRule="exact"/>
              <w:rPr>
                <w:sz w:val="1"/>
                <w:szCs w:val="1"/>
                <w:color w:val="auto"/>
              </w:rPr>
            </w:pPr>
          </w:p>
        </w:tc>
        <w:tc>
          <w:tcPr>
            <w:tcW w:w="1000" w:type="dxa"/>
            <w:vAlign w:val="bottom"/>
            <w:tcBorders>
              <w:top w:val="single" w:sz="8" w:color="00162F"/>
              <w:bottom w:val="single" w:sz="8" w:color="00162F"/>
            </w:tcBorders>
          </w:tcPr>
          <w:p>
            <w:pPr>
              <w:spacing w:after="0" w:line="20" w:lineRule="exact"/>
              <w:rPr>
                <w:sz w:val="1"/>
                <w:szCs w:val="1"/>
                <w:color w:val="auto"/>
              </w:rPr>
            </w:pPr>
          </w:p>
        </w:tc>
        <w:tc>
          <w:tcPr>
            <w:tcW w:w="44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1080" w:type="dxa"/>
            <w:vAlign w:val="bottom"/>
            <w:tcBorders>
              <w:top w:val="single" w:sz="8" w:color="00162F"/>
              <w:bottom w:val="single" w:sz="8" w:color="00162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-1162685</wp:posOffset>
            </wp:positionV>
            <wp:extent cx="190182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3">
                      <a:extLst>
                        <a:ext uri="{28A0092B-C50C-407E-A947-70E740481C1C}"/>
                      </a:extLst>
                    </a:blip>
                    <a:srcRect/>
                    <a:stretch>
                      <a:fillRect/>
                    </a:stretch>
                  </pic:blipFill>
                  <pic:spPr bwMode="auto">
                    <a:xfrm>
                      <a:off x="0" y="0"/>
                      <a:ext cx="1901825" cy="25400"/>
                    </a:xfrm>
                    <a:prstGeom prst="rect">
                      <a:avLst/>
                    </a:prstGeom>
                    <a:noFill/>
                  </pic:spPr>
                </pic:pic>
              </a:graphicData>
            </a:graphic>
          </wp:anchor>
        </w:drawing>
        <w:drawing>
          <wp:anchor simplePos="0" relativeHeight="251657728" behindDoc="1" locked="0" layoutInCell="0" allowOverlap="1">
            <wp:simplePos x="0" y="0"/>
            <wp:positionH relativeFrom="column">
              <wp:posOffset>4899025</wp:posOffset>
            </wp:positionH>
            <wp:positionV relativeFrom="paragraph">
              <wp:posOffset>-219710</wp:posOffset>
            </wp:positionV>
            <wp:extent cx="97409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4">
                      <a:extLst>
                        <a:ext uri="{28A0092B-C50C-407E-A947-70E740481C1C}"/>
                      </a:extLst>
                    </a:blip>
                    <a:srcRect/>
                    <a:stretch>
                      <a:fillRect/>
                    </a:stretch>
                  </pic:blipFill>
                  <pic:spPr bwMode="auto">
                    <a:xfrm>
                      <a:off x="0" y="0"/>
                      <a:ext cx="974090" cy="25400"/>
                    </a:xfrm>
                    <a:prstGeom prst="rect">
                      <a:avLst/>
                    </a:prstGeom>
                    <a:noFill/>
                  </pic:spPr>
                </pic:pic>
              </a:graphicData>
            </a:graphic>
          </wp:anchor>
        </w:drawing>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116</w:t>
      </w:r>
    </w:p>
    <w:p>
      <w:pPr>
        <w:sectPr>
          <w:pgSz w:w="11880" w:h="15480" w:orient="portrait"/>
          <w:cols w:equalWidth="0" w:num="1">
            <w:col w:w="10685"/>
          </w:cols>
          <w:pgMar w:left="595" w:top="487" w:right="600" w:bottom="0" w:gutter="0" w:footer="0" w:header="0"/>
          <w:type w:val="continuous"/>
        </w:sectPr>
      </w:pPr>
    </w:p>
    <w:bookmarkStart w:id="117" w:name="page118"/>
    <w:bookmarkEnd w:id="117"/>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Plan assets in the retiree medical and other postretirement benefits plans are primarily Level 2 mutual funds valued by quoted prices on the active market, which is fair value, and represents the NAV of the shares of such funds as of the close of business at the end of the period. NAV is based on the fair market value of the funds’ underlying assets and liabilities at the date of determination.</w:t>
      </w:r>
    </w:p>
    <w:p>
      <w:pPr>
        <w:spacing w:after="0" w:line="226"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Defined Contribution and Multiemployer Plans</w:t>
      </w:r>
    </w:p>
    <w:p>
      <w:pPr>
        <w:spacing w:after="0" w:line="95"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The costs associated with our defined contribution plans were $1.6 billion, $1.4 billion and $1.1 billion for the years ended December 31, 2025, 2024 and 2023, respectively.</w:t>
      </w:r>
    </w:p>
    <w:p>
      <w:pPr>
        <w:spacing w:after="0" w:line="113" w:lineRule="exact"/>
        <w:rPr>
          <w:sz w:val="20"/>
          <w:szCs w:val="20"/>
          <w:color w:val="auto"/>
        </w:rPr>
      </w:pPr>
    </w:p>
    <w:p>
      <w:pPr>
        <w:jc w:val="both"/>
        <w:ind w:left="5" w:firstLine="267"/>
        <w:spacing w:after="0" w:line="254" w:lineRule="auto"/>
        <w:rPr>
          <w:sz w:val="20"/>
          <w:szCs w:val="20"/>
          <w:color w:val="auto"/>
        </w:rPr>
      </w:pPr>
      <w:r>
        <w:rPr>
          <w:rFonts w:ascii="Arial" w:cs="Arial" w:eastAsia="Arial" w:hAnsi="Arial"/>
          <w:sz w:val="20"/>
          <w:szCs w:val="20"/>
          <w:color w:val="00162F"/>
        </w:rPr>
        <w:t>We participate in the International Association of Machinists &amp; Aerospace Workers (IAM) National Pension Fund, Employer Identification No. 51-6031295 and Plan No. 002 (the IAM Pension Fund). Our contributions to the IAM Pension Fund were $63 million, $57 million and $52 million for the years ended December 31, 2025, 2024 and 2023, respectively. The IAM Pension Fund reported $640 million in employers’ contributions for the year ended December 31, 2024, which is the most recent year for which such information is available. For 2024 and 2023, our contributions represented more than 5% of total contributions to the IAM Pension Fund.</w:t>
      </w:r>
    </w:p>
    <w:p>
      <w:pPr>
        <w:spacing w:after="0" w:line="143" w:lineRule="exact"/>
        <w:rPr>
          <w:sz w:val="20"/>
          <w:szCs w:val="20"/>
          <w:color w:val="auto"/>
        </w:rPr>
      </w:pPr>
    </w:p>
    <w:p>
      <w:pPr>
        <w:jc w:val="both"/>
        <w:ind w:left="5" w:firstLine="267"/>
        <w:spacing w:after="0" w:line="252" w:lineRule="auto"/>
        <w:rPr>
          <w:sz w:val="20"/>
          <w:szCs w:val="20"/>
          <w:color w:val="auto"/>
        </w:rPr>
      </w:pPr>
      <w:r>
        <w:rPr>
          <w:rFonts w:ascii="Arial" w:cs="Arial" w:eastAsia="Arial" w:hAnsi="Arial"/>
          <w:sz w:val="20"/>
          <w:szCs w:val="20"/>
          <w:color w:val="00162F"/>
        </w:rPr>
        <w:t>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we were subject to an immaterial contribution surcharge, which ceased to apply June 14, 2019 upon our mandatory adoption of a contribution schedule under the Rehabilitation Plan. The contribution schedule requires 2.5% annual increases to our contribution rate. This contribution schedule will remain in effect through the earlier of December 31, 2031 or the date the IAM Pension Fund emerges from critical status. As of the most recent data available, the IAM Pension Fund remains in critical status.</w:t>
      </w:r>
    </w:p>
    <w:p>
      <w:pPr>
        <w:spacing w:after="0" w:line="233"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Profit Sharing Program</w:t>
      </w:r>
    </w:p>
    <w:p>
      <w:pPr>
        <w:spacing w:after="0" w:line="95"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Our annual profit sharing program is funded by 10% of adjusted pre-tax earnings up to $2.5 billion and 20% of earnings above that threshold. Adjusted pre-tax earnings exclude net special items and certain other amounts, as defined by the plan. For the year ended December 31, 2025, we accrued $55 million for this program, which will be distributed to employees in the first quarter of 2026.</w:t>
      </w:r>
    </w:p>
    <w:p>
      <w:pPr>
        <w:spacing w:after="0" w:line="224"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10. Accumulated Other Comprehensive Loss</w:t>
      </w:r>
    </w:p>
    <w:p>
      <w:pPr>
        <w:spacing w:after="0" w:line="97"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The components of accumulated other comprehensive income (loss) (AOCI) are as follows (in millions):</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28"/>
              <w:spacing w:after="0"/>
              <w:rPr>
                <w:sz w:val="20"/>
                <w:szCs w:val="20"/>
                <w:color w:val="auto"/>
              </w:rPr>
            </w:pPr>
            <w:r>
              <w:rPr>
                <w:rFonts w:ascii="Arial" w:cs="Arial" w:eastAsia="Arial" w:hAnsi="Arial"/>
                <w:sz w:val="16"/>
                <w:szCs w:val="16"/>
                <w:b w:val="1"/>
                <w:bCs w:val="1"/>
                <w:color w:val="00162F"/>
                <w:w w:val="98"/>
              </w:rPr>
              <w:t>Pension,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28"/>
              <w:spacing w:after="0" w:line="158" w:lineRule="exact"/>
              <w:rPr>
                <w:sz w:val="20"/>
                <w:szCs w:val="20"/>
                <w:color w:val="auto"/>
              </w:rPr>
            </w:pPr>
            <w:r>
              <w:rPr>
                <w:rFonts w:ascii="Arial" w:cs="Arial" w:eastAsia="Arial" w:hAnsi="Arial"/>
                <w:sz w:val="16"/>
                <w:szCs w:val="16"/>
                <w:b w:val="1"/>
                <w:bCs w:val="1"/>
                <w:color w:val="00162F"/>
                <w:w w:val="99"/>
              </w:rPr>
              <w:t>Retiree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28"/>
              <w:spacing w:after="0" w:line="158" w:lineRule="exact"/>
              <w:rPr>
                <w:sz w:val="20"/>
                <w:szCs w:val="20"/>
                <w:color w:val="auto"/>
              </w:rPr>
            </w:pPr>
            <w:r>
              <w:rPr>
                <w:rFonts w:ascii="Arial" w:cs="Arial" w:eastAsia="Arial" w:hAnsi="Arial"/>
                <w:sz w:val="16"/>
                <w:szCs w:val="16"/>
                <w:b w:val="1"/>
                <w:bCs w:val="1"/>
                <w:color w:val="00162F"/>
                <w:w w:val="98"/>
              </w:rPr>
              <w:t>Medical and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83"/>
              <w:spacing w:after="0"/>
              <w:rPr>
                <w:sz w:val="20"/>
                <w:szCs w:val="20"/>
                <w:color w:val="auto"/>
              </w:rPr>
            </w:pPr>
            <w:r>
              <w:rPr>
                <w:rFonts w:ascii="Arial" w:cs="Arial" w:eastAsia="Arial" w:hAnsi="Arial"/>
                <w:sz w:val="16"/>
                <w:szCs w:val="16"/>
                <w:b w:val="1"/>
                <w:bCs w:val="1"/>
                <w:color w:val="00162F"/>
                <w:w w:val="98"/>
              </w:rPr>
              <w:t>Unrealized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28"/>
              <w:spacing w:after="0" w:line="158" w:lineRule="exact"/>
              <w:rPr>
                <w:sz w:val="20"/>
                <w:szCs w:val="20"/>
                <w:color w:val="auto"/>
              </w:rPr>
            </w:pPr>
            <w:r>
              <w:rPr>
                <w:rFonts w:ascii="Arial" w:cs="Arial" w:eastAsia="Arial" w:hAnsi="Arial"/>
                <w:sz w:val="16"/>
                <w:szCs w:val="16"/>
                <w:b w:val="1"/>
                <w:bCs w:val="1"/>
                <w:color w:val="00162F"/>
                <w:w w:val="98"/>
              </w:rPr>
              <w:t>Other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85"/>
              <w:spacing w:after="0"/>
              <w:rPr>
                <w:sz w:val="20"/>
                <w:szCs w:val="20"/>
                <w:color w:val="auto"/>
              </w:rPr>
            </w:pPr>
            <w:r>
              <w:rPr>
                <w:rFonts w:ascii="Arial" w:cs="Arial" w:eastAsia="Arial" w:hAnsi="Arial"/>
                <w:sz w:val="16"/>
                <w:szCs w:val="16"/>
                <w:b w:val="1"/>
                <w:bCs w:val="1"/>
                <w:color w:val="00162F"/>
                <w:w w:val="97"/>
              </w:rPr>
              <w:t>Income Tax</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00162F"/>
                <w:w w:val="99"/>
              </w:rPr>
              <w:t>Postretirement</w:t>
            </w:r>
          </w:p>
        </w:tc>
        <w:tc>
          <w:tcPr>
            <w:tcW w:w="8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00162F"/>
                <w:w w:val="99"/>
              </w:rPr>
              <w:t>Gain (Loss) 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6"/>
                <w:szCs w:val="16"/>
                <w:b w:val="1"/>
                <w:bCs w:val="1"/>
                <w:color w:val="00162F"/>
              </w:rPr>
              <w:t>Total</w:t>
            </w:r>
          </w:p>
        </w:tc>
        <w:tc>
          <w:tcPr>
            <w:tcW w:w="0" w:type="dxa"/>
            <w:vAlign w:val="bottom"/>
          </w:tcPr>
          <w:p>
            <w:pPr>
              <w:spacing w:after="0"/>
              <w:rPr>
                <w:sz w:val="1"/>
                <w:szCs w:val="1"/>
                <w:color w:val="auto"/>
              </w:rPr>
            </w:pPr>
          </w:p>
        </w:tc>
      </w:tr>
      <w:tr>
        <w:trPr>
          <w:trHeight w:val="211"/>
        </w:trPr>
        <w:tc>
          <w:tcPr>
            <w:tcW w:w="1960" w:type="dxa"/>
            <w:vAlign w:val="bottom"/>
            <w:tcBorders>
              <w:bottom w:val="single" w:sz="8" w:color="EDEDED"/>
            </w:tcBorders>
          </w:tcPr>
          <w:p>
            <w:pPr>
              <w:spacing w:after="0"/>
              <w:rPr>
                <w:sz w:val="18"/>
                <w:szCs w:val="18"/>
                <w:color w:val="auto"/>
              </w:rPr>
            </w:pPr>
          </w:p>
        </w:tc>
        <w:tc>
          <w:tcPr>
            <w:tcW w:w="3580" w:type="dxa"/>
            <w:vAlign w:val="bottom"/>
            <w:tcBorders>
              <w:bottom w:val="single" w:sz="8" w:color="EDEDED"/>
            </w:tcBorders>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060" w:type="dxa"/>
            <w:vAlign w:val="bottom"/>
            <w:tcBorders>
              <w:bottom w:val="single" w:sz="8" w:color="00162F"/>
            </w:tcBorders>
          </w:tcPr>
          <w:p>
            <w:pPr>
              <w:jc w:val="center"/>
              <w:ind w:right="28"/>
              <w:spacing w:after="0"/>
              <w:rPr>
                <w:sz w:val="20"/>
                <w:szCs w:val="20"/>
                <w:color w:val="auto"/>
              </w:rPr>
            </w:pPr>
            <w:r>
              <w:rPr>
                <w:rFonts w:ascii="Arial" w:cs="Arial" w:eastAsia="Arial" w:hAnsi="Arial"/>
                <w:sz w:val="16"/>
                <w:szCs w:val="16"/>
                <w:b w:val="1"/>
                <w:bCs w:val="1"/>
                <w:color w:val="00162F"/>
                <w:w w:val="98"/>
              </w:rPr>
              <w:t>Benefits</w:t>
            </w:r>
          </w:p>
        </w:tc>
        <w:tc>
          <w:tcPr>
            <w:tcW w:w="80" w:type="dxa"/>
            <w:vAlign w:val="bottom"/>
            <w:tcBorders>
              <w:bottom w:val="single" w:sz="8" w:color="EDEDED"/>
            </w:tcBorders>
          </w:tcPr>
          <w:p>
            <w:pPr>
              <w:spacing w:after="0"/>
              <w:rPr>
                <w:sz w:val="18"/>
                <w:szCs w:val="18"/>
                <w:color w:val="auto"/>
              </w:rPr>
            </w:pPr>
          </w:p>
        </w:tc>
        <w:tc>
          <w:tcPr>
            <w:tcW w:w="1200" w:type="dxa"/>
            <w:vAlign w:val="bottom"/>
            <w:tcBorders>
              <w:bottom w:val="single" w:sz="8" w:color="00162F"/>
            </w:tcBorders>
            <w:gridSpan w:val="2"/>
          </w:tcPr>
          <w:p>
            <w:pPr>
              <w:jc w:val="right"/>
              <w:ind w:right="23"/>
              <w:spacing w:after="0"/>
              <w:rPr>
                <w:sz w:val="20"/>
                <w:szCs w:val="20"/>
                <w:color w:val="auto"/>
              </w:rPr>
            </w:pPr>
            <w:r>
              <w:rPr>
                <w:rFonts w:ascii="Arial" w:cs="Arial" w:eastAsia="Arial" w:hAnsi="Arial"/>
                <w:sz w:val="16"/>
                <w:szCs w:val="16"/>
                <w:b w:val="1"/>
                <w:bCs w:val="1"/>
                <w:color w:val="00162F"/>
              </w:rPr>
              <w:t>Investments</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060" w:type="dxa"/>
            <w:vAlign w:val="bottom"/>
            <w:tcBorders>
              <w:bottom w:val="single" w:sz="8" w:color="00162F"/>
            </w:tcBorders>
          </w:tcPr>
          <w:p>
            <w:pPr>
              <w:jc w:val="right"/>
              <w:ind w:right="65"/>
              <w:spacing w:after="0"/>
              <w:rPr>
                <w:sz w:val="20"/>
                <w:szCs w:val="20"/>
                <w:color w:val="auto"/>
              </w:rPr>
            </w:pPr>
            <w:r>
              <w:rPr>
                <w:rFonts w:ascii="Arial" w:cs="Arial" w:eastAsia="Arial" w:hAnsi="Arial"/>
                <w:sz w:val="16"/>
                <w:szCs w:val="16"/>
                <w:b w:val="1"/>
                <w:bCs w:val="1"/>
                <w:color w:val="00162F"/>
                <w:w w:val="98"/>
              </w:rPr>
              <w:t xml:space="preserve">Provision </w:t>
            </w:r>
            <w:r>
              <w:rPr>
                <w:rFonts w:ascii="Arial" w:cs="Arial" w:eastAsia="Arial" w:hAnsi="Arial"/>
                <w:sz w:val="10"/>
                <w:szCs w:val="10"/>
                <w:b w:val="1"/>
                <w:bCs w:val="1"/>
                <w:color w:val="00162F"/>
                <w:w w:val="98"/>
              </w:rPr>
              <w:t>(1)</w:t>
            </w:r>
          </w:p>
        </w:tc>
        <w:tc>
          <w:tcPr>
            <w:tcW w:w="60" w:type="dxa"/>
            <w:vAlign w:val="bottom"/>
            <w:tcBorders>
              <w:bottom w:val="single" w:sz="8" w:color="EDEDED"/>
            </w:tcBorders>
          </w:tcPr>
          <w:p>
            <w:pPr>
              <w:spacing w:after="0"/>
              <w:rPr>
                <w:sz w:val="18"/>
                <w:szCs w:val="18"/>
                <w:color w:val="auto"/>
              </w:rPr>
            </w:pPr>
          </w:p>
        </w:tc>
        <w:tc>
          <w:tcPr>
            <w:tcW w:w="280" w:type="dxa"/>
            <w:vAlign w:val="bottom"/>
            <w:tcBorders>
              <w:bottom w:val="single" w:sz="8" w:color="00162F"/>
            </w:tcBorders>
          </w:tcPr>
          <w:p>
            <w:pPr>
              <w:spacing w:after="0"/>
              <w:rPr>
                <w:sz w:val="18"/>
                <w:szCs w:val="18"/>
                <w:color w:val="auto"/>
              </w:rPr>
            </w:pPr>
          </w:p>
        </w:tc>
        <w:tc>
          <w:tcPr>
            <w:tcW w:w="800" w:type="dxa"/>
            <w:vAlign w:val="bottom"/>
            <w:tcBorders>
              <w:bottom w:val="single" w:sz="8" w:color="00162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554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Balance at December 31, 2023</w:t>
            </w:r>
          </w:p>
        </w:tc>
        <w:tc>
          <w:tcPr>
            <w:tcW w:w="1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(3,380)</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ind w:left="60"/>
              <w:spacing w:after="0"/>
              <w:rPr>
                <w:sz w:val="20"/>
                <w:szCs w:val="20"/>
                <w:color w:val="auto"/>
              </w:rPr>
            </w:pPr>
            <w:r>
              <w:rPr>
                <w:rFonts w:ascii="Arial" w:cs="Arial" w:eastAsia="Arial" w:hAnsi="Arial"/>
                <w:sz w:val="20"/>
                <w:szCs w:val="20"/>
                <w:color w:val="00162F"/>
              </w:rPr>
              <w:t>$</w:t>
            </w: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(1,512)</w:t>
            </w:r>
          </w:p>
        </w:tc>
        <w:tc>
          <w:tcPr>
            <w:tcW w:w="60" w:type="dxa"/>
            <w:vAlign w:val="bottom"/>
            <w:shd w:val="clear" w:color="auto" w:fill="EDEDED"/>
          </w:tcPr>
          <w:p>
            <w:pPr>
              <w:spacing w:after="0"/>
              <w:rPr>
                <w:sz w:val="24"/>
                <w:szCs w:val="24"/>
                <w:color w:val="auto"/>
              </w:rPr>
            </w:pPr>
          </w:p>
        </w:tc>
        <w:tc>
          <w:tcPr>
            <w:tcW w:w="280" w:type="dxa"/>
            <w:vAlign w:val="bottom"/>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(4,894)</w:t>
            </w:r>
          </w:p>
        </w:tc>
        <w:tc>
          <w:tcPr>
            <w:tcW w:w="0" w:type="dxa"/>
            <w:vAlign w:val="bottom"/>
          </w:tcPr>
          <w:p>
            <w:pPr>
              <w:spacing w:after="0"/>
              <w:rPr>
                <w:sz w:val="1"/>
                <w:szCs w:val="1"/>
                <w:color w:val="auto"/>
              </w:rPr>
            </w:pPr>
          </w:p>
        </w:tc>
      </w:tr>
      <w:tr>
        <w:trPr>
          <w:trHeight w:val="293"/>
        </w:trPr>
        <w:tc>
          <w:tcPr>
            <w:tcW w:w="5540" w:type="dxa"/>
            <w:vAlign w:val="bottom"/>
            <w:gridSpan w:val="2"/>
          </w:tcPr>
          <w:p>
            <w:pPr>
              <w:ind w:left="160"/>
              <w:spacing w:after="0"/>
              <w:rPr>
                <w:sz w:val="20"/>
                <w:szCs w:val="20"/>
                <w:color w:val="auto"/>
              </w:rPr>
            </w:pPr>
            <w:r>
              <w:rPr>
                <w:rFonts w:ascii="Arial" w:cs="Arial" w:eastAsia="Arial" w:hAnsi="Arial"/>
                <w:sz w:val="20"/>
                <w:szCs w:val="20"/>
                <w:color w:val="00162F"/>
              </w:rPr>
              <w:t>Other comprehensive income (loss) before reclassifications</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333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(74)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00162F"/>
              </w:rPr>
              <w:t>261</w:t>
            </w:r>
          </w:p>
        </w:tc>
        <w:tc>
          <w:tcPr>
            <w:tcW w:w="0" w:type="dxa"/>
            <w:vAlign w:val="bottom"/>
          </w:tcPr>
          <w:p>
            <w:pPr>
              <w:spacing w:after="0"/>
              <w:rPr>
                <w:sz w:val="1"/>
                <w:szCs w:val="1"/>
                <w:color w:val="auto"/>
              </w:rPr>
            </w:pPr>
          </w:p>
        </w:tc>
      </w:tr>
      <w:tr>
        <w:trPr>
          <w:trHeight w:val="291"/>
        </w:trPr>
        <w:tc>
          <w:tcPr>
            <w:tcW w:w="5540" w:type="dxa"/>
            <w:vAlign w:val="bottom"/>
            <w:tcBorders>
              <w:bottom w:val="single" w:sz="8" w:color="EDEDED"/>
            </w:tcBorders>
            <w:gridSpan w:val="2"/>
            <w:shd w:val="clear" w:color="auto" w:fill="EDEDED"/>
          </w:tcPr>
          <w:p>
            <w:pPr>
              <w:ind w:left="160"/>
              <w:spacing w:after="0"/>
              <w:rPr>
                <w:sz w:val="20"/>
                <w:szCs w:val="20"/>
                <w:color w:val="auto"/>
              </w:rPr>
            </w:pPr>
            <w:r>
              <w:rPr>
                <w:rFonts w:ascii="Arial" w:cs="Arial" w:eastAsia="Arial" w:hAnsi="Arial"/>
                <w:sz w:val="20"/>
                <w:szCs w:val="20"/>
                <w:color w:val="00162F"/>
              </w:rPr>
              <w:t>Amounts reclassified from AOCI</w:t>
            </w:r>
          </w:p>
        </w:tc>
        <w:tc>
          <w:tcPr>
            <w:tcW w:w="16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88</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10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(20)</w:t>
            </w:r>
          </w:p>
        </w:tc>
        <w:tc>
          <w:tcPr>
            <w:tcW w:w="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spacing w:after="0"/>
              <w:rPr>
                <w:sz w:val="24"/>
                <w:szCs w:val="24"/>
                <w:color w:val="auto"/>
              </w:rPr>
            </w:pPr>
          </w:p>
        </w:tc>
        <w:tc>
          <w:tcPr>
            <w:tcW w:w="8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68</w:t>
            </w:r>
          </w:p>
        </w:tc>
        <w:tc>
          <w:tcPr>
            <w:tcW w:w="0" w:type="dxa"/>
            <w:vAlign w:val="bottom"/>
          </w:tcPr>
          <w:p>
            <w:pPr>
              <w:spacing w:after="0"/>
              <w:rPr>
                <w:sz w:val="1"/>
                <w:szCs w:val="1"/>
                <w:color w:val="auto"/>
              </w:rPr>
            </w:pPr>
          </w:p>
        </w:tc>
      </w:tr>
      <w:tr>
        <w:trPr>
          <w:trHeight w:val="277"/>
        </w:trPr>
        <w:tc>
          <w:tcPr>
            <w:tcW w:w="5540" w:type="dxa"/>
            <w:vAlign w:val="bottom"/>
            <w:tcBorders>
              <w:bottom w:val="single" w:sz="8" w:color="EDEDED"/>
            </w:tcBorders>
            <w:gridSpan w:val="2"/>
          </w:tcPr>
          <w:p>
            <w:pPr>
              <w:ind w:left="460"/>
              <w:spacing w:after="0"/>
              <w:rPr>
                <w:sz w:val="20"/>
                <w:szCs w:val="20"/>
                <w:color w:val="auto"/>
              </w:rPr>
            </w:pPr>
            <w:r>
              <w:rPr>
                <w:rFonts w:ascii="Arial" w:cs="Arial" w:eastAsia="Arial" w:hAnsi="Arial"/>
                <w:sz w:val="20"/>
                <w:szCs w:val="20"/>
                <w:color w:val="00162F"/>
              </w:rPr>
              <w:t>Net current-period other comprehensive income (loss)</w:t>
            </w:r>
          </w:p>
        </w:tc>
        <w:tc>
          <w:tcPr>
            <w:tcW w:w="16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421</w:t>
            </w:r>
          </w:p>
        </w:tc>
        <w:tc>
          <w:tcPr>
            <w:tcW w:w="80" w:type="dxa"/>
            <w:vAlign w:val="bottom"/>
            <w:tcBorders>
              <w:bottom w:val="single" w:sz="8" w:color="EDEDED"/>
            </w:tcBorders>
          </w:tcPr>
          <w:p>
            <w:pPr>
              <w:spacing w:after="0"/>
              <w:rPr>
                <w:sz w:val="24"/>
                <w:szCs w:val="24"/>
                <w:color w:val="auto"/>
              </w:rPr>
            </w:pPr>
          </w:p>
        </w:tc>
        <w:tc>
          <w:tcPr>
            <w:tcW w:w="20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(94)</w:t>
            </w:r>
          </w:p>
        </w:tc>
        <w:tc>
          <w:tcPr>
            <w:tcW w:w="60" w:type="dxa"/>
            <w:vAlign w:val="bottom"/>
            <w:tcBorders>
              <w:bottom w:val="single" w:sz="8" w:color="EDEDED"/>
            </w:tcBorders>
          </w:tcPr>
          <w:p>
            <w:pPr>
              <w:spacing w:after="0"/>
              <w:rPr>
                <w:sz w:val="24"/>
                <w:szCs w:val="24"/>
                <w:color w:val="auto"/>
              </w:rPr>
            </w:pPr>
          </w:p>
        </w:tc>
        <w:tc>
          <w:tcPr>
            <w:tcW w:w="280" w:type="dxa"/>
            <w:vAlign w:val="bottom"/>
            <w:tcBorders>
              <w:bottom w:val="single" w:sz="8" w:color="00162F"/>
            </w:tcBorders>
          </w:tcPr>
          <w:p>
            <w:pPr>
              <w:spacing w:after="0"/>
              <w:rPr>
                <w:sz w:val="24"/>
                <w:szCs w:val="24"/>
                <w:color w:val="auto"/>
              </w:rPr>
            </w:pPr>
          </w:p>
        </w:tc>
        <w:tc>
          <w:tcPr>
            <w:tcW w:w="8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329</w:t>
            </w:r>
          </w:p>
        </w:tc>
        <w:tc>
          <w:tcPr>
            <w:tcW w:w="0" w:type="dxa"/>
            <w:vAlign w:val="bottom"/>
          </w:tcPr>
          <w:p>
            <w:pPr>
              <w:spacing w:after="0"/>
              <w:rPr>
                <w:sz w:val="1"/>
                <w:szCs w:val="1"/>
                <w:color w:val="auto"/>
              </w:rPr>
            </w:pPr>
          </w:p>
        </w:tc>
      </w:tr>
      <w:tr>
        <w:trPr>
          <w:trHeight w:val="287"/>
        </w:trPr>
        <w:tc>
          <w:tcPr>
            <w:tcW w:w="554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Balance at December 31, 2024</w:t>
            </w:r>
          </w:p>
        </w:tc>
        <w:tc>
          <w:tcPr>
            <w:tcW w:w="16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(2,959)</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(1,606)</w:t>
            </w:r>
          </w:p>
        </w:tc>
        <w:tc>
          <w:tcPr>
            <w:tcW w:w="6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(4,565)</w:t>
            </w:r>
          </w:p>
        </w:tc>
        <w:tc>
          <w:tcPr>
            <w:tcW w:w="0" w:type="dxa"/>
            <w:vAlign w:val="bottom"/>
          </w:tcPr>
          <w:p>
            <w:pPr>
              <w:spacing w:after="0"/>
              <w:rPr>
                <w:sz w:val="1"/>
                <w:szCs w:val="1"/>
                <w:color w:val="auto"/>
              </w:rPr>
            </w:pPr>
          </w:p>
        </w:tc>
      </w:tr>
      <w:tr>
        <w:trPr>
          <w:trHeight w:val="293"/>
        </w:trPr>
        <w:tc>
          <w:tcPr>
            <w:tcW w:w="5540" w:type="dxa"/>
            <w:vAlign w:val="bottom"/>
            <w:gridSpan w:val="2"/>
          </w:tcPr>
          <w:p>
            <w:pPr>
              <w:ind w:left="160"/>
              <w:spacing w:after="0"/>
              <w:rPr>
                <w:sz w:val="20"/>
                <w:szCs w:val="20"/>
                <w:color w:val="auto"/>
              </w:rPr>
            </w:pPr>
            <w:r>
              <w:rPr>
                <w:rFonts w:ascii="Arial" w:cs="Arial" w:eastAsia="Arial" w:hAnsi="Arial"/>
                <w:sz w:val="20"/>
                <w:szCs w:val="20"/>
                <w:color w:val="00162F"/>
              </w:rPr>
              <w:t>Other comprehensive income (loss) before reclassifications</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145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00162F"/>
              </w:rPr>
              <w:t>112</w:t>
            </w:r>
          </w:p>
        </w:tc>
        <w:tc>
          <w:tcPr>
            <w:tcW w:w="0" w:type="dxa"/>
            <w:vAlign w:val="bottom"/>
          </w:tcPr>
          <w:p>
            <w:pPr>
              <w:spacing w:after="0"/>
              <w:rPr>
                <w:sz w:val="1"/>
                <w:szCs w:val="1"/>
                <w:color w:val="auto"/>
              </w:rPr>
            </w:pPr>
          </w:p>
        </w:tc>
      </w:tr>
      <w:tr>
        <w:trPr>
          <w:trHeight w:val="291"/>
        </w:trPr>
        <w:tc>
          <w:tcPr>
            <w:tcW w:w="5540" w:type="dxa"/>
            <w:vAlign w:val="bottom"/>
            <w:tcBorders>
              <w:bottom w:val="single" w:sz="8" w:color="EDEDED"/>
            </w:tcBorders>
            <w:gridSpan w:val="2"/>
            <w:shd w:val="clear" w:color="auto" w:fill="EDEDED"/>
          </w:tcPr>
          <w:p>
            <w:pPr>
              <w:ind w:left="160"/>
              <w:spacing w:after="0"/>
              <w:rPr>
                <w:sz w:val="20"/>
                <w:szCs w:val="20"/>
                <w:color w:val="auto"/>
              </w:rPr>
            </w:pPr>
            <w:r>
              <w:rPr>
                <w:rFonts w:ascii="Arial" w:cs="Arial" w:eastAsia="Arial" w:hAnsi="Arial"/>
                <w:sz w:val="20"/>
                <w:szCs w:val="20"/>
                <w:color w:val="00162F"/>
              </w:rPr>
              <w:t>Amounts reclassified from AOCI</w:t>
            </w:r>
          </w:p>
        </w:tc>
        <w:tc>
          <w:tcPr>
            <w:tcW w:w="16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82</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10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(18)</w:t>
            </w:r>
          </w:p>
        </w:tc>
        <w:tc>
          <w:tcPr>
            <w:tcW w:w="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spacing w:after="0"/>
              <w:rPr>
                <w:sz w:val="24"/>
                <w:szCs w:val="24"/>
                <w:color w:val="auto"/>
              </w:rPr>
            </w:pPr>
          </w:p>
        </w:tc>
        <w:tc>
          <w:tcPr>
            <w:tcW w:w="8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64</w:t>
            </w:r>
          </w:p>
        </w:tc>
        <w:tc>
          <w:tcPr>
            <w:tcW w:w="0" w:type="dxa"/>
            <w:vAlign w:val="bottom"/>
          </w:tcPr>
          <w:p>
            <w:pPr>
              <w:spacing w:after="0"/>
              <w:rPr>
                <w:sz w:val="1"/>
                <w:szCs w:val="1"/>
                <w:color w:val="auto"/>
              </w:rPr>
            </w:pPr>
          </w:p>
        </w:tc>
      </w:tr>
      <w:tr>
        <w:trPr>
          <w:trHeight w:val="277"/>
        </w:trPr>
        <w:tc>
          <w:tcPr>
            <w:tcW w:w="5540" w:type="dxa"/>
            <w:vAlign w:val="bottom"/>
            <w:tcBorders>
              <w:bottom w:val="single" w:sz="8" w:color="EDEDED"/>
            </w:tcBorders>
            <w:gridSpan w:val="2"/>
          </w:tcPr>
          <w:p>
            <w:pPr>
              <w:ind w:left="460"/>
              <w:spacing w:after="0"/>
              <w:rPr>
                <w:sz w:val="20"/>
                <w:szCs w:val="20"/>
                <w:color w:val="auto"/>
              </w:rPr>
            </w:pPr>
            <w:r>
              <w:rPr>
                <w:rFonts w:ascii="Arial" w:cs="Arial" w:eastAsia="Arial" w:hAnsi="Arial"/>
                <w:sz w:val="20"/>
                <w:szCs w:val="20"/>
                <w:color w:val="00162F"/>
              </w:rPr>
              <w:t>Net current-period other comprehensive income (loss)</w:t>
            </w:r>
          </w:p>
        </w:tc>
        <w:tc>
          <w:tcPr>
            <w:tcW w:w="16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227</w:t>
            </w:r>
          </w:p>
        </w:tc>
        <w:tc>
          <w:tcPr>
            <w:tcW w:w="80" w:type="dxa"/>
            <w:vAlign w:val="bottom"/>
            <w:tcBorders>
              <w:bottom w:val="single" w:sz="8" w:color="EDEDED"/>
            </w:tcBorders>
          </w:tcPr>
          <w:p>
            <w:pPr>
              <w:spacing w:after="0"/>
              <w:rPr>
                <w:sz w:val="24"/>
                <w:szCs w:val="24"/>
                <w:color w:val="auto"/>
              </w:rPr>
            </w:pPr>
          </w:p>
        </w:tc>
        <w:tc>
          <w:tcPr>
            <w:tcW w:w="20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(51)</w:t>
            </w:r>
          </w:p>
        </w:tc>
        <w:tc>
          <w:tcPr>
            <w:tcW w:w="60" w:type="dxa"/>
            <w:vAlign w:val="bottom"/>
            <w:tcBorders>
              <w:bottom w:val="single" w:sz="8" w:color="EDEDED"/>
            </w:tcBorders>
          </w:tcPr>
          <w:p>
            <w:pPr>
              <w:spacing w:after="0"/>
              <w:rPr>
                <w:sz w:val="24"/>
                <w:szCs w:val="24"/>
                <w:color w:val="auto"/>
              </w:rPr>
            </w:pPr>
          </w:p>
        </w:tc>
        <w:tc>
          <w:tcPr>
            <w:tcW w:w="280" w:type="dxa"/>
            <w:vAlign w:val="bottom"/>
            <w:tcBorders>
              <w:bottom w:val="single" w:sz="8" w:color="00162F"/>
            </w:tcBorders>
          </w:tcPr>
          <w:p>
            <w:pPr>
              <w:spacing w:after="0"/>
              <w:rPr>
                <w:sz w:val="24"/>
                <w:szCs w:val="24"/>
                <w:color w:val="auto"/>
              </w:rPr>
            </w:pPr>
          </w:p>
        </w:tc>
        <w:tc>
          <w:tcPr>
            <w:tcW w:w="8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176</w:t>
            </w:r>
          </w:p>
        </w:tc>
        <w:tc>
          <w:tcPr>
            <w:tcW w:w="0" w:type="dxa"/>
            <w:vAlign w:val="bottom"/>
          </w:tcPr>
          <w:p>
            <w:pPr>
              <w:spacing w:after="0"/>
              <w:rPr>
                <w:sz w:val="1"/>
                <w:szCs w:val="1"/>
                <w:color w:val="auto"/>
              </w:rPr>
            </w:pPr>
          </w:p>
        </w:tc>
      </w:tr>
      <w:tr>
        <w:trPr>
          <w:trHeight w:val="297"/>
        </w:trPr>
        <w:tc>
          <w:tcPr>
            <w:tcW w:w="554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Balance at December 31, 2025</w:t>
            </w:r>
          </w:p>
        </w:tc>
        <w:tc>
          <w:tcPr>
            <w:tcW w:w="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2,732)</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ind w:left="60"/>
              <w:spacing w:after="0"/>
              <w:rPr>
                <w:sz w:val="20"/>
                <w:szCs w:val="20"/>
                <w:color w:val="auto"/>
              </w:rPr>
            </w:pPr>
            <w:r>
              <w:rPr>
                <w:rFonts w:ascii="Arial" w:cs="Arial" w:eastAsia="Arial" w:hAnsi="Arial"/>
                <w:sz w:val="20"/>
                <w:szCs w:val="20"/>
                <w:color w:val="00162F"/>
              </w:rPr>
              <w:t>$</w:t>
            </w:r>
          </w:p>
        </w:tc>
        <w:tc>
          <w:tcPr>
            <w:tcW w:w="10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1,657)</w:t>
            </w:r>
          </w:p>
        </w:tc>
        <w:tc>
          <w:tcPr>
            <w:tcW w:w="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4,389)</w:t>
            </w:r>
          </w:p>
        </w:tc>
        <w:tc>
          <w:tcPr>
            <w:tcW w:w="0" w:type="dxa"/>
            <w:vAlign w:val="bottom"/>
          </w:tcPr>
          <w:p>
            <w:pPr>
              <w:spacing w:after="0"/>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-1825625</wp:posOffset>
            </wp:positionV>
            <wp:extent cx="316484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5">
                      <a:extLst>
                        <a:ext uri="{28A0092B-C50C-407E-A947-70E740481C1C}"/>
                      </a:extLst>
                    </a:blip>
                    <a:srcRect/>
                    <a:stretch>
                      <a:fillRect/>
                    </a:stretch>
                  </pic:blipFill>
                  <pic:spPr bwMode="auto">
                    <a:xfrm>
                      <a:off x="0" y="0"/>
                      <a:ext cx="3164840" cy="2540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-1259840</wp:posOffset>
            </wp:positionV>
            <wp:extent cx="316484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6">
                      <a:extLst>
                        <a:ext uri="{28A0092B-C50C-407E-A947-70E740481C1C}"/>
                      </a:extLst>
                    </a:blip>
                    <a:srcRect/>
                    <a:stretch>
                      <a:fillRect/>
                    </a:stretch>
                  </pic:blipFill>
                  <pic:spPr bwMode="auto">
                    <a:xfrm>
                      <a:off x="0" y="0"/>
                      <a:ext cx="3164840" cy="2540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-1071245</wp:posOffset>
            </wp:positionV>
            <wp:extent cx="316484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7">
                      <a:extLst>
                        <a:ext uri="{28A0092B-C50C-407E-A947-70E740481C1C}"/>
                      </a:extLst>
                    </a:blip>
                    <a:srcRect/>
                    <a:stretch>
                      <a:fillRect/>
                    </a:stretch>
                  </pic:blipFill>
                  <pic:spPr bwMode="auto">
                    <a:xfrm>
                      <a:off x="0" y="0"/>
                      <a:ext cx="3164840" cy="2540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-505460</wp:posOffset>
            </wp:positionV>
            <wp:extent cx="316484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8">
                      <a:extLst>
                        <a:ext uri="{28A0092B-C50C-407E-A947-70E740481C1C}"/>
                      </a:extLst>
                    </a:blip>
                    <a:srcRect/>
                    <a:stretch>
                      <a:fillRect/>
                    </a:stretch>
                  </pic:blipFill>
                  <pic:spPr bwMode="auto">
                    <a:xfrm>
                      <a:off x="0" y="0"/>
                      <a:ext cx="3164840" cy="2540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-316865</wp:posOffset>
            </wp:positionV>
            <wp:extent cx="316484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9">
                      <a:extLst>
                        <a:ext uri="{28A0092B-C50C-407E-A947-70E740481C1C}"/>
                      </a:extLst>
                    </a:blip>
                    <a:srcRect/>
                    <a:stretch>
                      <a:fillRect/>
                    </a:stretch>
                  </pic:blipFill>
                  <pic:spPr bwMode="auto">
                    <a:xfrm>
                      <a:off x="0" y="0"/>
                      <a:ext cx="3164840" cy="2540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-140970</wp:posOffset>
            </wp:positionV>
            <wp:extent cx="3164840"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0">
                      <a:extLst>
                        <a:ext uri="{28A0092B-C50C-407E-A947-70E740481C1C}"/>
                      </a:extLst>
                    </a:blip>
                    <a:srcRect/>
                    <a:stretch>
                      <a:fillRect/>
                    </a:stretch>
                  </pic:blipFill>
                  <pic:spPr bwMode="auto">
                    <a:xfrm>
                      <a:off x="0" y="0"/>
                      <a:ext cx="3164840" cy="50800"/>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65" w:lineRule="auto"/>
        <w:tabs>
          <w:tab w:leader="none" w:pos="365" w:val="left"/>
        </w:tabs>
        <w:numPr>
          <w:ilvl w:val="0"/>
          <w:numId w:val="57"/>
        </w:numPr>
        <w:rPr>
          <w:rFonts w:ascii="Arial" w:cs="Arial" w:eastAsia="Arial" w:hAnsi="Arial"/>
          <w:sz w:val="13"/>
          <w:szCs w:val="13"/>
          <w:color w:val="00162F"/>
        </w:rPr>
      </w:pPr>
      <w:r>
        <w:rPr>
          <w:rFonts w:ascii="Arial" w:cs="Arial" w:eastAsia="Arial" w:hAnsi="Arial"/>
          <w:sz w:val="20"/>
          <w:szCs w:val="20"/>
          <w:color w:val="00162F"/>
        </w:rPr>
        <w:t>Relates principally to pension, retiree medical and other postretirement benefits obligations that will not be recognized in net income until the obligations are fully extinguished. Amounts reclassified from AOCI are recognized within the income tax provision on our consolidated statements of operations.</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117</w:t>
      </w:r>
    </w:p>
    <w:p>
      <w:pPr>
        <w:sectPr>
          <w:pgSz w:w="11880" w:h="15480" w:orient="portrait"/>
          <w:cols w:equalWidth="0" w:num="1">
            <w:col w:w="10685"/>
          </w:cols>
          <w:pgMar w:left="595" w:top="487" w:right="600" w:bottom="0" w:gutter="0" w:footer="0" w:header="0"/>
          <w:type w:val="continuous"/>
        </w:sectPr>
      </w:pPr>
    </w:p>
    <w:bookmarkStart w:id="118" w:name="page119"/>
    <w:bookmarkEnd w:id="118"/>
    <w:p>
      <w:pPr>
        <w:ind w:left="925"/>
        <w:spacing w:after="0"/>
        <w:rPr>
          <w:sz w:val="20"/>
          <w:szCs w:val="20"/>
          <w:color w:val="auto"/>
        </w:rPr>
      </w:pPr>
      <w:r>
        <w:rPr>
          <w:rFonts w:ascii="Arial" w:cs="Arial" w:eastAsia="Arial" w:hAnsi="Arial"/>
          <w:sz w:val="19"/>
          <w:szCs w:val="19"/>
          <w:b w:val="1"/>
          <w:bCs w:val="1"/>
          <w:color w:val="00162F"/>
        </w:rPr>
        <w:t>NOTES TO CONSOLIDATED FINANCIAL STATEMENTS OF AMERICAN AIRLINES GROUP INC</w:t>
      </w:r>
      <w:r>
        <w:rPr>
          <w:rFonts w:ascii="Arial" w:cs="Arial" w:eastAsia="Arial" w:hAnsi="Arial"/>
          <w:sz w:val="19"/>
          <w:szCs w:val="19"/>
          <w:color w:val="00162F"/>
        </w:rPr>
        <w:t>.</w:t>
      </w:r>
    </w:p>
    <w:p>
      <w:pPr>
        <w:spacing w:after="0" w:line="287"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Reclassifications out of AOCI for the years ended December 31, 2025 and 2024 are as follows (in millions):</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5"/>
        <w:spacing w:after="0"/>
        <w:rPr>
          <w:sz w:val="20"/>
          <w:szCs w:val="20"/>
          <w:color w:val="auto"/>
        </w:rPr>
      </w:pPr>
      <w:r>
        <w:rPr>
          <w:rFonts w:ascii="Arial" w:cs="Arial" w:eastAsia="Arial" w:hAnsi="Arial"/>
          <w:sz w:val="16"/>
          <w:szCs w:val="16"/>
          <w:b w:val="1"/>
          <w:bCs w:val="1"/>
          <w:u w:val="single" w:color="auto"/>
          <w:color w:val="00162F"/>
        </w:rPr>
        <w:t>AOCI Components</w:t>
      </w:r>
    </w:p>
    <w:p>
      <w:pPr>
        <w:spacing w:after="0" w:line="36" w:lineRule="exact"/>
        <w:rPr>
          <w:sz w:val="20"/>
          <w:szCs w:val="20"/>
          <w:color w:val="auto"/>
        </w:rPr>
      </w:pPr>
    </w:p>
    <w:p>
      <w:pPr>
        <w:ind w:left="225" w:right="160" w:hanging="177"/>
        <w:spacing w:after="0" w:line="241" w:lineRule="auto"/>
        <w:rPr>
          <w:sz w:val="20"/>
          <w:szCs w:val="20"/>
          <w:color w:val="auto"/>
        </w:rPr>
      </w:pPr>
      <w:r>
        <w:rPr>
          <w:rFonts w:ascii="Arial" w:cs="Arial" w:eastAsia="Arial" w:hAnsi="Arial"/>
          <w:sz w:val="20"/>
          <w:szCs w:val="20"/>
          <w:color w:val="00162F"/>
        </w:rPr>
        <w:t>Amortization of pension, retiree medical and other postretirement benefits:</w:t>
      </w:r>
    </w:p>
    <w:p>
      <w:pPr>
        <w:spacing w:after="0" w:line="28"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Prior service cost</w:t>
      </w:r>
    </w:p>
    <w:p>
      <w:pPr>
        <w:spacing w:after="0" w:line="67"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Actuarial loss</w:t>
      </w:r>
    </w:p>
    <w:p>
      <w:pPr>
        <w:spacing w:after="0" w:line="67" w:lineRule="exact"/>
        <w:rPr>
          <w:sz w:val="20"/>
          <w:szCs w:val="20"/>
          <w:color w:val="auto"/>
        </w:rPr>
      </w:pPr>
    </w:p>
    <w:p>
      <w:pPr>
        <w:ind w:left="45"/>
        <w:spacing w:after="0"/>
        <w:rPr>
          <w:sz w:val="20"/>
          <w:szCs w:val="20"/>
          <w:color w:val="auto"/>
        </w:rPr>
      </w:pPr>
      <w:r>
        <w:rPr>
          <w:rFonts w:ascii="Arial" w:cs="Arial" w:eastAsia="Arial" w:hAnsi="Arial"/>
          <w:sz w:val="19"/>
          <w:szCs w:val="19"/>
          <w:color w:val="00162F"/>
        </w:rPr>
        <w:t>Total reclassifications for the period, net of tax</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Borders>
              <w:bottom w:val="single" w:sz="8" w:color="00162F"/>
            </w:tcBorders>
            <w:gridSpan w:val="3"/>
          </w:tcPr>
          <w:p>
            <w:pPr>
              <w:jc w:val="center"/>
              <w:spacing w:after="0"/>
              <w:rPr>
                <w:sz w:val="20"/>
                <w:szCs w:val="20"/>
                <w:color w:val="auto"/>
              </w:rPr>
            </w:pPr>
            <w:r>
              <w:rPr>
                <w:rFonts w:ascii="Arial" w:cs="Arial" w:eastAsia="Arial" w:hAnsi="Arial"/>
                <w:sz w:val="16"/>
                <w:szCs w:val="16"/>
                <w:b w:val="1"/>
                <w:bCs w:val="1"/>
                <w:color w:val="00162F"/>
                <w:w w:val="99"/>
              </w:rPr>
              <w:t>Amounts reclassified from AOCI</w:t>
            </w:r>
          </w:p>
        </w:tc>
        <w:tc>
          <w:tcPr>
            <w:tcW w:w="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60" w:type="dxa"/>
            <w:vAlign w:val="bottom"/>
            <w:tcBorders>
              <w:bottom w:val="single" w:sz="8" w:color="00162F"/>
            </w:tcBorders>
            <w:gridSpan w:val="3"/>
          </w:tcPr>
          <w:p>
            <w:pPr>
              <w:jc w:val="center"/>
              <w:spacing w:after="0"/>
              <w:rPr>
                <w:sz w:val="20"/>
                <w:szCs w:val="20"/>
                <w:color w:val="auto"/>
              </w:rPr>
            </w:pPr>
            <w:r>
              <w:rPr>
                <w:rFonts w:ascii="Arial" w:cs="Arial" w:eastAsia="Arial" w:hAnsi="Arial"/>
                <w:sz w:val="16"/>
                <w:szCs w:val="16"/>
                <w:b w:val="1"/>
                <w:bCs w:val="1"/>
                <w:color w:val="00162F"/>
                <w:w w:val="98"/>
              </w:rPr>
              <w:t>Year Ended December 31,</w:t>
            </w:r>
          </w:p>
        </w:tc>
        <w:tc>
          <w:tcPr>
            <w:tcW w:w="80" w:type="dxa"/>
            <w:vAlign w:val="bottom"/>
          </w:tcPr>
          <w:p>
            <w:pPr>
              <w:spacing w:after="0"/>
              <w:rPr>
                <w:sz w:val="20"/>
                <w:szCs w:val="20"/>
                <w:color w:val="auto"/>
              </w:rPr>
            </w:pPr>
          </w:p>
        </w:tc>
        <w:tc>
          <w:tcPr>
            <w:tcW w:w="3820" w:type="dxa"/>
            <w:vAlign w:val="bottom"/>
            <w:vMerge w:val="restart"/>
          </w:tcPr>
          <w:p>
            <w:pPr>
              <w:jc w:val="center"/>
              <w:spacing w:after="0"/>
              <w:rPr>
                <w:sz w:val="20"/>
                <w:szCs w:val="20"/>
                <w:color w:val="auto"/>
              </w:rPr>
            </w:pPr>
            <w:r>
              <w:rPr>
                <w:rFonts w:ascii="Arial" w:cs="Arial" w:eastAsia="Arial" w:hAnsi="Arial"/>
                <w:sz w:val="16"/>
                <w:szCs w:val="16"/>
                <w:b w:val="1"/>
                <w:bCs w:val="1"/>
                <w:color w:val="00162F"/>
                <w:w w:val="99"/>
              </w:rPr>
              <w:t>Affected line items on the</w:t>
            </w:r>
          </w:p>
        </w:tc>
        <w:tc>
          <w:tcPr>
            <w:tcW w:w="0" w:type="dxa"/>
            <w:vAlign w:val="bottom"/>
          </w:tcPr>
          <w:p>
            <w:pPr>
              <w:spacing w:after="0"/>
              <w:rPr>
                <w:sz w:val="1"/>
                <w:szCs w:val="1"/>
                <w:color w:val="auto"/>
              </w:rPr>
            </w:pPr>
          </w:p>
        </w:tc>
      </w:tr>
      <w:tr>
        <w:trPr>
          <w:trHeight w:val="51"/>
        </w:trPr>
        <w:tc>
          <w:tcPr>
            <w:tcW w:w="1240" w:type="dxa"/>
            <w:vAlign w:val="bottom"/>
            <w:vMerge w:val="restart"/>
          </w:tcPr>
          <w:p>
            <w:pPr>
              <w:jc w:val="right"/>
              <w:ind w:right="361"/>
              <w:spacing w:after="0"/>
              <w:rPr>
                <w:sz w:val="20"/>
                <w:szCs w:val="20"/>
                <w:color w:val="auto"/>
              </w:rPr>
            </w:pPr>
            <w:r>
              <w:rPr>
                <w:rFonts w:ascii="Arial" w:cs="Arial" w:eastAsia="Arial" w:hAnsi="Arial"/>
                <w:sz w:val="16"/>
                <w:szCs w:val="16"/>
                <w:b w:val="1"/>
                <w:bCs w:val="1"/>
                <w:color w:val="00162F"/>
              </w:rPr>
              <w:t>2025</w:t>
            </w:r>
          </w:p>
        </w:tc>
        <w:tc>
          <w:tcPr>
            <w:tcW w:w="80" w:type="dxa"/>
            <w:vAlign w:val="bottom"/>
            <w:vMerge w:val="restart"/>
          </w:tcPr>
          <w:p>
            <w:pPr>
              <w:spacing w:after="0"/>
              <w:rPr>
                <w:sz w:val="4"/>
                <w:szCs w:val="4"/>
                <w:color w:val="auto"/>
              </w:rPr>
            </w:pPr>
          </w:p>
        </w:tc>
        <w:tc>
          <w:tcPr>
            <w:tcW w:w="1240" w:type="dxa"/>
            <w:vAlign w:val="bottom"/>
            <w:vMerge w:val="restart"/>
          </w:tcPr>
          <w:p>
            <w:pPr>
              <w:jc w:val="right"/>
              <w:ind w:right="361"/>
              <w:spacing w:after="0"/>
              <w:rPr>
                <w:sz w:val="20"/>
                <w:szCs w:val="20"/>
                <w:color w:val="auto"/>
              </w:rPr>
            </w:pPr>
            <w:r>
              <w:rPr>
                <w:rFonts w:ascii="Arial" w:cs="Arial" w:eastAsia="Arial" w:hAnsi="Arial"/>
                <w:sz w:val="16"/>
                <w:szCs w:val="16"/>
                <w:b w:val="1"/>
                <w:bCs w:val="1"/>
                <w:color w:val="00162F"/>
              </w:rPr>
              <w:t>2024</w:t>
            </w:r>
          </w:p>
        </w:tc>
        <w:tc>
          <w:tcPr>
            <w:tcW w:w="80" w:type="dxa"/>
            <w:vAlign w:val="bottom"/>
          </w:tcPr>
          <w:p>
            <w:pPr>
              <w:spacing w:after="0"/>
              <w:rPr>
                <w:sz w:val="4"/>
                <w:szCs w:val="4"/>
                <w:color w:val="auto"/>
              </w:rPr>
            </w:pPr>
          </w:p>
        </w:tc>
        <w:tc>
          <w:tcPr>
            <w:tcW w:w="3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240" w:type="dxa"/>
            <w:vAlign w:val="bottom"/>
            <w:tcBorders>
              <w:bottom w:val="single" w:sz="8" w:color="00162F"/>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40" w:type="dxa"/>
            <w:vAlign w:val="bottom"/>
            <w:tcBorders>
              <w:bottom w:val="single" w:sz="8" w:color="00162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8"/>
              </w:rPr>
              <w:t>consolidated 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-31115</wp:posOffset>
            </wp:positionV>
            <wp:extent cx="6813550" cy="3365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1">
                      <a:extLst>
                        <a:ext uri="{28A0092B-C50C-407E-A947-70E740481C1C}"/>
                      </a:extLst>
                    </a:blip>
                    <a:srcRect/>
                    <a:stretch>
                      <a:fillRect/>
                    </a:stretch>
                  </pic:blipFill>
                  <pic:spPr bwMode="auto">
                    <a:xfrm>
                      <a:off x="0" y="0"/>
                      <a:ext cx="6813550" cy="3365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40" w:type="dxa"/>
            <w:vAlign w:val="bottom"/>
          </w:tcPr>
          <w:p>
            <w:pPr>
              <w:jc w:val="right"/>
              <w:ind w:right="281"/>
              <w:spacing w:after="0"/>
              <w:rPr>
                <w:sz w:val="20"/>
                <w:szCs w:val="20"/>
                <w:color w:val="auto"/>
              </w:rPr>
            </w:pPr>
            <w:r>
              <w:rPr>
                <w:rFonts w:ascii="Arial" w:cs="Arial" w:eastAsia="Arial" w:hAnsi="Arial"/>
                <w:sz w:val="20"/>
                <w:szCs w:val="20"/>
                <w:color w:val="00162F"/>
              </w:rPr>
              <w:t>$</w:t>
            </w:r>
          </w:p>
        </w:tc>
        <w:tc>
          <w:tcPr>
            <w:tcW w:w="700" w:type="dxa"/>
            <w:vAlign w:val="bottom"/>
          </w:tcPr>
          <w:p>
            <w:pPr>
              <w:jc w:val="right"/>
              <w:spacing w:after="0"/>
              <w:rPr>
                <w:sz w:val="20"/>
                <w:szCs w:val="20"/>
                <w:color w:val="auto"/>
              </w:rPr>
            </w:pPr>
            <w:r>
              <w:rPr>
                <w:rFonts w:ascii="Arial" w:cs="Arial" w:eastAsia="Arial" w:hAnsi="Arial"/>
                <w:sz w:val="20"/>
                <w:szCs w:val="20"/>
                <w:color w:val="00162F"/>
              </w:rPr>
              <w:t>14</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00162F"/>
              </w:rPr>
              <w:t>$</w:t>
            </w:r>
          </w:p>
        </w:tc>
        <w:tc>
          <w:tcPr>
            <w:tcW w:w="700" w:type="dxa"/>
            <w:vAlign w:val="bottom"/>
          </w:tcPr>
          <w:p>
            <w:pPr>
              <w:jc w:val="right"/>
              <w:spacing w:after="0"/>
              <w:rPr>
                <w:sz w:val="20"/>
                <w:szCs w:val="20"/>
                <w:color w:val="auto"/>
              </w:rPr>
            </w:pPr>
            <w:r>
              <w:rPr>
                <w:rFonts w:ascii="Arial" w:cs="Arial" w:eastAsia="Arial" w:hAnsi="Arial"/>
                <w:sz w:val="20"/>
                <w:szCs w:val="20"/>
                <w:color w:val="00162F"/>
              </w:rPr>
              <w:t>11</w:t>
            </w:r>
          </w:p>
        </w:tc>
        <w:tc>
          <w:tcPr>
            <w:tcW w:w="3840" w:type="dxa"/>
            <w:vAlign w:val="bottom"/>
          </w:tcPr>
          <w:p>
            <w:pPr>
              <w:ind w:left="120"/>
              <w:spacing w:after="0"/>
              <w:rPr>
                <w:sz w:val="20"/>
                <w:szCs w:val="20"/>
                <w:color w:val="auto"/>
              </w:rPr>
            </w:pPr>
            <w:r>
              <w:rPr>
                <w:rFonts w:ascii="Arial" w:cs="Arial" w:eastAsia="Arial" w:hAnsi="Arial"/>
                <w:sz w:val="20"/>
                <w:szCs w:val="20"/>
                <w:color w:val="00162F"/>
                <w:w w:val="98"/>
              </w:rPr>
              <w:t>Nonoperating other income (expense), net</w:t>
            </w:r>
          </w:p>
        </w:tc>
      </w:tr>
      <w:tr>
        <w:trPr>
          <w:trHeight w:val="294"/>
        </w:trPr>
        <w:tc>
          <w:tcPr>
            <w:tcW w:w="540" w:type="dxa"/>
            <w:vAlign w:val="bottom"/>
            <w:tcBorders>
              <w:bottom w:val="single" w:sz="8" w:color="00162F"/>
            </w:tcBorders>
          </w:tcPr>
          <w:p>
            <w:pPr>
              <w:spacing w:after="0"/>
              <w:rPr>
                <w:sz w:val="24"/>
                <w:szCs w:val="24"/>
                <w:color w:val="auto"/>
              </w:rPr>
            </w:pPr>
          </w:p>
        </w:tc>
        <w:tc>
          <w:tcPr>
            <w:tcW w:w="7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50</w:t>
            </w:r>
          </w:p>
        </w:tc>
        <w:tc>
          <w:tcPr>
            <w:tcW w:w="80" w:type="dxa"/>
            <w:vAlign w:val="bottom"/>
          </w:tcPr>
          <w:p>
            <w:pPr>
              <w:spacing w:after="0"/>
              <w:rPr>
                <w:sz w:val="24"/>
                <w:szCs w:val="24"/>
                <w:color w:val="auto"/>
              </w:rPr>
            </w:pPr>
          </w:p>
        </w:tc>
        <w:tc>
          <w:tcPr>
            <w:tcW w:w="540" w:type="dxa"/>
            <w:vAlign w:val="bottom"/>
            <w:tcBorders>
              <w:bottom w:val="single" w:sz="8" w:color="00162F"/>
            </w:tcBorders>
          </w:tcPr>
          <w:p>
            <w:pPr>
              <w:spacing w:after="0"/>
              <w:rPr>
                <w:sz w:val="24"/>
                <w:szCs w:val="24"/>
                <w:color w:val="auto"/>
              </w:rPr>
            </w:pPr>
          </w:p>
        </w:tc>
        <w:tc>
          <w:tcPr>
            <w:tcW w:w="7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57</w:t>
            </w:r>
          </w:p>
        </w:tc>
        <w:tc>
          <w:tcPr>
            <w:tcW w:w="3840" w:type="dxa"/>
            <w:vAlign w:val="bottom"/>
          </w:tcPr>
          <w:p>
            <w:pPr>
              <w:ind w:left="120"/>
              <w:spacing w:after="0"/>
              <w:rPr>
                <w:sz w:val="20"/>
                <w:szCs w:val="20"/>
                <w:color w:val="auto"/>
              </w:rPr>
            </w:pPr>
            <w:r>
              <w:rPr>
                <w:rFonts w:ascii="Arial" w:cs="Arial" w:eastAsia="Arial" w:hAnsi="Arial"/>
                <w:sz w:val="20"/>
                <w:szCs w:val="20"/>
                <w:color w:val="00162F"/>
                <w:w w:val="98"/>
              </w:rPr>
              <w:t>Nonoperating other income (expense), net</w:t>
            </w:r>
          </w:p>
        </w:tc>
      </w:tr>
      <w:tr>
        <w:trPr>
          <w:trHeight w:val="257"/>
        </w:trPr>
        <w:tc>
          <w:tcPr>
            <w:tcW w:w="540" w:type="dxa"/>
            <w:vAlign w:val="bottom"/>
          </w:tcPr>
          <w:p>
            <w:pPr>
              <w:jc w:val="right"/>
              <w:ind w:right="281"/>
              <w:spacing w:after="0"/>
              <w:rPr>
                <w:sz w:val="20"/>
                <w:szCs w:val="20"/>
                <w:color w:val="auto"/>
              </w:rPr>
            </w:pPr>
            <w:r>
              <w:rPr>
                <w:rFonts w:ascii="Arial" w:cs="Arial" w:eastAsia="Arial" w:hAnsi="Arial"/>
                <w:sz w:val="20"/>
                <w:szCs w:val="20"/>
                <w:color w:val="00162F"/>
              </w:rPr>
              <w:t>$</w:t>
            </w:r>
          </w:p>
        </w:tc>
        <w:tc>
          <w:tcPr>
            <w:tcW w:w="700" w:type="dxa"/>
            <w:vAlign w:val="bottom"/>
          </w:tcPr>
          <w:p>
            <w:pPr>
              <w:jc w:val="right"/>
              <w:spacing w:after="0"/>
              <w:rPr>
                <w:sz w:val="20"/>
                <w:szCs w:val="20"/>
                <w:color w:val="auto"/>
              </w:rPr>
            </w:pPr>
            <w:r>
              <w:rPr>
                <w:rFonts w:ascii="Arial" w:cs="Arial" w:eastAsia="Arial" w:hAnsi="Arial"/>
                <w:sz w:val="20"/>
                <w:szCs w:val="20"/>
                <w:color w:val="00162F"/>
              </w:rPr>
              <w:t>64</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00162F"/>
              </w:rPr>
              <w:t>$</w:t>
            </w:r>
          </w:p>
        </w:tc>
        <w:tc>
          <w:tcPr>
            <w:tcW w:w="700" w:type="dxa"/>
            <w:vAlign w:val="bottom"/>
          </w:tcPr>
          <w:p>
            <w:pPr>
              <w:jc w:val="right"/>
              <w:spacing w:after="0"/>
              <w:rPr>
                <w:sz w:val="20"/>
                <w:szCs w:val="20"/>
                <w:color w:val="auto"/>
              </w:rPr>
            </w:pPr>
            <w:r>
              <w:rPr>
                <w:rFonts w:ascii="Arial" w:cs="Arial" w:eastAsia="Arial" w:hAnsi="Arial"/>
                <w:sz w:val="20"/>
                <w:szCs w:val="20"/>
                <w:color w:val="00162F"/>
              </w:rPr>
              <w:t>68</w:t>
            </w:r>
          </w:p>
        </w:tc>
        <w:tc>
          <w:tcPr>
            <w:tcW w:w="3840" w:type="dxa"/>
            <w:vAlign w:val="bottom"/>
          </w:tcPr>
          <w:p>
            <w:pPr>
              <w:spacing w:after="0"/>
              <w:rPr>
                <w:sz w:val="22"/>
                <w:szCs w:val="22"/>
                <w:color w:val="auto"/>
              </w:rPr>
            </w:pPr>
          </w:p>
        </w:tc>
      </w:tr>
      <w:tr>
        <w:trPr>
          <w:trHeight w:val="20"/>
        </w:trPr>
        <w:tc>
          <w:tcPr>
            <w:tcW w:w="540" w:type="dxa"/>
            <w:vAlign w:val="bottom"/>
            <w:tcBorders>
              <w:top w:val="single" w:sz="8" w:color="00162F"/>
              <w:bottom w:val="single" w:sz="8" w:color="00162F"/>
            </w:tcBorders>
          </w:tcPr>
          <w:p>
            <w:pPr>
              <w:spacing w:after="0" w:line="20" w:lineRule="exact"/>
              <w:rPr>
                <w:sz w:val="1"/>
                <w:szCs w:val="1"/>
                <w:color w:val="auto"/>
              </w:rPr>
            </w:pPr>
          </w:p>
        </w:tc>
        <w:tc>
          <w:tcPr>
            <w:tcW w:w="70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162F"/>
              <w:bottom w:val="single" w:sz="8" w:color="00162F"/>
            </w:tcBorders>
          </w:tcPr>
          <w:p>
            <w:pPr>
              <w:spacing w:after="0" w:line="20" w:lineRule="exact"/>
              <w:rPr>
                <w:sz w:val="1"/>
                <w:szCs w:val="1"/>
                <w:color w:val="auto"/>
              </w:rPr>
            </w:pPr>
          </w:p>
        </w:tc>
        <w:tc>
          <w:tcPr>
            <w:tcW w:w="700" w:type="dxa"/>
            <w:vAlign w:val="bottom"/>
            <w:tcBorders>
              <w:top w:val="single" w:sz="8" w:color="00162F"/>
              <w:bottom w:val="single" w:sz="8" w:color="00162F"/>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-395605</wp:posOffset>
            </wp:positionV>
            <wp:extent cx="6788150" cy="2139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2">
                      <a:extLst>
                        <a:ext uri="{28A0092B-C50C-407E-A947-70E740481C1C}"/>
                      </a:extLst>
                    </a:blip>
                    <a:srcRect/>
                    <a:stretch>
                      <a:fillRect/>
                    </a:stretch>
                  </pic:blipFill>
                  <pic:spPr bwMode="auto">
                    <a:xfrm>
                      <a:off x="0" y="0"/>
                      <a:ext cx="6788150" cy="21399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-55880</wp:posOffset>
            </wp:positionV>
            <wp:extent cx="842645" cy="755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3">
                      <a:extLst>
                        <a:ext uri="{28A0092B-C50C-407E-A947-70E740481C1C}"/>
                      </a:extLst>
                    </a:blip>
                    <a:srcRect/>
                    <a:stretch>
                      <a:fillRect/>
                    </a:stretch>
                  </pic:blipFill>
                  <pic:spPr bwMode="auto">
                    <a:xfrm>
                      <a:off x="0" y="0"/>
                      <a:ext cx="842645" cy="7556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065" w:space="160"/>
            <w:col w:w="6460"/>
          </w:cols>
          <w:pgMar w:left="595" w:top="487" w:right="600" w:bottom="0" w:gutter="0" w:footer="0" w:header="0"/>
          <w:type w:val="continuous"/>
        </w:sectPr>
      </w:pPr>
    </w:p>
    <w:p>
      <w:pPr>
        <w:spacing w:after="0" w:line="81" w:lineRule="exact"/>
        <w:rPr>
          <w:sz w:val="20"/>
          <w:szCs w:val="20"/>
          <w:color w:val="auto"/>
        </w:rPr>
      </w:pPr>
    </w:p>
    <w:p>
      <w:pPr>
        <w:ind w:left="325" w:hanging="325"/>
        <w:spacing w:after="0"/>
        <w:tabs>
          <w:tab w:leader="none" w:pos="325" w:val="left"/>
        </w:tabs>
        <w:numPr>
          <w:ilvl w:val="0"/>
          <w:numId w:val="58"/>
        </w:numPr>
        <w:rPr>
          <w:rFonts w:ascii="Arial" w:cs="Arial" w:eastAsia="Arial" w:hAnsi="Arial"/>
          <w:sz w:val="20"/>
          <w:szCs w:val="20"/>
          <w:b w:val="1"/>
          <w:bCs w:val="1"/>
          <w:color w:val="00162F"/>
        </w:rPr>
      </w:pPr>
      <w:r>
        <w:rPr>
          <w:rFonts w:ascii="Arial" w:cs="Arial" w:eastAsia="Arial" w:hAnsi="Arial"/>
          <w:sz w:val="20"/>
          <w:szCs w:val="20"/>
          <w:b w:val="1"/>
          <w:bCs w:val="1"/>
          <w:color w:val="00162F"/>
        </w:rPr>
        <w:t>Commitments, Contingencies and Guarantees</w:t>
      </w:r>
    </w:p>
    <w:p>
      <w:pPr>
        <w:spacing w:after="0" w:line="98" w:lineRule="exact"/>
        <w:rPr>
          <w:rFonts w:ascii="Arial" w:cs="Arial" w:eastAsia="Arial" w:hAnsi="Arial"/>
          <w:sz w:val="20"/>
          <w:szCs w:val="20"/>
          <w:b w:val="1"/>
          <w:bCs w:val="1"/>
          <w:color w:val="00162F"/>
        </w:rPr>
      </w:pPr>
    </w:p>
    <w:p>
      <w:pPr>
        <w:ind w:left="565" w:hanging="298"/>
        <w:spacing w:after="0"/>
        <w:tabs>
          <w:tab w:leader="none" w:pos="565" w:val="left"/>
        </w:tabs>
        <w:numPr>
          <w:ilvl w:val="1"/>
          <w:numId w:val="58"/>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Aircraft, Engine and Other Purchase Commitments</w:t>
      </w:r>
    </w:p>
    <w:p>
      <w:pPr>
        <w:spacing w:after="0" w:line="95" w:lineRule="exact"/>
        <w:rPr>
          <w:sz w:val="20"/>
          <w:szCs w:val="20"/>
          <w:color w:val="auto"/>
        </w:rPr>
      </w:pPr>
    </w:p>
    <w:p>
      <w:pPr>
        <w:ind w:left="5" w:firstLine="267"/>
        <w:spacing w:after="0" w:line="282" w:lineRule="auto"/>
        <w:rPr>
          <w:sz w:val="20"/>
          <w:szCs w:val="20"/>
          <w:color w:val="auto"/>
        </w:rPr>
      </w:pPr>
      <w:r>
        <w:rPr>
          <w:rFonts w:ascii="Arial" w:cs="Arial" w:eastAsia="Arial" w:hAnsi="Arial"/>
          <w:sz w:val="20"/>
          <w:szCs w:val="20"/>
          <w:color w:val="00162F"/>
        </w:rPr>
        <w:t>Under all of our aircraft and engine purchase agreements, our total future commitments as of December 31, 2025 are expected to be as follows (approximately, in millions):</w:t>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440" w:type="dxa"/>
            <w:vAlign w:val="bottom"/>
          </w:tcPr>
          <w:p>
            <w:pPr>
              <w:spacing w:after="0"/>
              <w:rPr>
                <w:sz w:val="15"/>
                <w:szCs w:val="15"/>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00162F"/>
              </w:rPr>
              <w:t>2026</w:t>
            </w:r>
          </w:p>
        </w:tc>
        <w:tc>
          <w:tcPr>
            <w:tcW w:w="60" w:type="dxa"/>
            <w:vAlign w:val="bottom"/>
            <w:vMerge w:val="restart"/>
          </w:tcPr>
          <w:p>
            <w:pPr>
              <w:spacing w:after="0"/>
              <w:rPr>
                <w:sz w:val="15"/>
                <w:szCs w:val="15"/>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00162F"/>
              </w:rPr>
              <w:t>2027</w:t>
            </w:r>
          </w:p>
        </w:tc>
        <w:tc>
          <w:tcPr>
            <w:tcW w:w="80" w:type="dxa"/>
            <w:vAlign w:val="bottom"/>
            <w:vMerge w:val="restart"/>
          </w:tcPr>
          <w:p>
            <w:pPr>
              <w:spacing w:after="0"/>
              <w:rPr>
                <w:sz w:val="15"/>
                <w:szCs w:val="15"/>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00162F"/>
              </w:rPr>
              <w:t>2028</w:t>
            </w:r>
          </w:p>
        </w:tc>
        <w:tc>
          <w:tcPr>
            <w:tcW w:w="60" w:type="dxa"/>
            <w:vAlign w:val="bottom"/>
            <w:vMerge w:val="restart"/>
          </w:tcPr>
          <w:p>
            <w:pPr>
              <w:spacing w:after="0"/>
              <w:rPr>
                <w:sz w:val="15"/>
                <w:szCs w:val="15"/>
                <w:color w:val="auto"/>
              </w:rPr>
            </w:pPr>
          </w:p>
        </w:tc>
        <w:tc>
          <w:tcPr>
            <w:tcW w:w="82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00162F"/>
              </w:rPr>
              <w:t>2029</w:t>
            </w:r>
          </w:p>
        </w:tc>
        <w:tc>
          <w:tcPr>
            <w:tcW w:w="80" w:type="dxa"/>
            <w:vAlign w:val="bottom"/>
            <w:vMerge w:val="restart"/>
          </w:tcPr>
          <w:p>
            <w:pPr>
              <w:spacing w:after="0"/>
              <w:rPr>
                <w:sz w:val="15"/>
                <w:szCs w:val="15"/>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00162F"/>
              </w:rPr>
              <w:t>2030</w:t>
            </w: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00162F"/>
                <w:w w:val="99"/>
              </w:rPr>
              <w:t>2031 and</w:t>
            </w:r>
          </w:p>
        </w:tc>
        <w:tc>
          <w:tcPr>
            <w:tcW w:w="6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00162F"/>
                <w:w w:val="99"/>
              </w:rPr>
              <w:t>Total</w:t>
            </w:r>
          </w:p>
        </w:tc>
        <w:tc>
          <w:tcPr>
            <w:tcW w:w="0" w:type="dxa"/>
            <w:vAlign w:val="bottom"/>
          </w:tcPr>
          <w:p>
            <w:pPr>
              <w:spacing w:after="0"/>
              <w:rPr>
                <w:sz w:val="1"/>
                <w:szCs w:val="1"/>
                <w:color w:val="auto"/>
              </w:rPr>
            </w:pPr>
          </w:p>
        </w:tc>
      </w:tr>
      <w:tr>
        <w:trPr>
          <w:trHeight w:val="211"/>
        </w:trPr>
        <w:tc>
          <w:tcPr>
            <w:tcW w:w="4440" w:type="dxa"/>
            <w:vAlign w:val="bottom"/>
            <w:tcBorders>
              <w:bottom w:val="single" w:sz="8" w:color="EDEDED"/>
            </w:tcBorders>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92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7"/>
              </w:rPr>
              <w:t>Thereafter</w:t>
            </w:r>
          </w:p>
        </w:tc>
        <w:tc>
          <w:tcPr>
            <w:tcW w:w="60" w:type="dxa"/>
            <w:vAlign w:val="bottom"/>
            <w:tcBorders>
              <w:bottom w:val="single" w:sz="8" w:color="EDEDED"/>
            </w:tcBorders>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440" w:type="dxa"/>
            <w:vAlign w:val="bottom"/>
            <w:shd w:val="clear" w:color="auto" w:fill="EDEDED"/>
          </w:tcPr>
          <w:p>
            <w:pPr>
              <w:ind w:left="40"/>
              <w:spacing w:after="0"/>
              <w:rPr>
                <w:sz w:val="20"/>
                <w:szCs w:val="20"/>
                <w:color w:val="auto"/>
              </w:rPr>
            </w:pPr>
            <w:r>
              <w:rPr>
                <w:rFonts w:ascii="Arial" w:cs="Arial" w:eastAsia="Arial" w:hAnsi="Arial"/>
                <w:sz w:val="20"/>
                <w:szCs w:val="20"/>
                <w:color w:val="00162F"/>
                <w:shd w:val="clear" w:color="auto" w:fill="EDEDED"/>
              </w:rPr>
              <w:t xml:space="preserve">Payments for aircraft and engine commitments </w:t>
            </w:r>
            <w:r>
              <w:rPr>
                <w:rFonts w:ascii="Arial" w:cs="Arial" w:eastAsia="Arial" w:hAnsi="Arial"/>
                <w:sz w:val="12"/>
                <w:szCs w:val="12"/>
                <w:color w:val="00162F"/>
                <w:shd w:val="clear" w:color="auto" w:fill="EDEDED"/>
              </w:rPr>
              <w:t>(1)</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shd w:val="clear" w:color="auto" w:fill="EDEDED"/>
              </w:rPr>
              <w:t>$ 2,931</w:t>
            </w:r>
          </w:p>
        </w:tc>
        <w:tc>
          <w:tcPr>
            <w:tcW w:w="8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shd w:val="clear" w:color="auto" w:fill="EDEDED"/>
              </w:rPr>
              <w:t>$ 2,468</w:t>
            </w:r>
          </w:p>
        </w:tc>
        <w:tc>
          <w:tcPr>
            <w:tcW w:w="90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shd w:val="clear" w:color="auto" w:fill="EDEDED"/>
              </w:rPr>
              <w:t>$ 4,021</w:t>
            </w:r>
          </w:p>
        </w:tc>
        <w:tc>
          <w:tcPr>
            <w:tcW w:w="8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shd w:val="clear" w:color="auto" w:fill="EDEDED"/>
              </w:rPr>
              <w:t>$ 4,921</w:t>
            </w:r>
          </w:p>
        </w:tc>
        <w:tc>
          <w:tcPr>
            <w:tcW w:w="90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shd w:val="clear" w:color="auto" w:fill="EDEDED"/>
              </w:rPr>
              <w:t>$ 3,151</w:t>
            </w:r>
          </w:p>
        </w:tc>
        <w:tc>
          <w:tcPr>
            <w:tcW w:w="9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shd w:val="clear" w:color="auto" w:fill="EDEDED"/>
              </w:rPr>
              <w:t>$  6,696</w:t>
            </w:r>
          </w:p>
        </w:tc>
        <w:tc>
          <w:tcPr>
            <w:tcW w:w="88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shd w:val="clear" w:color="auto" w:fill="EDEDED"/>
              </w:rPr>
              <w:t>$24,188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2794000</wp:posOffset>
            </wp:positionH>
            <wp:positionV relativeFrom="paragraph">
              <wp:posOffset>-213360</wp:posOffset>
            </wp:positionV>
            <wp:extent cx="4019550" cy="501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4">
                      <a:extLst>
                        <a:ext uri="{28A0092B-C50C-407E-A947-70E740481C1C}"/>
                      </a:extLst>
                    </a:blip>
                    <a:srcRect/>
                    <a:stretch>
                      <a:fillRect/>
                    </a:stretch>
                  </pic:blipFill>
                  <pic:spPr bwMode="auto">
                    <a:xfrm>
                      <a:off x="0" y="0"/>
                      <a:ext cx="4019550" cy="501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103505</wp:posOffset>
            </wp:positionV>
            <wp:extent cx="1254125"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5">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197" w:lineRule="exact"/>
        <w:rPr>
          <w:sz w:val="20"/>
          <w:szCs w:val="20"/>
          <w:color w:val="auto"/>
        </w:rPr>
      </w:pPr>
    </w:p>
    <w:p>
      <w:pPr>
        <w:ind w:left="365" w:hanging="365"/>
        <w:spacing w:after="0" w:line="282" w:lineRule="auto"/>
        <w:tabs>
          <w:tab w:leader="none" w:pos="365" w:val="left"/>
        </w:tabs>
        <w:numPr>
          <w:ilvl w:val="0"/>
          <w:numId w:val="59"/>
        </w:numPr>
        <w:rPr>
          <w:rFonts w:ascii="Arial" w:cs="Arial" w:eastAsia="Arial" w:hAnsi="Arial"/>
          <w:sz w:val="13"/>
          <w:szCs w:val="13"/>
          <w:color w:val="00162F"/>
        </w:rPr>
      </w:pPr>
      <w:r>
        <w:rPr>
          <w:rFonts w:ascii="Arial" w:cs="Arial" w:eastAsia="Arial" w:hAnsi="Arial"/>
          <w:sz w:val="20"/>
          <w:szCs w:val="20"/>
          <w:color w:val="00162F"/>
        </w:rPr>
        <w:t>These amounts are net of purchase deposits currently held by the equipment manufacturers. Our purchase deposits held by such manufacturers totaled $656 million and $1.0 billion as of December 31, 2025 and 2024, respectively.</w:t>
      </w:r>
    </w:p>
    <w:p>
      <w:pPr>
        <w:spacing w:after="0" w:line="112" w:lineRule="exact"/>
        <w:rPr>
          <w:rFonts w:ascii="Arial" w:cs="Arial" w:eastAsia="Arial" w:hAnsi="Arial"/>
          <w:sz w:val="13"/>
          <w:szCs w:val="13"/>
          <w:color w:val="00162F"/>
        </w:rPr>
      </w:pPr>
    </w:p>
    <w:p>
      <w:pPr>
        <w:jc w:val="both"/>
        <w:ind w:left="365"/>
        <w:spacing w:after="0" w:line="256" w:lineRule="auto"/>
        <w:rPr>
          <w:rFonts w:ascii="Arial" w:cs="Arial" w:eastAsia="Arial" w:hAnsi="Arial"/>
          <w:sz w:val="13"/>
          <w:szCs w:val="13"/>
          <w:color w:val="00162F"/>
        </w:rPr>
      </w:pPr>
      <w:r>
        <w:rPr>
          <w:rFonts w:ascii="Arial" w:cs="Arial" w:eastAsia="Arial" w:hAnsi="Arial"/>
          <w:sz w:val="20"/>
          <w:szCs w:val="20"/>
          <w:color w:val="00162F"/>
        </w:rPr>
        <w:t>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equipment manufacturers and regulatory concerns.</w:t>
      </w:r>
    </w:p>
    <w:p>
      <w:pPr>
        <w:spacing w:after="0" w:line="139"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Additionally, we have other purchase commitments primarily related to aircraft fuel, flight equipment maintenance and information technology support as follows (approximately): $4.1 billion in 2026, $1.8 billion in 2027, $1.6 billion in 2028, $495 million in 2029, $615 million in 2030 and $3.7 billion in 2031 and thereafter. These amounts exclude obligations under certain fuel offtake agreements or other agreements for which the timing of the related expenditure is uncertain, or which are subject to material contingencies, such as the construction of a production facility.</w:t>
      </w:r>
    </w:p>
    <w:p>
      <w:pPr>
        <w:spacing w:after="0" w:line="230"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(b) Capacity Purchase Agreements with Third-Party Regional Carriers</w:t>
      </w:r>
    </w:p>
    <w:p>
      <w:pPr>
        <w:spacing w:after="0" w:line="95" w:lineRule="exact"/>
        <w:rPr>
          <w:sz w:val="20"/>
          <w:szCs w:val="20"/>
          <w:color w:val="auto"/>
        </w:rPr>
      </w:pPr>
    </w:p>
    <w:p>
      <w:pPr>
        <w:jc w:val="both"/>
        <w:ind w:left="5" w:firstLine="267"/>
        <w:spacing w:after="0" w:line="254" w:lineRule="auto"/>
        <w:rPr>
          <w:sz w:val="20"/>
          <w:szCs w:val="20"/>
          <w:color w:val="auto"/>
        </w:rPr>
      </w:pPr>
      <w:r>
        <w:rPr>
          <w:rFonts w:ascii="Arial" w:cs="Arial" w:eastAsia="Arial" w:hAnsi="Arial"/>
          <w:sz w:val="20"/>
          <w:szCs w:val="20"/>
          <w:color w:val="00162F"/>
        </w:rPr>
        <w:t>American has capacity purchase agreements with third-party regional carriers. The capacity purchase agreements provide that all revenues, including passenger, in-flight, ancillary, mail and freight revenues, go to American. American controls marketing, scheduling, ticketing, pricing and seat inventories.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w:t>
      </w:r>
    </w:p>
    <w:p>
      <w:pPr>
        <w:spacing w:after="0" w:line="143"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As of December 31, 2025, American’s capacity purchase agreements with third-party regional carriers had expiration dates ranging from 2032 to 2033, with rights of American to extend the respective terms of certain agreements.</w:t>
      </w:r>
    </w:p>
    <w:p>
      <w:pPr>
        <w:spacing w:after="0" w:line="113"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As of December 31, 2025, American’s commitments under its capacity purchase agreements with third-party regional carriers are expected to be as follows (approximately, in millions):</w:t>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00162F"/>
              </w:rPr>
              <w:t>2026</w:t>
            </w:r>
          </w:p>
        </w:tc>
        <w:tc>
          <w:tcPr>
            <w:tcW w:w="880" w:type="dxa"/>
            <w:vAlign w:val="bottom"/>
            <w:gridSpan w:val="2"/>
            <w:vMerge w:val="restart"/>
          </w:tcPr>
          <w:p>
            <w:pPr>
              <w:jc w:val="right"/>
              <w:ind w:right="141"/>
              <w:spacing w:after="0"/>
              <w:rPr>
                <w:sz w:val="20"/>
                <w:szCs w:val="20"/>
                <w:color w:val="auto"/>
              </w:rPr>
            </w:pPr>
            <w:r>
              <w:rPr>
                <w:rFonts w:ascii="Arial" w:cs="Arial" w:eastAsia="Arial" w:hAnsi="Arial"/>
                <w:sz w:val="16"/>
                <w:szCs w:val="16"/>
                <w:b w:val="1"/>
                <w:bCs w:val="1"/>
                <w:color w:val="00162F"/>
              </w:rPr>
              <w:t>2027</w:t>
            </w:r>
          </w:p>
        </w:tc>
        <w:tc>
          <w:tcPr>
            <w:tcW w:w="80" w:type="dxa"/>
            <w:vAlign w:val="bottom"/>
          </w:tcPr>
          <w:p>
            <w:pPr>
              <w:spacing w:after="0"/>
              <w:rPr>
                <w:sz w:val="16"/>
                <w:szCs w:val="16"/>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00162F"/>
              </w:rPr>
              <w:t>2028</w:t>
            </w:r>
          </w:p>
        </w:tc>
        <w:tc>
          <w:tcPr>
            <w:tcW w:w="880" w:type="dxa"/>
            <w:vAlign w:val="bottom"/>
            <w:gridSpan w:val="2"/>
            <w:vMerge w:val="restart"/>
          </w:tcPr>
          <w:p>
            <w:pPr>
              <w:jc w:val="right"/>
              <w:ind w:right="121"/>
              <w:spacing w:after="0"/>
              <w:rPr>
                <w:sz w:val="20"/>
                <w:szCs w:val="20"/>
                <w:color w:val="auto"/>
              </w:rPr>
            </w:pPr>
            <w:r>
              <w:rPr>
                <w:rFonts w:ascii="Arial" w:cs="Arial" w:eastAsia="Arial" w:hAnsi="Arial"/>
                <w:sz w:val="16"/>
                <w:szCs w:val="16"/>
                <w:b w:val="1"/>
                <w:bCs w:val="1"/>
                <w:color w:val="00162F"/>
              </w:rPr>
              <w:t>2029</w:t>
            </w:r>
          </w:p>
        </w:tc>
        <w:tc>
          <w:tcPr>
            <w:tcW w:w="900" w:type="dxa"/>
            <w:vAlign w:val="bottom"/>
            <w:gridSpan w:val="2"/>
            <w:vMerge w:val="restart"/>
          </w:tcPr>
          <w:p>
            <w:pPr>
              <w:jc w:val="right"/>
              <w:ind w:right="141"/>
              <w:spacing w:after="0"/>
              <w:rPr>
                <w:sz w:val="20"/>
                <w:szCs w:val="20"/>
                <w:color w:val="auto"/>
              </w:rPr>
            </w:pPr>
            <w:r>
              <w:rPr>
                <w:rFonts w:ascii="Arial" w:cs="Arial" w:eastAsia="Arial" w:hAnsi="Arial"/>
                <w:sz w:val="16"/>
                <w:szCs w:val="16"/>
                <w:b w:val="1"/>
                <w:bCs w:val="1"/>
                <w:color w:val="00162F"/>
              </w:rPr>
              <w:t>2030</w:t>
            </w:r>
          </w:p>
        </w:tc>
        <w:tc>
          <w:tcPr>
            <w:tcW w:w="60" w:type="dxa"/>
            <w:vAlign w:val="bottom"/>
          </w:tcPr>
          <w:p>
            <w:pPr>
              <w:spacing w:after="0"/>
              <w:rPr>
                <w:sz w:val="16"/>
                <w:szCs w:val="16"/>
                <w:color w:val="auto"/>
              </w:rPr>
            </w:pPr>
          </w:p>
        </w:tc>
        <w:tc>
          <w:tcPr>
            <w:tcW w:w="980" w:type="dxa"/>
            <w:vAlign w:val="bottom"/>
            <w:gridSpan w:val="3"/>
          </w:tcPr>
          <w:p>
            <w:pPr>
              <w:ind w:left="120"/>
              <w:spacing w:after="0"/>
              <w:rPr>
                <w:sz w:val="20"/>
                <w:szCs w:val="20"/>
                <w:color w:val="auto"/>
              </w:rPr>
            </w:pPr>
            <w:r>
              <w:rPr>
                <w:rFonts w:ascii="Arial" w:cs="Arial" w:eastAsia="Arial" w:hAnsi="Arial"/>
                <w:sz w:val="16"/>
                <w:szCs w:val="16"/>
                <w:b w:val="1"/>
                <w:bCs w:val="1"/>
                <w:color w:val="00162F"/>
              </w:rPr>
              <w:t>2031 and</w:t>
            </w: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00162F"/>
                <w:w w:val="99"/>
              </w:rPr>
              <w:t>Total</w:t>
            </w:r>
          </w:p>
        </w:tc>
        <w:tc>
          <w:tcPr>
            <w:tcW w:w="0" w:type="dxa"/>
            <w:vAlign w:val="bottom"/>
          </w:tcPr>
          <w:p>
            <w:pPr>
              <w:spacing w:after="0"/>
              <w:rPr>
                <w:sz w:val="1"/>
                <w:szCs w:val="1"/>
                <w:color w:val="auto"/>
              </w:rPr>
            </w:pPr>
          </w:p>
        </w:tc>
      </w:tr>
      <w:tr>
        <w:trPr>
          <w:trHeight w:val="211"/>
        </w:trPr>
        <w:tc>
          <w:tcPr>
            <w:tcW w:w="44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Arial" w:cs="Arial" w:eastAsia="Arial" w:hAnsi="Arial"/>
                <w:sz w:val="16"/>
                <w:szCs w:val="16"/>
                <w:b w:val="1"/>
                <w:bCs w:val="1"/>
                <w:color w:val="00162F"/>
              </w:rPr>
              <w:t>Thereafter</w:t>
            </w: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440" w:type="dxa"/>
            <w:vAlign w:val="bottom"/>
            <w:tcBorders>
              <w:top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 xml:space="preserve">Regional capacity purchase agreements </w:t>
            </w:r>
            <w:r>
              <w:rPr>
                <w:rFonts w:ascii="Arial" w:cs="Arial" w:eastAsia="Arial" w:hAnsi="Arial"/>
                <w:sz w:val="12"/>
                <w:szCs w:val="12"/>
                <w:color w:val="00162F"/>
              </w:rPr>
              <w:t>(1)</w:t>
            </w:r>
          </w:p>
        </w:tc>
        <w:tc>
          <w:tcPr>
            <w:tcW w:w="82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$ 1,159</w:t>
            </w:r>
          </w:p>
        </w:tc>
        <w:tc>
          <w:tcPr>
            <w:tcW w:w="60" w:type="dxa"/>
            <w:vAlign w:val="bottom"/>
            <w:tcBorders>
              <w:top w:val="single" w:sz="8" w:color="EDEDED"/>
            </w:tcBorders>
            <w:shd w:val="clear" w:color="auto" w:fill="EDEDED"/>
          </w:tcPr>
          <w:p>
            <w:pPr>
              <w:spacing w:after="0"/>
              <w:rPr>
                <w:sz w:val="24"/>
                <w:szCs w:val="24"/>
                <w:color w:val="auto"/>
              </w:rPr>
            </w:pPr>
          </w:p>
        </w:tc>
        <w:tc>
          <w:tcPr>
            <w:tcW w:w="82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$ 1,156</w:t>
            </w:r>
          </w:p>
        </w:tc>
        <w:tc>
          <w:tcPr>
            <w:tcW w:w="80" w:type="dxa"/>
            <w:vAlign w:val="bottom"/>
            <w:tcBorders>
              <w:top w:val="single" w:sz="8" w:color="EDEDED"/>
            </w:tcBorders>
            <w:shd w:val="clear" w:color="auto" w:fill="EDEDED"/>
          </w:tcPr>
          <w:p>
            <w:pPr>
              <w:spacing w:after="0"/>
              <w:rPr>
                <w:sz w:val="24"/>
                <w:szCs w:val="24"/>
                <w:color w:val="auto"/>
              </w:rPr>
            </w:pPr>
          </w:p>
        </w:tc>
        <w:tc>
          <w:tcPr>
            <w:tcW w:w="82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$ 1,082</w:t>
            </w:r>
          </w:p>
        </w:tc>
        <w:tc>
          <w:tcPr>
            <w:tcW w:w="60" w:type="dxa"/>
            <w:vAlign w:val="bottom"/>
            <w:tcBorders>
              <w:top w:val="single" w:sz="8" w:color="EDEDED"/>
            </w:tcBorders>
            <w:shd w:val="clear" w:color="auto" w:fill="EDEDED"/>
          </w:tcPr>
          <w:p>
            <w:pPr>
              <w:spacing w:after="0"/>
              <w:rPr>
                <w:sz w:val="24"/>
                <w:szCs w:val="24"/>
                <w:color w:val="auto"/>
              </w:rPr>
            </w:pPr>
          </w:p>
        </w:tc>
        <w:tc>
          <w:tcPr>
            <w:tcW w:w="82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  900</w:t>
            </w:r>
          </w:p>
        </w:tc>
        <w:tc>
          <w:tcPr>
            <w:tcW w:w="80" w:type="dxa"/>
            <w:vAlign w:val="bottom"/>
            <w:tcBorders>
              <w:top w:val="single" w:sz="8" w:color="EDEDED"/>
            </w:tcBorders>
            <w:shd w:val="clear" w:color="auto" w:fill="EDEDED"/>
          </w:tcPr>
          <w:p>
            <w:pPr>
              <w:spacing w:after="0"/>
              <w:rPr>
                <w:sz w:val="24"/>
                <w:szCs w:val="24"/>
                <w:color w:val="auto"/>
              </w:rPr>
            </w:pPr>
          </w:p>
        </w:tc>
        <w:tc>
          <w:tcPr>
            <w:tcW w:w="82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  457</w:t>
            </w:r>
          </w:p>
        </w:tc>
        <w:tc>
          <w:tcPr>
            <w:tcW w:w="60" w:type="dxa"/>
            <w:vAlign w:val="bottom"/>
            <w:tcBorders>
              <w:top w:val="single" w:sz="8" w:color="EDEDED"/>
            </w:tcBorders>
            <w:shd w:val="clear" w:color="auto" w:fill="EDEDED"/>
          </w:tcPr>
          <w:p>
            <w:pPr>
              <w:spacing w:after="0"/>
              <w:rPr>
                <w:sz w:val="24"/>
                <w:szCs w:val="24"/>
                <w:color w:val="auto"/>
              </w:rPr>
            </w:pPr>
          </w:p>
        </w:tc>
        <w:tc>
          <w:tcPr>
            <w:tcW w:w="340" w:type="dxa"/>
            <w:vAlign w:val="bottom"/>
            <w:tcBorders>
              <w:top w:val="single" w:sz="8" w:color="00162F"/>
            </w:tcBorders>
            <w:shd w:val="clear" w:color="auto" w:fill="EDEDED"/>
          </w:tcPr>
          <w:p>
            <w:pPr>
              <w:ind w:left="60"/>
              <w:spacing w:after="0"/>
              <w:rPr>
                <w:sz w:val="20"/>
                <w:szCs w:val="20"/>
                <w:color w:val="auto"/>
              </w:rPr>
            </w:pPr>
            <w:r>
              <w:rPr>
                <w:rFonts w:ascii="Arial" w:cs="Arial" w:eastAsia="Arial" w:hAnsi="Arial"/>
                <w:sz w:val="20"/>
                <w:szCs w:val="20"/>
                <w:color w:val="00162F"/>
              </w:rPr>
              <w:t>$</w:t>
            </w:r>
          </w:p>
        </w:tc>
        <w:tc>
          <w:tcPr>
            <w:tcW w:w="58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399</w:t>
            </w:r>
          </w:p>
        </w:tc>
        <w:tc>
          <w:tcPr>
            <w:tcW w:w="60" w:type="dxa"/>
            <w:vAlign w:val="bottom"/>
            <w:tcBorders>
              <w:top w:val="single" w:sz="8" w:color="EDEDED"/>
            </w:tcBorders>
            <w:shd w:val="clear" w:color="auto" w:fill="EDEDED"/>
          </w:tcPr>
          <w:p>
            <w:pPr>
              <w:spacing w:after="0"/>
              <w:rPr>
                <w:sz w:val="24"/>
                <w:szCs w:val="24"/>
                <w:color w:val="auto"/>
              </w:rPr>
            </w:pPr>
          </w:p>
        </w:tc>
        <w:tc>
          <w:tcPr>
            <w:tcW w:w="82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$ 5,153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2794000</wp:posOffset>
            </wp:positionH>
            <wp:positionV relativeFrom="paragraph">
              <wp:posOffset>-213360</wp:posOffset>
            </wp:positionV>
            <wp:extent cx="4019550" cy="501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6">
                      <a:extLst>
                        <a:ext uri="{28A0092B-C50C-407E-A947-70E740481C1C}"/>
                      </a:extLst>
                    </a:blip>
                    <a:srcRect/>
                    <a:stretch>
                      <a:fillRect/>
                    </a:stretch>
                  </pic:blipFill>
                  <pic:spPr bwMode="auto">
                    <a:xfrm>
                      <a:off x="0" y="0"/>
                      <a:ext cx="4019550" cy="501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103505</wp:posOffset>
            </wp:positionV>
            <wp:extent cx="1254125"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7">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197" w:lineRule="exact"/>
        <w:rPr>
          <w:sz w:val="20"/>
          <w:szCs w:val="20"/>
          <w:color w:val="auto"/>
        </w:rPr>
      </w:pPr>
    </w:p>
    <w:p>
      <w:pPr>
        <w:ind w:left="365" w:hanging="365"/>
        <w:spacing w:after="0" w:line="282" w:lineRule="auto"/>
        <w:tabs>
          <w:tab w:leader="none" w:pos="365" w:val="left"/>
        </w:tabs>
        <w:numPr>
          <w:ilvl w:val="0"/>
          <w:numId w:val="60"/>
        </w:numPr>
        <w:rPr>
          <w:rFonts w:ascii="Arial" w:cs="Arial" w:eastAsia="Arial" w:hAnsi="Arial"/>
          <w:sz w:val="13"/>
          <w:szCs w:val="13"/>
          <w:color w:val="00162F"/>
        </w:rPr>
      </w:pPr>
      <w:r>
        <w:rPr>
          <w:rFonts w:ascii="Arial" w:cs="Arial" w:eastAsia="Arial" w:hAnsi="Arial"/>
          <w:sz w:val="20"/>
          <w:szCs w:val="20"/>
          <w:color w:val="00162F"/>
        </w:rPr>
        <w:t>These commitments are estimates of costs based on assumed minimum levels of flying under the capacity purchase agreements and American’s actual payments could differ materially.</w:t>
      </w:r>
    </w:p>
    <w:p>
      <w:pPr>
        <w:sectPr>
          <w:pgSz w:w="11880" w:h="15480" w:orient="portrait"/>
          <w:cols w:equalWidth="0" w:num="1">
            <w:col w:w="10685"/>
          </w:cols>
          <w:pgMar w:left="595" w:top="487"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118</w:t>
      </w:r>
    </w:p>
    <w:p>
      <w:pPr>
        <w:sectPr>
          <w:pgSz w:w="11880" w:h="15480" w:orient="portrait"/>
          <w:cols w:equalWidth="0" w:num="1">
            <w:col w:w="10685"/>
          </w:cols>
          <w:pgMar w:left="595" w:top="487" w:right="600" w:bottom="0" w:gutter="0" w:footer="0" w:header="0"/>
          <w:type w:val="continuous"/>
        </w:sectPr>
      </w:pPr>
    </w:p>
    <w:bookmarkStart w:id="119" w:name="page120"/>
    <w:bookmarkEnd w:id="119"/>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(c) Construction Projects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Los Angeles International Airport (LAX)</w:t>
      </w:r>
    </w:p>
    <w:p>
      <w:pPr>
        <w:spacing w:after="0" w:line="95"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In 2018, we executed a lease agreement with Los Angeles World Airports (LAWA), which owns and operates LAX, in connection with a $1.6 billion modernization project related to LAX Terminals 4 and 5. Construction started in October 2018 and is expected to be completed in 2028 in a phased approach. Under the lease agreement and subsequent project component approvals, the City of Los Angeles Board of Airport Commissioners has appropriated approximately $1.6 billion to purchase completed project assets, representing the maximum allowable reimbursement by LAWA. In September 2024, we executed an agreement to where a substantial majority of the non-proprietary project costs will be funded through the Regional Airports Improvement Corporation (RAIC), a quasigovernmental special purpose entity that acts as a conduit borrower under a syndicated credit facility provided by a group of lenders in the form of a $250 million revolving credit facility. Loans made under the credit facility are being repaid with the proceeds from LAWA’s purchase of completed project assets. We guarantee the obligation of the RAIC under the credit facility associated with the Terminals 4 and 5 lease. As of December 31, 2025, our outstanding guaranteed obligation under the credit facility for the Terminals 4 and 5 project was $135 million. Additionally, we have recovered $1.3 billion since project inception through the end of 2025 and expect to receive approximately $292 million in additional reimbursements by the end of 2028.</w:t>
      </w:r>
    </w:p>
    <w:p>
      <w:pPr>
        <w:spacing w:after="0" w:line="152"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As we control the assets during construction, they are recognized on our consolidated balance sheets within operating property and equipment until the assets are sold and transferred. For the years ended December 31, 2025, 2024 and 2023, we have sold and transferred $163 million, $588 million and $170 million of non-proprietary improvements, respectively, which are included within proceeds from sale-leaseback transactions and sale of property and equipment on our consolidated statements of cash flows. For the years ended December 31, 2025, 2024 and 2023, we incurred $107 million, $187 million and $283 million, respectively, of non-proprietary improvement costs relating to the LAX modernization project. Cash payments related to these improvements are included within other investing activities on our consolidated statements of cash flows.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Tulsa Maintenance Base</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Improvements to the Tulsa Maintenance Base include the design, construction and renovation of various facilities therein. The Tulsa Maintenance Base is American’s largest maintenance facility and is an integral part of operating its mainline fleet. We have concluded that we do not control the underlying assets being constructed, and therefore, we recognize operating lease liabilities with corresponding ROU assets on the consolidated balance sheet as individual project stages are completed and leases commence.</w:t>
      </w:r>
    </w:p>
    <w:p>
      <w:pPr>
        <w:spacing w:after="0" w:line="139" w:lineRule="exact"/>
        <w:rPr>
          <w:sz w:val="20"/>
          <w:szCs w:val="20"/>
          <w:color w:val="auto"/>
        </w:rPr>
      </w:pPr>
    </w:p>
    <w:p>
      <w:pPr>
        <w:jc w:val="both"/>
        <w:ind w:firstLine="267"/>
        <w:spacing w:after="0" w:line="267" w:lineRule="auto"/>
        <w:rPr>
          <w:sz w:val="20"/>
          <w:szCs w:val="20"/>
          <w:color w:val="auto"/>
        </w:rPr>
      </w:pPr>
      <w:r>
        <w:rPr>
          <w:rFonts w:ascii="Arial" w:cs="Arial" w:eastAsia="Arial" w:hAnsi="Arial"/>
          <w:sz w:val="19"/>
          <w:szCs w:val="19"/>
          <w:color w:val="00162F"/>
        </w:rPr>
        <w:t>In May 2025, the Tulsa Municipal Airport Trust (TMAT) issued $400 million aggregate principal amount of special facility revenue bonds on behalf of American, with $300 million maturing on December 1, 2035 and $100 million maturing on December 1, 2040 (collectively, the 2025 TMAT Bonds). The 2025 TMAT Bond due December 1, 2035 was priced at 109% of par value and the 2025 TMAT Bond due December 1, 2040 was priced at 107% of par value. The gross proceeds from the issuance of the 2025 TMAT Bonds were approximately $432 million. Of this amount, $104 million was used to fund the redemption of the aggregate principal amount of TMAT’s outstanding 2015 special facility revenue bonds (the 2015 TMAT Bonds), and the remaining $328 million will be used to finance the cost of improvements at the Tulsa Maintenance Base, which are expected to be completed in 2028. The net proceeds received from the 2025 TMAT Bonds, offset by related project spend, are reflected within other investing activities in the consolidated statement of cash flows.</w:t>
      </w:r>
    </w:p>
    <w:p>
      <w:pPr>
        <w:spacing w:after="0" w:line="129"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The 2025 TMAT Bonds bear interest at 6.25% per annum commencing on May 8, 2025, until the day preceding the applicable maturity date, on which date the bonds will be subject to mandatory tender for purchase by American. American is required to pay rent equal to the annual principal and interest requirement on the 2025 TMAT Bonds through payments under a sublease agreement with TMAT (as amended), and AAG guarantees the 2025 TMAT Bonds. American’s obligations under both the sublease agreement with TMAT and the 2025 TMAT Bonds are secured by a leasehold mortgage on American’s lease of the Tulsa Maintenance Base.</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119</w:t>
      </w:r>
    </w:p>
    <w:p>
      <w:pPr>
        <w:sectPr>
          <w:pgSz w:w="11880" w:h="15480" w:orient="portrait"/>
          <w:cols w:equalWidth="0" w:num="1">
            <w:col w:w="10680"/>
          </w:cols>
          <w:pgMar w:left="600" w:top="487" w:right="600" w:bottom="0" w:gutter="0" w:footer="0" w:header="0"/>
          <w:type w:val="continuous"/>
        </w:sectPr>
      </w:pPr>
    </w:p>
    <w:bookmarkStart w:id="120" w:name="page121"/>
    <w:bookmarkEnd w:id="120"/>
    <w:p>
      <w:pPr>
        <w:jc w:val="center"/>
        <w:ind w:right="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7" w:lineRule="exact"/>
        <w:rPr>
          <w:sz w:val="20"/>
          <w:szCs w:val="20"/>
          <w:color w:val="auto"/>
        </w:rPr>
      </w:pPr>
    </w:p>
    <w:p>
      <w:pPr>
        <w:ind w:left="260" w:right="7040" w:firstLine="2"/>
        <w:spacing w:after="0" w:line="340" w:lineRule="auto"/>
        <w:tabs>
          <w:tab w:leader="none" w:pos="567" w:val="left"/>
        </w:tabs>
        <w:numPr>
          <w:ilvl w:val="0"/>
          <w:numId w:val="61"/>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 xml:space="preserve">Off-Balance Sheet Arrangements </w:t>
      </w:r>
      <w:r>
        <w:rPr>
          <w:rFonts w:ascii="Arial" w:cs="Arial" w:eastAsia="Arial" w:hAnsi="Arial"/>
          <w:sz w:val="20"/>
          <w:szCs w:val="20"/>
          <w:i w:val="1"/>
          <w:iCs w:val="1"/>
          <w:u w:val="single" w:color="auto"/>
          <w:color w:val="00162F"/>
        </w:rPr>
        <w:t>Pass-Through Trusts</w:t>
      </w:r>
    </w:p>
    <w:p>
      <w:pPr>
        <w:jc w:val="both"/>
        <w:ind w:right="20" w:firstLine="267"/>
        <w:spacing w:after="0" w:line="251" w:lineRule="auto"/>
        <w:rPr>
          <w:sz w:val="20"/>
          <w:szCs w:val="20"/>
          <w:color w:val="auto"/>
        </w:rPr>
      </w:pPr>
      <w:r>
        <w:rPr>
          <w:rFonts w:ascii="Arial" w:cs="Arial" w:eastAsia="Arial" w:hAnsi="Arial"/>
          <w:sz w:val="20"/>
          <w:szCs w:val="20"/>
          <w:color w:val="00162F"/>
        </w:rPr>
        <w:t>American currently has 280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48" w:lineRule="exact"/>
        <w:rPr>
          <w:sz w:val="20"/>
          <w:szCs w:val="20"/>
          <w:color w:val="auto"/>
        </w:rPr>
      </w:pPr>
    </w:p>
    <w:p>
      <w:pPr>
        <w:jc w:val="both"/>
        <w:ind w:right="20" w:firstLine="267"/>
        <w:spacing w:after="0" w:line="251" w:lineRule="auto"/>
        <w:rPr>
          <w:sz w:val="20"/>
          <w:szCs w:val="20"/>
          <w:color w:val="auto"/>
        </w:rPr>
      </w:pPr>
      <w:r>
        <w:rPr>
          <w:rFonts w:ascii="Arial" w:cs="Arial" w:eastAsia="Arial" w:hAnsi="Arial"/>
          <w:sz w:val="20"/>
          <w:szCs w:val="20"/>
          <w:color w:val="00162F"/>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from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2025, $6.9 billion associated with these mortgage financings is reflected as debt in the accompanying consolidated balance sheet.</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Letters of Credit and Other</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We provide financial assurance, such as letters of credit and surety bonds, primarily to support projected workers’ compensation obligations and airport commitments. As of December 31, 2025, we had $412 million of letters of credit and surety bonds securing various obligations, of which $97 million is collateralized with our restricted cash. The letters of credit and surety bonds that are subject to expiration will expire on various dates through 2037.</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(e) Legal Proceedings</w:t>
      </w:r>
    </w:p>
    <w:p>
      <w:pPr>
        <w:spacing w:after="0" w:line="95" w:lineRule="exact"/>
        <w:rPr>
          <w:sz w:val="20"/>
          <w:szCs w:val="20"/>
          <w:color w:val="auto"/>
        </w:rPr>
      </w:pPr>
    </w:p>
    <w:p>
      <w:pPr>
        <w:jc w:val="both"/>
        <w:ind w:right="20" w:firstLine="267"/>
        <w:spacing w:after="0" w:line="250" w:lineRule="auto"/>
        <w:rPr>
          <w:sz w:val="20"/>
          <w:szCs w:val="20"/>
          <w:color w:val="auto"/>
        </w:rPr>
      </w:pPr>
      <w:r>
        <w:rPr>
          <w:rFonts w:ascii="Arial" w:cs="Arial" w:eastAsia="Arial" w:hAnsi="Arial"/>
          <w:sz w:val="20"/>
          <w:szCs w:val="20"/>
          <w:i w:val="1"/>
          <w:iCs w:val="1"/>
          <w:color w:val="00162F"/>
        </w:rPr>
        <w:t xml:space="preserve">Private Party Antitrust Actions Related to the Northeast Alliance (NEA). </w:t>
      </w:r>
      <w:r>
        <w:rPr>
          <w:rFonts w:ascii="Arial" w:cs="Arial" w:eastAsia="Arial" w:hAnsi="Arial"/>
          <w:sz w:val="20"/>
          <w:szCs w:val="20"/>
          <w:color w:val="00162F"/>
        </w:rPr>
        <w:t>On December 5, 2022 and December 7, 2022,</w:t>
      </w:r>
      <w:r>
        <w:rPr>
          <w:rFonts w:ascii="Arial" w:cs="Arial" w:eastAsia="Arial" w:hAnsi="Arial"/>
          <w:sz w:val="20"/>
          <w:szCs w:val="20"/>
          <w:i w:val="1"/>
          <w:iCs w:val="1"/>
          <w:color w:val="00162F"/>
        </w:rPr>
        <w:t xml:space="preserve"> </w:t>
      </w:r>
      <w:r>
        <w:rPr>
          <w:rFonts w:ascii="Arial" w:cs="Arial" w:eastAsia="Arial" w:hAnsi="Arial"/>
          <w:sz w:val="20"/>
          <w:szCs w:val="20"/>
          <w:color w:val="00162F"/>
        </w:rPr>
        <w:t>two private party plaintiffs filed putative class action antitrust complaints against AAG and JetBlue Airways Corporation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We believe these lawsuits are without merit and are defending against them vigorously.</w:t>
      </w:r>
    </w:p>
    <w:p>
      <w:pPr>
        <w:spacing w:after="0" w:line="148" w:lineRule="exact"/>
        <w:rPr>
          <w:sz w:val="20"/>
          <w:szCs w:val="20"/>
          <w:color w:val="auto"/>
        </w:rPr>
      </w:pPr>
    </w:p>
    <w:p>
      <w:pPr>
        <w:jc w:val="both"/>
        <w:ind w:right="20" w:firstLine="267"/>
        <w:spacing w:after="0" w:line="267" w:lineRule="auto"/>
        <w:rPr>
          <w:sz w:val="20"/>
          <w:szCs w:val="20"/>
          <w:color w:val="auto"/>
        </w:rPr>
      </w:pPr>
      <w:r>
        <w:rPr>
          <w:rFonts w:ascii="Arial" w:cs="Arial" w:eastAsia="Arial" w:hAnsi="Arial"/>
          <w:sz w:val="19"/>
          <w:szCs w:val="19"/>
          <w:i w:val="1"/>
          <w:iCs w:val="1"/>
          <w:color w:val="00162F"/>
        </w:rPr>
        <w:t xml:space="preserve">Securities and Stockholder Derivative Litigation. </w:t>
      </w:r>
      <w:r>
        <w:rPr>
          <w:rFonts w:ascii="Arial" w:cs="Arial" w:eastAsia="Arial" w:hAnsi="Arial"/>
          <w:sz w:val="19"/>
          <w:szCs w:val="19"/>
          <w:color w:val="00162F"/>
        </w:rPr>
        <w:t>On July 18, 2024, AAG and certain of its current and former officers</w:t>
      </w:r>
      <w:r>
        <w:rPr>
          <w:rFonts w:ascii="Arial" w:cs="Arial" w:eastAsia="Arial" w:hAnsi="Arial"/>
          <w:sz w:val="19"/>
          <w:szCs w:val="19"/>
          <w:i w:val="1"/>
          <w:iCs w:val="1"/>
          <w:color w:val="00162F"/>
        </w:rPr>
        <w:t xml:space="preserve"> </w:t>
      </w:r>
      <w:r>
        <w:rPr>
          <w:rFonts w:ascii="Arial" w:cs="Arial" w:eastAsia="Arial" w:hAnsi="Arial"/>
          <w:sz w:val="19"/>
          <w:szCs w:val="19"/>
          <w:color w:val="00162F"/>
        </w:rPr>
        <w:t xml:space="preserve">were named as defendants in a putative class action lawsuit filed in the U.S. District Court for the Northern District of Texas, captioned </w:t>
      </w:r>
      <w:r>
        <w:rPr>
          <w:rFonts w:ascii="Arial" w:cs="Arial" w:eastAsia="Arial" w:hAnsi="Arial"/>
          <w:sz w:val="19"/>
          <w:szCs w:val="19"/>
          <w:i w:val="1"/>
          <w:iCs w:val="1"/>
          <w:color w:val="00162F"/>
        </w:rPr>
        <w:t>Qawasmi v. American Airlines Group Inc., et al</w:t>
      </w:r>
      <w:r>
        <w:rPr>
          <w:rFonts w:ascii="Arial" w:cs="Arial" w:eastAsia="Arial" w:hAnsi="Arial"/>
          <w:sz w:val="19"/>
          <w:szCs w:val="19"/>
          <w:color w:val="00162F"/>
        </w:rPr>
        <w:t xml:space="preserve">. The </w:t>
      </w:r>
      <w:r>
        <w:rPr>
          <w:rFonts w:ascii="Arial" w:cs="Arial" w:eastAsia="Arial" w:hAnsi="Arial"/>
          <w:sz w:val="19"/>
          <w:szCs w:val="19"/>
          <w:i w:val="1"/>
          <w:iCs w:val="1"/>
          <w:color w:val="00162F"/>
        </w:rPr>
        <w:t>Qawasmi</w:t>
      </w:r>
      <w:r>
        <w:rPr>
          <w:rFonts w:ascii="Arial" w:cs="Arial" w:eastAsia="Arial" w:hAnsi="Arial"/>
          <w:sz w:val="19"/>
          <w:szCs w:val="19"/>
          <w:color w:val="00162F"/>
        </w:rPr>
        <w:t xml:space="preserve"> plaintiff purported to represent investors who acquired AAG securities between January 25, 2024 and May 28, 2024. On August 28, 2024, AAG and certain of its current and former officers were named as defendants in a second putative class action lawsuit filed in the same court, captioned </w:t>
      </w:r>
      <w:r>
        <w:rPr>
          <w:rFonts w:ascii="Arial" w:cs="Arial" w:eastAsia="Arial" w:hAnsi="Arial"/>
          <w:sz w:val="19"/>
          <w:szCs w:val="19"/>
          <w:i w:val="1"/>
          <w:iCs w:val="1"/>
          <w:color w:val="00162F"/>
        </w:rPr>
        <w:t>Thornburg v. American Airlines Group Inc., et al</w:t>
      </w:r>
      <w:r>
        <w:rPr>
          <w:rFonts w:ascii="Arial" w:cs="Arial" w:eastAsia="Arial" w:hAnsi="Arial"/>
          <w:sz w:val="19"/>
          <w:szCs w:val="19"/>
          <w:color w:val="00162F"/>
        </w:rPr>
        <w:t xml:space="preserve">. The </w:t>
      </w:r>
      <w:r>
        <w:rPr>
          <w:rFonts w:ascii="Arial" w:cs="Arial" w:eastAsia="Arial" w:hAnsi="Arial"/>
          <w:sz w:val="19"/>
          <w:szCs w:val="19"/>
          <w:i w:val="1"/>
          <w:iCs w:val="1"/>
          <w:color w:val="00162F"/>
        </w:rPr>
        <w:t>Thornburg</w:t>
      </w:r>
      <w:r>
        <w:rPr>
          <w:rFonts w:ascii="Arial" w:cs="Arial" w:eastAsia="Arial" w:hAnsi="Arial"/>
          <w:sz w:val="19"/>
          <w:szCs w:val="19"/>
          <w:color w:val="00162F"/>
        </w:rPr>
        <w:t xml:space="preserve"> plaintiff purported to represent investors who acquired AAG securities between July 20, 2023 and May 28, 2024. Both the </w:t>
      </w:r>
      <w:r>
        <w:rPr>
          <w:rFonts w:ascii="Arial" w:cs="Arial" w:eastAsia="Arial" w:hAnsi="Arial"/>
          <w:sz w:val="19"/>
          <w:szCs w:val="19"/>
          <w:i w:val="1"/>
          <w:iCs w:val="1"/>
          <w:color w:val="00162F"/>
        </w:rPr>
        <w:t>Qawasmi</w:t>
      </w:r>
      <w:r>
        <w:rPr>
          <w:rFonts w:ascii="Arial" w:cs="Arial" w:eastAsia="Arial" w:hAnsi="Arial"/>
          <w:sz w:val="19"/>
          <w:szCs w:val="19"/>
          <w:color w:val="00162F"/>
        </w:rPr>
        <w:t xml:space="preserve"> and </w:t>
      </w:r>
      <w:r>
        <w:rPr>
          <w:rFonts w:ascii="Arial" w:cs="Arial" w:eastAsia="Arial" w:hAnsi="Arial"/>
          <w:sz w:val="19"/>
          <w:szCs w:val="19"/>
          <w:i w:val="1"/>
          <w:iCs w:val="1"/>
          <w:color w:val="00162F"/>
        </w:rPr>
        <w:t>Thornburg</w:t>
      </w:r>
      <w:r>
        <w:rPr>
          <w:rFonts w:ascii="Arial" w:cs="Arial" w:eastAsia="Arial" w:hAnsi="Arial"/>
          <w:sz w:val="19"/>
          <w:szCs w:val="19"/>
          <w:color w:val="00162F"/>
        </w:rPr>
        <w:t xml:space="preserve"> complaints asserted violations of Sections 10(b) and 20(a) of the Exchange Act based on allegations that, during the relevant periods, AAG misrepresented and/or omitted material facts related to its financial outlook and certain commercial initiatives. On</w:t>
      </w:r>
    </w:p>
    <w:p>
      <w:pPr>
        <w:sectPr>
          <w:pgSz w:w="11880" w:h="15480" w:orient="portrait"/>
          <w:cols w:equalWidth="0" w:num="1">
            <w:col w:w="10700"/>
          </w:cols>
          <w:pgMar w:left="600" w:top="487" w:right="58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00162F"/>
        </w:rPr>
        <w:t>120</w:t>
      </w:r>
    </w:p>
    <w:p>
      <w:pPr>
        <w:sectPr>
          <w:pgSz w:w="11880" w:h="15480" w:orient="portrait"/>
          <w:cols w:equalWidth="0" w:num="1">
            <w:col w:w="10700"/>
          </w:cols>
          <w:pgMar w:left="600" w:top="487" w:right="580" w:bottom="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00162F"/>
        </w:rPr>
        <w:t xml:space="preserve">November 22, 2024, the </w:t>
      </w:r>
      <w:r>
        <w:rPr>
          <w:rFonts w:ascii="Arial" w:cs="Arial" w:eastAsia="Arial" w:hAnsi="Arial"/>
          <w:sz w:val="20"/>
          <w:szCs w:val="20"/>
          <w:i w:val="1"/>
          <w:iCs w:val="1"/>
          <w:color w:val="00162F"/>
        </w:rPr>
        <w:t>Qawasmi</w:t>
      </w:r>
      <w:r>
        <w:rPr>
          <w:rFonts w:ascii="Arial" w:cs="Arial" w:eastAsia="Arial" w:hAnsi="Arial"/>
          <w:sz w:val="20"/>
          <w:szCs w:val="20"/>
          <w:color w:val="00162F"/>
        </w:rPr>
        <w:t xml:space="preserve"> and </w:t>
      </w:r>
      <w:r>
        <w:rPr>
          <w:rFonts w:ascii="Arial" w:cs="Arial" w:eastAsia="Arial" w:hAnsi="Arial"/>
          <w:sz w:val="20"/>
          <w:szCs w:val="20"/>
          <w:i w:val="1"/>
          <w:iCs w:val="1"/>
          <w:color w:val="00162F"/>
        </w:rPr>
        <w:t>Thornburg</w:t>
      </w:r>
      <w:r>
        <w:rPr>
          <w:rFonts w:ascii="Arial" w:cs="Arial" w:eastAsia="Arial" w:hAnsi="Arial"/>
          <w:sz w:val="20"/>
          <w:szCs w:val="20"/>
          <w:color w:val="00162F"/>
        </w:rPr>
        <w:t xml:space="preserve"> complaints were consolidated into a single action bearing the caption </w:t>
      </w:r>
      <w:r>
        <w:rPr>
          <w:rFonts w:ascii="Arial" w:cs="Arial" w:eastAsia="Arial" w:hAnsi="Arial"/>
          <w:sz w:val="20"/>
          <w:szCs w:val="20"/>
          <w:i w:val="1"/>
          <w:iCs w:val="1"/>
          <w:color w:val="00162F"/>
        </w:rPr>
        <w:t>In</w:t>
      </w:r>
      <w:r>
        <w:rPr>
          <w:rFonts w:ascii="Arial" w:cs="Arial" w:eastAsia="Arial" w:hAnsi="Arial"/>
          <w:sz w:val="20"/>
          <w:szCs w:val="20"/>
          <w:color w:val="00162F"/>
        </w:rPr>
        <w:t xml:space="preserve"> </w:t>
      </w:r>
      <w:r>
        <w:rPr>
          <w:rFonts w:ascii="Arial" w:cs="Arial" w:eastAsia="Arial" w:hAnsi="Arial"/>
          <w:sz w:val="20"/>
          <w:szCs w:val="20"/>
          <w:i w:val="1"/>
          <w:iCs w:val="1"/>
          <w:color w:val="00162F"/>
        </w:rPr>
        <w:t xml:space="preserve">re American Airlines Group Inc. Securities Litigation. </w:t>
      </w:r>
      <w:r>
        <w:rPr>
          <w:rFonts w:ascii="Arial" w:cs="Arial" w:eastAsia="Arial" w:hAnsi="Arial"/>
          <w:sz w:val="20"/>
          <w:szCs w:val="20"/>
          <w:color w:val="00162F"/>
        </w:rPr>
        <w:t>The court also appointed co-lead plaintiffs and lead counsel to</w:t>
      </w:r>
      <w:r>
        <w:rPr>
          <w:rFonts w:ascii="Arial" w:cs="Arial" w:eastAsia="Arial" w:hAnsi="Arial"/>
          <w:sz w:val="20"/>
          <w:szCs w:val="20"/>
          <w:i w:val="1"/>
          <w:iCs w:val="1"/>
          <w:color w:val="00162F"/>
        </w:rPr>
        <w:t xml:space="preserve"> </w:t>
      </w:r>
      <w:r>
        <w:rPr>
          <w:rFonts w:ascii="Arial" w:cs="Arial" w:eastAsia="Arial" w:hAnsi="Arial"/>
          <w:sz w:val="20"/>
          <w:szCs w:val="20"/>
          <w:color w:val="00162F"/>
        </w:rPr>
        <w:t>represent the putative class in the consolidated action. Plaintiffs filed a consolidated complaint on January 21, 2025, and an amended consolidated complaint on March 19, 2025. The consolidated complaint made similar factual allegations to the prior complaints regarding AAG’s financial outlook and certain commercial initiatives. AAG and the individual defendants filed a joint motion to dismiss on March 21, 2025. On November 15, 2025, the court granted AAG’s motion in full, dismissing the complaint with prejudice. The court entered final judgment in favor of defendants on November 18, 2025. Plaintiffs did not appeal the order, and the case is closed.</w:t>
      </w:r>
    </w:p>
    <w:p>
      <w:pPr>
        <w:spacing w:after="0" w:line="147"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 xml:space="preserve">Additionally, on September 19, 2024, certain of AAG’s current and former directors and officers were named as defendants in a shareholder derivative lawsuit (in which AAG is a nominal defendant) filed in the U.S. District Court for the Northern District of Texas, captioned </w:t>
      </w:r>
      <w:r>
        <w:rPr>
          <w:rFonts w:ascii="Arial" w:cs="Arial" w:eastAsia="Arial" w:hAnsi="Arial"/>
          <w:sz w:val="20"/>
          <w:szCs w:val="20"/>
          <w:i w:val="1"/>
          <w:iCs w:val="1"/>
          <w:color w:val="00162F"/>
        </w:rPr>
        <w:t>Hollin v. Isom, et al</w:t>
      </w:r>
      <w:r>
        <w:rPr>
          <w:rFonts w:ascii="Arial" w:cs="Arial" w:eastAsia="Arial" w:hAnsi="Arial"/>
          <w:sz w:val="20"/>
          <w:szCs w:val="20"/>
          <w:color w:val="00162F"/>
        </w:rPr>
        <w:t xml:space="preserve">. The </w:t>
      </w:r>
      <w:r>
        <w:rPr>
          <w:rFonts w:ascii="Arial" w:cs="Arial" w:eastAsia="Arial" w:hAnsi="Arial"/>
          <w:sz w:val="20"/>
          <w:szCs w:val="20"/>
          <w:i w:val="1"/>
          <w:iCs w:val="1"/>
          <w:color w:val="00162F"/>
        </w:rPr>
        <w:t>Hollin</w:t>
      </w:r>
      <w:r>
        <w:rPr>
          <w:rFonts w:ascii="Arial" w:cs="Arial" w:eastAsia="Arial" w:hAnsi="Arial"/>
          <w:sz w:val="20"/>
          <w:szCs w:val="20"/>
          <w:color w:val="00162F"/>
        </w:rPr>
        <w:t xml:space="preserve"> complaint asserted violations of Section 10(b) of the Exchange Act, breach of fiduciary duty, and claims for unjust enrichment and corporate waste. On September 26, 2024, a second derivative complaint was filed in the same court, similarly naming certain of AAG’s current and former directors and officers (as well as AAG as a nominal defendant), captioned </w:t>
      </w:r>
      <w:r>
        <w:rPr>
          <w:rFonts w:ascii="Arial" w:cs="Arial" w:eastAsia="Arial" w:hAnsi="Arial"/>
          <w:sz w:val="20"/>
          <w:szCs w:val="20"/>
          <w:i w:val="1"/>
          <w:iCs w:val="1"/>
          <w:color w:val="00162F"/>
        </w:rPr>
        <w:t>Leon v. Isom, et al</w:t>
      </w:r>
      <w:r>
        <w:rPr>
          <w:rFonts w:ascii="Arial" w:cs="Arial" w:eastAsia="Arial" w:hAnsi="Arial"/>
          <w:sz w:val="20"/>
          <w:szCs w:val="20"/>
          <w:color w:val="00162F"/>
        </w:rPr>
        <w:t xml:space="preserve">. The </w:t>
      </w:r>
      <w:r>
        <w:rPr>
          <w:rFonts w:ascii="Arial" w:cs="Arial" w:eastAsia="Arial" w:hAnsi="Arial"/>
          <w:sz w:val="20"/>
          <w:szCs w:val="20"/>
          <w:i w:val="1"/>
          <w:iCs w:val="1"/>
          <w:color w:val="00162F"/>
        </w:rPr>
        <w:t>Leon</w:t>
      </w:r>
      <w:r>
        <w:rPr>
          <w:rFonts w:ascii="Arial" w:cs="Arial" w:eastAsia="Arial" w:hAnsi="Arial"/>
          <w:sz w:val="20"/>
          <w:szCs w:val="20"/>
          <w:color w:val="00162F"/>
        </w:rPr>
        <w:t xml:space="preserve"> complaint asserted violations of Section 14(a) of the Exchange Act, breaches of fiduciary duty, claims of unjust enrichment, abuse of control, gross mismanagement, waste of corporate assets, and a claim for contribution. The </w:t>
      </w:r>
      <w:r>
        <w:rPr>
          <w:rFonts w:ascii="Arial" w:cs="Arial" w:eastAsia="Arial" w:hAnsi="Arial"/>
          <w:sz w:val="20"/>
          <w:szCs w:val="20"/>
          <w:i w:val="1"/>
          <w:iCs w:val="1"/>
          <w:color w:val="00162F"/>
        </w:rPr>
        <w:t>Hollin</w:t>
      </w:r>
      <w:r>
        <w:rPr>
          <w:rFonts w:ascii="Arial" w:cs="Arial" w:eastAsia="Arial" w:hAnsi="Arial"/>
          <w:sz w:val="20"/>
          <w:szCs w:val="20"/>
          <w:color w:val="00162F"/>
        </w:rPr>
        <w:t xml:space="preserve"> and </w:t>
      </w:r>
      <w:r>
        <w:rPr>
          <w:rFonts w:ascii="Arial" w:cs="Arial" w:eastAsia="Arial" w:hAnsi="Arial"/>
          <w:sz w:val="20"/>
          <w:szCs w:val="20"/>
          <w:i w:val="1"/>
          <w:iCs w:val="1"/>
          <w:color w:val="00162F"/>
        </w:rPr>
        <w:t>Leon</w:t>
      </w:r>
      <w:r>
        <w:rPr>
          <w:rFonts w:ascii="Arial" w:cs="Arial" w:eastAsia="Arial" w:hAnsi="Arial"/>
          <w:sz w:val="20"/>
          <w:szCs w:val="20"/>
          <w:color w:val="00162F"/>
        </w:rPr>
        <w:t xml:space="preserve"> complaints generally alleged the same purported misconduct as alleged in the securities class action. On November 25, 2024, the </w:t>
      </w:r>
      <w:r>
        <w:rPr>
          <w:rFonts w:ascii="Arial" w:cs="Arial" w:eastAsia="Arial" w:hAnsi="Arial"/>
          <w:sz w:val="20"/>
          <w:szCs w:val="20"/>
          <w:i w:val="1"/>
          <w:iCs w:val="1"/>
          <w:color w:val="00162F"/>
        </w:rPr>
        <w:t>Hollin</w:t>
      </w:r>
      <w:r>
        <w:rPr>
          <w:rFonts w:ascii="Arial" w:cs="Arial" w:eastAsia="Arial" w:hAnsi="Arial"/>
          <w:sz w:val="20"/>
          <w:szCs w:val="20"/>
          <w:color w:val="00162F"/>
        </w:rPr>
        <w:t xml:space="preserve"> and </w:t>
      </w:r>
      <w:r>
        <w:rPr>
          <w:rFonts w:ascii="Arial" w:cs="Arial" w:eastAsia="Arial" w:hAnsi="Arial"/>
          <w:sz w:val="20"/>
          <w:szCs w:val="20"/>
          <w:i w:val="1"/>
          <w:iCs w:val="1"/>
          <w:color w:val="00162F"/>
        </w:rPr>
        <w:t xml:space="preserve">Leon </w:t>
      </w:r>
      <w:r>
        <w:rPr>
          <w:rFonts w:ascii="Arial" w:cs="Arial" w:eastAsia="Arial" w:hAnsi="Arial"/>
          <w:sz w:val="20"/>
          <w:szCs w:val="20"/>
          <w:color w:val="00162F"/>
        </w:rPr>
        <w:t>complaints were consolidated into a single action bearing the caption</w:t>
      </w:r>
      <w:r>
        <w:rPr>
          <w:rFonts w:ascii="Arial" w:cs="Arial" w:eastAsia="Arial" w:hAnsi="Arial"/>
          <w:sz w:val="20"/>
          <w:szCs w:val="20"/>
          <w:i w:val="1"/>
          <w:iCs w:val="1"/>
          <w:color w:val="00162F"/>
        </w:rPr>
        <w:t xml:space="preserve"> In re American Airlines Group Inc. Stockholder Derivative Litigation</w:t>
      </w:r>
      <w:r>
        <w:rPr>
          <w:rFonts w:ascii="Arial" w:cs="Arial" w:eastAsia="Arial" w:hAnsi="Arial"/>
          <w:sz w:val="20"/>
          <w:szCs w:val="20"/>
          <w:color w:val="00162F"/>
        </w:rPr>
        <w:t>. Plaintiffs and AAG filed a joint motion to voluntarily dismiss the consolidated derivative action without</w:t>
      </w:r>
      <w:r>
        <w:rPr>
          <w:rFonts w:ascii="Arial" w:cs="Arial" w:eastAsia="Arial" w:hAnsi="Arial"/>
          <w:sz w:val="20"/>
          <w:szCs w:val="20"/>
          <w:i w:val="1"/>
          <w:iCs w:val="1"/>
          <w:color w:val="00162F"/>
        </w:rPr>
        <w:t xml:space="preserve"> </w:t>
      </w:r>
      <w:r>
        <w:rPr>
          <w:rFonts w:ascii="Arial" w:cs="Arial" w:eastAsia="Arial" w:hAnsi="Arial"/>
          <w:sz w:val="20"/>
          <w:szCs w:val="20"/>
          <w:color w:val="00162F"/>
        </w:rPr>
        <w:t>prejudice on February 5, 2026, and on February 6, 2026, the court granted AAG’s motion in full, dismissing all claims in the matter without prejudice and entering final judgment in favor of defendants.</w:t>
      </w:r>
    </w:p>
    <w:p>
      <w:pPr>
        <w:spacing w:after="0" w:line="152"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19"/>
          <w:szCs w:val="19"/>
          <w:i w:val="1"/>
          <w:iCs w:val="1"/>
          <w:color w:val="00162F"/>
        </w:rPr>
        <w:t xml:space="preserve">American Eagle Flight 5342 Accident Litigation. </w:t>
      </w:r>
      <w:r>
        <w:rPr>
          <w:rFonts w:ascii="Arial" w:cs="Arial" w:eastAsia="Arial" w:hAnsi="Arial"/>
          <w:sz w:val="19"/>
          <w:szCs w:val="19"/>
          <w:color w:val="00162F"/>
        </w:rPr>
        <w:t>On January 29, 2025, American Eagle flight 5342 was involved in a</w:t>
      </w:r>
      <w:r>
        <w:rPr>
          <w:rFonts w:ascii="Arial" w:cs="Arial" w:eastAsia="Arial" w:hAnsi="Arial"/>
          <w:sz w:val="19"/>
          <w:szCs w:val="19"/>
          <w:i w:val="1"/>
          <w:iCs w:val="1"/>
          <w:color w:val="00162F"/>
        </w:rPr>
        <w:t xml:space="preserve"> </w:t>
      </w:r>
      <w:r>
        <w:rPr>
          <w:rFonts w:ascii="Arial" w:cs="Arial" w:eastAsia="Arial" w:hAnsi="Arial"/>
          <w:sz w:val="19"/>
          <w:szCs w:val="19"/>
          <w:color w:val="00162F"/>
        </w:rPr>
        <w:t>fatal accident in Washington, D.C. The Bombardier CRJ700 aircraft operated by PSA was en route to Washington, D.C. from Wichita, Kansas when it was involved in a midair collision near Ronald Reagan Washington National Airport. Beginning on September 24, 2025, multiple wrongful death and survival actions have been filed in the U.S. District Court for the District of Columbia related to the accident. We expect additional actions will continue to be filed. All cases have been assigned to the same judge and are subject to streamlined pleading and discovery procedures. The court required plaintiffs to file a single consolidated Master Complaint (MC), with later joining plaintiffs to file short form complaints adopting the MC and adding any plaintiff-specific information. The MC alleges that the U.S. Government, American and PSA negligently caused or contributed to the accident. In December 2025, American and PSA filed motions to dismiss asserting several defenses. Briefing on the motions to dismiss is ongoing, with a hearing set for February 27, 2026. Discovery is ongoing pursuant to an expedited 18-month discovery and pre-trial calendar, which sets the trial date for April 12, 2027. We believe these lawsuits are without merit as to American and PSA and are defending against them vigorously.</w:t>
      </w:r>
    </w:p>
    <w:p>
      <w:pPr>
        <w:spacing w:after="0" w:line="134"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i w:val="1"/>
          <w:iCs w:val="1"/>
          <w:color w:val="00162F"/>
        </w:rPr>
        <w:t xml:space="preserve">General. </w:t>
      </w:r>
      <w:r>
        <w:rPr>
          <w:rFonts w:ascii="Arial" w:cs="Arial" w:eastAsia="Arial" w:hAnsi="Arial"/>
          <w:sz w:val="20"/>
          <w:szCs w:val="20"/>
          <w:color w:val="00162F"/>
        </w:rPr>
        <w:t>In addition to the specifically identified legal proceedings, we and our subsidiaries are also engaged in other</w:t>
      </w:r>
      <w:r>
        <w:rPr>
          <w:rFonts w:ascii="Arial" w:cs="Arial" w:eastAsia="Arial" w:hAnsi="Arial"/>
          <w:sz w:val="20"/>
          <w:szCs w:val="20"/>
          <w:i w:val="1"/>
          <w:iCs w:val="1"/>
          <w:color w:val="00162F"/>
        </w:rPr>
        <w:t xml:space="preserve"> </w:t>
      </w:r>
      <w:r>
        <w:rPr>
          <w:rFonts w:ascii="Arial" w:cs="Arial" w:eastAsia="Arial" w:hAnsi="Arial"/>
          <w:sz w:val="20"/>
          <w:szCs w:val="20"/>
          <w:color w:val="00162F"/>
        </w:rPr>
        <w:t>legal proceedings 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(f) Guarantees and Indemnifications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We are party to many routine contracts in which we provide general indemnities in the normal course of business to third parties for various risks. We are not able to estimate the potential amount of any liability resulting from the indemnities. These indemnities are discussed in the following paragraphs.</w:t>
      </w:r>
    </w:p>
    <w:p>
      <w:pPr>
        <w:spacing w:after="0" w:line="12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In our aircraft financing agreements, we generally indemnify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36"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Our loan agreements and certain other financing transactions may obligate us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our loan agreements and other financing arrangements typically contain a withholding tax provision that requires us to pay additional amounts to the</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121</w:t>
      </w:r>
    </w:p>
    <w:p>
      <w:pPr>
        <w:sectPr>
          <w:pgSz w:w="11880" w:h="15480" w:orient="portrait"/>
          <w:cols w:equalWidth="0" w:num="1">
            <w:col w:w="10680"/>
          </w:cols>
          <w:pgMar w:left="600" w:top="487" w:right="600" w:bottom="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00162F"/>
        </w:rPr>
        <w:t>applicable lender or other financing party, generally if withholding taxes are imposed on such lender or other financing party as a result of a change in the applicable tax law.</w:t>
      </w:r>
    </w:p>
    <w:p>
      <w:pPr>
        <w:spacing w:after="0" w:line="11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In certain transactions, including certain aircraft financing leases and loans, the lessors, lenders and/or other parties have rights to terminate the transaction based on changes in foreign tax law, illegality or certain other events or circumstances. In such a case, we may be required to make a lump sum payment to terminate the relevant transaction.</w:t>
      </w:r>
    </w:p>
    <w:p>
      <w:pPr>
        <w:spacing w:after="0" w:line="129"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We have general indemnity clauses in many of our airport and other real estate leases where we as lessee indemnify the lessor (and related parties) against liabilities related to our use of the leased property. Generally, these indemnifications cover liabilities resulting from the negligence of the indemnified parties, but not liabilities resulting from the gross negligence or willful misconduct of the indemnified parties. In addition, we provide environmental indemnities in many of these leases for contamination related to our use of the leased property.</w:t>
      </w:r>
    </w:p>
    <w:p>
      <w:pPr>
        <w:spacing w:after="0" w:line="13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Under certain contracts with third parties, we indemnify the third-party against legal liability arising out of an action by the third-party, or certain other parties. The terms of these contracts vary and the potential exposure under these indemnities cannot be determined. We have liability insurance protecting us from some of the obligations we have undertaken under these indemnities.</w:t>
      </w:r>
    </w:p>
    <w:p>
      <w:pPr>
        <w:spacing w:after="0" w:line="136"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AAG. As of December 31, 2025, the remaining lease payments through 2040 guaranteeing the principal and interest on these bonds are $703 million and the current carrying amount of the associated operating lease liability in the accompanying consolidated balance sheet is $427 million.</w:t>
      </w:r>
    </w:p>
    <w:p>
      <w:pPr>
        <w:spacing w:after="0" w:line="14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As of December 31, 2025, AAG had issued guarantees covering approximately $14.1 billion of American’s debt (and interest thereon), including the Credit Facilities, the AAdvantage Financing, senior secured notes, certain equipment loans and special facility revenue bonds.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(g) Credit Card Processing Agreements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We have agreements with companies that process customer credit card transactions for the sale of air travel and other services. Our agreements allow these credit card processing companies, under certain conditions, to hold an amount of our cash (referred to as a holdback) equal to all or a portion of advance ticket sales that have been processed by that company, but for which we have not yet provided the air transportation. These holdback requirements can be implemented at the discretion of the credit card processing companies upon the occurrence of specific events, including material adverse changes in our financial condition or the triggering of a liquidity covenant. The imposition of holdback requirements would reduce our liquidity.</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(h) Labor Contracts</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As of December 31, 2025, we employed approximately 139,100 active full-time equivalent (FTE) employees, of which 33,100 were employed by our wholly-owned regional subsidiaries. Of the total active FTE employees, 86% are covered by CBAs with various labor unions and 15% are covered by CBAs that are currently amendable or that will become amendable within one year.</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122</w:t>
      </w:r>
    </w:p>
    <w:p>
      <w:pPr>
        <w:sectPr>
          <w:pgSz w:w="11880" w:h="15480" w:orient="portrait"/>
          <w:cols w:equalWidth="0" w:num="1">
            <w:col w:w="10680"/>
          </w:cols>
          <w:pgMar w:left="600" w:top="487" w:right="600" w:bottom="0" w:gutter="0" w:footer="0" w:header="0"/>
          <w:type w:val="continuous"/>
        </w:sectPr>
      </w:pPr>
    </w:p>
    <w:bookmarkStart w:id="123" w:name="page124"/>
    <w:bookmarkEnd w:id="123"/>
    <w:p>
      <w:pPr>
        <w:ind w:left="920"/>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12. Supplemental Cash Flow Information</w:t>
      </w:r>
    </w:p>
    <w:p>
      <w:pPr>
        <w:spacing w:after="0" w:line="97"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Supplemental disclosure of cash flow information and non-cash investing and financing activities are as follows (in millions):</w:t>
      </w:r>
    </w:p>
    <w:p>
      <w:pPr>
        <w:spacing w:after="0" w:line="103"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00162F"/>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20" w:type="dxa"/>
            <w:vAlign w:val="bottom"/>
            <w:tcBorders>
              <w:bottom w:val="single" w:sz="8" w:color="EDEDED"/>
            </w:tcBorders>
          </w:tcPr>
          <w:p>
            <w:pPr>
              <w:spacing w:after="0"/>
              <w:rPr>
                <w:sz w:val="18"/>
                <w:szCs w:val="18"/>
                <w:color w:val="auto"/>
              </w:rPr>
            </w:pPr>
          </w:p>
        </w:tc>
        <w:tc>
          <w:tcPr>
            <w:tcW w:w="340" w:type="dxa"/>
            <w:vAlign w:val="bottom"/>
            <w:tcBorders>
              <w:top w:val="single" w:sz="8" w:color="00162F"/>
              <w:bottom w:val="single" w:sz="8" w:color="00162F"/>
            </w:tcBorders>
          </w:tcPr>
          <w:p>
            <w:pPr>
              <w:spacing w:after="0"/>
              <w:rPr>
                <w:sz w:val="18"/>
                <w:szCs w:val="18"/>
                <w:color w:val="auto"/>
              </w:rPr>
            </w:pPr>
          </w:p>
        </w:tc>
        <w:tc>
          <w:tcPr>
            <w:tcW w:w="1100" w:type="dxa"/>
            <w:vAlign w:val="bottom"/>
            <w:tcBorders>
              <w:top w:val="single" w:sz="8" w:color="00162F"/>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top w:val="single" w:sz="8" w:color="00162F"/>
              <w:bottom w:val="single" w:sz="8" w:color="EDEDED"/>
            </w:tcBorders>
          </w:tcPr>
          <w:p>
            <w:pPr>
              <w:spacing w:after="0"/>
              <w:rPr>
                <w:sz w:val="18"/>
                <w:szCs w:val="18"/>
                <w:color w:val="auto"/>
              </w:rPr>
            </w:pPr>
          </w:p>
        </w:tc>
        <w:tc>
          <w:tcPr>
            <w:tcW w:w="340" w:type="dxa"/>
            <w:vAlign w:val="bottom"/>
            <w:tcBorders>
              <w:top w:val="single" w:sz="8" w:color="00162F"/>
              <w:bottom w:val="single" w:sz="8" w:color="00162F"/>
            </w:tcBorders>
          </w:tcPr>
          <w:p>
            <w:pPr>
              <w:spacing w:after="0"/>
              <w:rPr>
                <w:sz w:val="18"/>
                <w:szCs w:val="18"/>
                <w:color w:val="auto"/>
              </w:rPr>
            </w:pPr>
          </w:p>
        </w:tc>
        <w:tc>
          <w:tcPr>
            <w:tcW w:w="1100" w:type="dxa"/>
            <w:vAlign w:val="bottom"/>
            <w:tcBorders>
              <w:top w:val="single" w:sz="8" w:color="00162F"/>
              <w:bottom w:val="single" w:sz="8" w:color="00162F"/>
            </w:tcBorders>
          </w:tcPr>
          <w:p>
            <w:pPr>
              <w:jc w:val="right"/>
              <w:ind w:right="464"/>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top w:val="single" w:sz="8" w:color="00162F"/>
              <w:bottom w:val="single" w:sz="8" w:color="EDEDED"/>
            </w:tcBorders>
          </w:tcPr>
          <w:p>
            <w:pPr>
              <w:spacing w:after="0"/>
              <w:rPr>
                <w:sz w:val="18"/>
                <w:szCs w:val="18"/>
                <w:color w:val="auto"/>
              </w:rPr>
            </w:pPr>
          </w:p>
        </w:tc>
        <w:tc>
          <w:tcPr>
            <w:tcW w:w="360" w:type="dxa"/>
            <w:vAlign w:val="bottom"/>
            <w:tcBorders>
              <w:top w:val="single" w:sz="8" w:color="00162F"/>
              <w:bottom w:val="single" w:sz="8" w:color="00162F"/>
            </w:tcBorders>
          </w:tcPr>
          <w:p>
            <w:pPr>
              <w:spacing w:after="0"/>
              <w:rPr>
                <w:sz w:val="18"/>
                <w:szCs w:val="18"/>
                <w:color w:val="auto"/>
              </w:rPr>
            </w:pPr>
          </w:p>
        </w:tc>
        <w:tc>
          <w:tcPr>
            <w:tcW w:w="1080" w:type="dxa"/>
            <w:vAlign w:val="bottom"/>
            <w:tcBorders>
              <w:top w:val="single" w:sz="8" w:color="00162F"/>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2023</w:t>
            </w:r>
          </w:p>
        </w:tc>
        <w:tc>
          <w:tcPr>
            <w:tcW w:w="0" w:type="dxa"/>
            <w:vAlign w:val="bottom"/>
          </w:tcPr>
          <w:p>
            <w:pPr>
              <w:spacing w:after="0"/>
              <w:rPr>
                <w:sz w:val="1"/>
                <w:szCs w:val="1"/>
                <w:color w:val="auto"/>
              </w:rPr>
            </w:pPr>
          </w:p>
        </w:tc>
      </w:tr>
      <w:tr>
        <w:trPr>
          <w:trHeight w:val="272"/>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Non-cash investing and financing activities:</w:t>
            </w:r>
          </w:p>
        </w:tc>
        <w:tc>
          <w:tcPr>
            <w:tcW w:w="340" w:type="dxa"/>
            <w:vAlign w:val="bottom"/>
            <w:shd w:val="clear" w:color="auto" w:fill="EDEDED"/>
          </w:tcPr>
          <w:p>
            <w:pPr>
              <w:spacing w:after="0"/>
              <w:rPr>
                <w:sz w:val="23"/>
                <w:szCs w:val="23"/>
                <w:color w:val="auto"/>
              </w:rPr>
            </w:pPr>
          </w:p>
        </w:tc>
        <w:tc>
          <w:tcPr>
            <w:tcW w:w="110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340" w:type="dxa"/>
            <w:vAlign w:val="bottom"/>
            <w:shd w:val="clear" w:color="auto" w:fill="EDEDED"/>
          </w:tcPr>
          <w:p>
            <w:pPr>
              <w:spacing w:after="0"/>
              <w:rPr>
                <w:sz w:val="23"/>
                <w:szCs w:val="23"/>
                <w:color w:val="auto"/>
              </w:rPr>
            </w:pPr>
          </w:p>
        </w:tc>
        <w:tc>
          <w:tcPr>
            <w:tcW w:w="1100" w:type="dxa"/>
            <w:vAlign w:val="bottom"/>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360" w:type="dxa"/>
            <w:vAlign w:val="bottom"/>
            <w:shd w:val="clear" w:color="auto" w:fill="EDEDED"/>
          </w:tcPr>
          <w:p>
            <w:pPr>
              <w:spacing w:after="0"/>
              <w:rPr>
                <w:sz w:val="23"/>
                <w:szCs w:val="23"/>
                <w:color w:val="auto"/>
              </w:rPr>
            </w:pPr>
          </w:p>
        </w:tc>
        <w:tc>
          <w:tcPr>
            <w:tcW w:w="108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220" w:type="dxa"/>
            <w:vAlign w:val="bottom"/>
          </w:tcPr>
          <w:p>
            <w:pPr>
              <w:ind w:left="260"/>
              <w:spacing w:after="0"/>
              <w:rPr>
                <w:sz w:val="20"/>
                <w:szCs w:val="20"/>
                <w:color w:val="auto"/>
              </w:rPr>
            </w:pPr>
            <w:r>
              <w:rPr>
                <w:rFonts w:ascii="Arial" w:cs="Arial" w:eastAsia="Arial" w:hAnsi="Arial"/>
                <w:sz w:val="20"/>
                <w:szCs w:val="20"/>
                <w:color w:val="00162F"/>
              </w:rPr>
              <w:t>ROU assets acquired through operating leases</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889</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637</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1,180</w:t>
            </w:r>
          </w:p>
        </w:tc>
        <w:tc>
          <w:tcPr>
            <w:tcW w:w="0" w:type="dxa"/>
            <w:vAlign w:val="bottom"/>
          </w:tcPr>
          <w:p>
            <w:pPr>
              <w:spacing w:after="0"/>
              <w:rPr>
                <w:sz w:val="1"/>
                <w:szCs w:val="1"/>
                <w:color w:val="auto"/>
              </w:rPr>
            </w:pPr>
          </w:p>
        </w:tc>
      </w:tr>
      <w:tr>
        <w:trPr>
          <w:trHeight w:val="286"/>
        </w:trPr>
        <w:tc>
          <w:tcPr>
            <w:tcW w:w="6220" w:type="dxa"/>
            <w:vAlign w:val="bottom"/>
            <w:shd w:val="clear" w:color="auto" w:fill="EDEDED"/>
          </w:tcPr>
          <w:p>
            <w:pPr>
              <w:ind w:left="260"/>
              <w:spacing w:after="0"/>
              <w:rPr>
                <w:sz w:val="20"/>
                <w:szCs w:val="20"/>
                <w:color w:val="auto"/>
              </w:rPr>
            </w:pPr>
            <w:r>
              <w:rPr>
                <w:rFonts w:ascii="Arial" w:cs="Arial" w:eastAsia="Arial" w:hAnsi="Arial"/>
                <w:sz w:val="20"/>
                <w:szCs w:val="20"/>
                <w:color w:val="00162F"/>
              </w:rPr>
              <w:t>Operating leases converted to finance leases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269</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293</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w:t>
            </w:r>
          </w:p>
        </w:tc>
        <w:tc>
          <w:tcPr>
            <w:tcW w:w="0" w:type="dxa"/>
            <w:vAlign w:val="bottom"/>
          </w:tcPr>
          <w:p>
            <w:pPr>
              <w:spacing w:after="0"/>
              <w:rPr>
                <w:sz w:val="1"/>
                <w:szCs w:val="1"/>
                <w:color w:val="auto"/>
              </w:rPr>
            </w:pPr>
          </w:p>
        </w:tc>
      </w:tr>
      <w:tr>
        <w:trPr>
          <w:trHeight w:val="278"/>
        </w:trPr>
        <w:tc>
          <w:tcPr>
            <w:tcW w:w="6220" w:type="dxa"/>
            <w:vAlign w:val="bottom"/>
          </w:tcPr>
          <w:p>
            <w:pPr>
              <w:ind w:left="260"/>
              <w:spacing w:after="0"/>
              <w:rPr>
                <w:sz w:val="20"/>
                <w:szCs w:val="20"/>
                <w:color w:val="auto"/>
              </w:rPr>
            </w:pPr>
            <w:r>
              <w:rPr>
                <w:rFonts w:ascii="Arial" w:cs="Arial" w:eastAsia="Arial" w:hAnsi="Arial"/>
                <w:sz w:val="20"/>
                <w:szCs w:val="20"/>
                <w:color w:val="00162F"/>
              </w:rPr>
              <w:t>Finance leases converted to operating leases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127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50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42</w:t>
            </w:r>
          </w:p>
        </w:tc>
        <w:tc>
          <w:tcPr>
            <w:tcW w:w="0" w:type="dxa"/>
            <w:vAlign w:val="bottom"/>
          </w:tcPr>
          <w:p>
            <w:pPr>
              <w:spacing w:after="0"/>
              <w:rPr>
                <w:sz w:val="1"/>
                <w:szCs w:val="1"/>
                <w:color w:val="auto"/>
              </w:rPr>
            </w:pPr>
          </w:p>
        </w:tc>
      </w:tr>
      <w:tr>
        <w:trPr>
          <w:trHeight w:val="200"/>
        </w:trPr>
        <w:tc>
          <w:tcPr>
            <w:tcW w:w="6220" w:type="dxa"/>
            <w:vAlign w:val="bottom"/>
            <w:shd w:val="clear" w:color="auto" w:fill="EDEDED"/>
          </w:tcPr>
          <w:p>
            <w:pPr>
              <w:ind w:left="260"/>
              <w:spacing w:after="0" w:line="200" w:lineRule="exact"/>
              <w:rPr>
                <w:sz w:val="20"/>
                <w:szCs w:val="20"/>
                <w:color w:val="auto"/>
              </w:rPr>
            </w:pPr>
            <w:r>
              <w:rPr>
                <w:rFonts w:ascii="Arial" w:cs="Arial" w:eastAsia="Arial" w:hAnsi="Arial"/>
                <w:sz w:val="20"/>
                <w:szCs w:val="20"/>
                <w:color w:val="00162F"/>
              </w:rPr>
              <w:t>Property and equipment acquired through debt, finance leases and</w:t>
            </w:r>
          </w:p>
        </w:tc>
        <w:tc>
          <w:tcPr>
            <w:tcW w:w="340" w:type="dxa"/>
            <w:vAlign w:val="bottom"/>
            <w:shd w:val="clear" w:color="auto" w:fill="EDEDED"/>
          </w:tcPr>
          <w:p>
            <w:pPr>
              <w:spacing w:after="0"/>
              <w:rPr>
                <w:sz w:val="17"/>
                <w:szCs w:val="17"/>
                <w:color w:val="auto"/>
              </w:rPr>
            </w:pPr>
          </w:p>
        </w:tc>
        <w:tc>
          <w:tcPr>
            <w:tcW w:w="110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70</w:t>
            </w:r>
          </w:p>
        </w:tc>
        <w:tc>
          <w:tcPr>
            <w:tcW w:w="80" w:type="dxa"/>
            <w:vAlign w:val="bottom"/>
            <w:shd w:val="clear" w:color="auto" w:fill="EDEDED"/>
          </w:tcPr>
          <w:p>
            <w:pPr>
              <w:spacing w:after="0"/>
              <w:rPr>
                <w:sz w:val="17"/>
                <w:szCs w:val="17"/>
                <w:color w:val="auto"/>
              </w:rPr>
            </w:pPr>
          </w:p>
        </w:tc>
        <w:tc>
          <w:tcPr>
            <w:tcW w:w="340" w:type="dxa"/>
            <w:vAlign w:val="bottom"/>
            <w:shd w:val="clear" w:color="auto" w:fill="EDEDED"/>
          </w:tcPr>
          <w:p>
            <w:pPr>
              <w:spacing w:after="0"/>
              <w:rPr>
                <w:sz w:val="17"/>
                <w:szCs w:val="17"/>
                <w:color w:val="auto"/>
              </w:rPr>
            </w:pPr>
          </w:p>
        </w:tc>
        <w:tc>
          <w:tcPr>
            <w:tcW w:w="1100" w:type="dxa"/>
            <w:vAlign w:val="bottom"/>
            <w:vMerge w:val="restart"/>
            <w:shd w:val="clear" w:color="auto" w:fill="EDEDED"/>
          </w:tcPr>
          <w:p>
            <w:pPr>
              <w:jc w:val="right"/>
              <w:ind w:right="4"/>
              <w:spacing w:after="0"/>
              <w:rPr>
                <w:sz w:val="20"/>
                <w:szCs w:val="20"/>
                <w:color w:val="auto"/>
              </w:rPr>
            </w:pPr>
            <w:r>
              <w:rPr>
                <w:rFonts w:ascii="Arial" w:cs="Arial" w:eastAsia="Arial" w:hAnsi="Arial"/>
                <w:sz w:val="20"/>
                <w:szCs w:val="20"/>
                <w:color w:val="00162F"/>
              </w:rPr>
              <w:t>152</w:t>
            </w:r>
          </w:p>
        </w:tc>
        <w:tc>
          <w:tcPr>
            <w:tcW w:w="60" w:type="dxa"/>
            <w:vAlign w:val="bottom"/>
            <w:shd w:val="clear" w:color="auto" w:fill="EDEDED"/>
          </w:tcPr>
          <w:p>
            <w:pPr>
              <w:spacing w:after="0"/>
              <w:rPr>
                <w:sz w:val="17"/>
                <w:szCs w:val="17"/>
                <w:color w:val="auto"/>
              </w:rPr>
            </w:pPr>
          </w:p>
        </w:tc>
        <w:tc>
          <w:tcPr>
            <w:tcW w:w="360" w:type="dxa"/>
            <w:vAlign w:val="bottom"/>
            <w:shd w:val="clear" w:color="auto" w:fill="EDEDED"/>
          </w:tcPr>
          <w:p>
            <w:pPr>
              <w:spacing w:after="0"/>
              <w:rPr>
                <w:sz w:val="17"/>
                <w:szCs w:val="17"/>
                <w:color w:val="auto"/>
              </w:rPr>
            </w:pPr>
          </w:p>
        </w:tc>
        <w:tc>
          <w:tcPr>
            <w:tcW w:w="108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317</w:t>
            </w:r>
          </w:p>
        </w:tc>
        <w:tc>
          <w:tcPr>
            <w:tcW w:w="0" w:type="dxa"/>
            <w:vAlign w:val="bottom"/>
          </w:tcPr>
          <w:p>
            <w:pPr>
              <w:spacing w:after="0"/>
              <w:rPr>
                <w:sz w:val="1"/>
                <w:szCs w:val="1"/>
                <w:color w:val="auto"/>
              </w:rPr>
            </w:pPr>
          </w:p>
        </w:tc>
      </w:tr>
      <w:tr>
        <w:trPr>
          <w:trHeight w:val="279"/>
        </w:trPr>
        <w:tc>
          <w:tcPr>
            <w:tcW w:w="6220" w:type="dxa"/>
            <w:vAlign w:val="bottom"/>
            <w:shd w:val="clear" w:color="auto" w:fill="EDEDED"/>
          </w:tcPr>
          <w:p>
            <w:pPr>
              <w:ind w:left="360"/>
              <w:spacing w:after="0"/>
              <w:rPr>
                <w:sz w:val="20"/>
                <w:szCs w:val="20"/>
                <w:color w:val="auto"/>
              </w:rPr>
            </w:pPr>
            <w:r>
              <w:rPr>
                <w:rFonts w:ascii="Arial" w:cs="Arial" w:eastAsia="Arial" w:hAnsi="Arial"/>
                <w:sz w:val="20"/>
                <w:szCs w:val="20"/>
                <w:color w:val="00162F"/>
              </w:rPr>
              <w:t>other</w:t>
            </w:r>
          </w:p>
        </w:tc>
        <w:tc>
          <w:tcPr>
            <w:tcW w:w="340" w:type="dxa"/>
            <w:vAlign w:val="bottom"/>
            <w:shd w:val="clear" w:color="auto" w:fill="EDEDED"/>
          </w:tcPr>
          <w:p>
            <w:pPr>
              <w:spacing w:after="0"/>
              <w:rPr>
                <w:sz w:val="24"/>
                <w:szCs w:val="24"/>
                <w:color w:val="auto"/>
              </w:rPr>
            </w:pPr>
          </w:p>
        </w:tc>
        <w:tc>
          <w:tcPr>
            <w:tcW w:w="1100" w:type="dxa"/>
            <w:vAlign w:val="bottom"/>
            <w:vMerge w:val="continue"/>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vMerge w:val="continue"/>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vMerge w:val="continue"/>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220" w:type="dxa"/>
            <w:vAlign w:val="bottom"/>
          </w:tcPr>
          <w:p>
            <w:pPr>
              <w:ind w:left="40"/>
              <w:spacing w:after="0"/>
              <w:rPr>
                <w:sz w:val="20"/>
                <w:szCs w:val="20"/>
                <w:color w:val="auto"/>
              </w:rPr>
            </w:pPr>
            <w:r>
              <w:rPr>
                <w:rFonts w:ascii="Arial" w:cs="Arial" w:eastAsia="Arial" w:hAnsi="Arial"/>
                <w:sz w:val="20"/>
                <w:szCs w:val="20"/>
                <w:color w:val="00162F"/>
              </w:rPr>
              <w:t>Supplemental information:</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6220" w:type="dxa"/>
            <w:vAlign w:val="bottom"/>
            <w:shd w:val="clear" w:color="auto" w:fill="EDEDED"/>
          </w:tcPr>
          <w:p>
            <w:pPr>
              <w:ind w:left="260"/>
              <w:spacing w:after="0"/>
              <w:rPr>
                <w:sz w:val="20"/>
                <w:szCs w:val="20"/>
                <w:color w:val="auto"/>
              </w:rPr>
            </w:pPr>
            <w:r>
              <w:rPr>
                <w:rFonts w:ascii="Arial" w:cs="Arial" w:eastAsia="Arial" w:hAnsi="Arial"/>
                <w:sz w:val="20"/>
                <w:szCs w:val="20"/>
                <w:color w:val="00162F"/>
              </w:rPr>
              <w:t>Interest paid, net</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1,696</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1,933</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-1388745</wp:posOffset>
            </wp:positionV>
            <wp:extent cx="2863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8">
                      <a:extLst>
                        <a:ext uri="{28A0092B-C50C-407E-A947-70E740481C1C}"/>
                      </a:extLst>
                    </a:blip>
                    <a:srcRect/>
                    <a:stretch>
                      <a:fillRect/>
                    </a:stretch>
                  </pic:blipFill>
                  <pic:spPr bwMode="auto">
                    <a:xfrm>
                      <a:off x="0" y="0"/>
                      <a:ext cx="2863215" cy="2540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13. Segment Disclosures</w:t>
      </w:r>
    </w:p>
    <w:p>
      <w:pPr>
        <w:spacing w:after="0" w:line="97"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Operating segments are defined as components of an enterprise for which separate financial information is available and regularly reviewed by the chief operating decision maker (CODM) in deciding how to allocate resources and in assessing performance. Our Chief Executive Officer is considered to be our CODM. We are managed as a single operating segment that provides scheduled air transportation for passengers and cargo, and includes our loyalty program. Along with our extensive domestic network, we provide international service to Canada, Mexico, the Caribbean, Central and South America, Europe, Qatar, China, Japan, Korea, India, Australia and New Zealand. See Note 1(m) for our passenger revenue by geographic region. Managing the business activities on a consolidated basis allows us to benefit from an integrated revenue pricing and route network that includes American and our wholly-owned and third-party regional carriers that fly under capacity purchase agreements operating as American Eagle. The flight equipment of all these carriers is combined to form one fleet that is deployed through a single route scheduling system. Our tangible assets consist primarily of flight equipment, which are mobile across geographic markets and, therefore, have not been allocated by geographic region. The measure of segment assets is reported on the balance sheet as total consolidated assets.</w:t>
      </w:r>
    </w:p>
    <w:p>
      <w:pPr>
        <w:spacing w:after="0" w:line="152"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Financial information and operational plans and forecasts are provided to and reviewed by our CODM at the consolidated level and are used to monitor forecast and budget versus actual results. Our CODM assesses performance and decides how to allocate resources based on net income which is reported on the statement of operations as consolidated net income. When making operational and resource allocation decisions, our CODM is indifferent to the results on a geographic region or on a mainline and regional carrier basis. The objective in making resource allocation decisions is to maximize consolidated financial results.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14. Share-based Compensation</w:t>
      </w:r>
    </w:p>
    <w:p>
      <w:pPr>
        <w:spacing w:after="0" w:line="97"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In May 2023, the stockholders of AAG approved the 2023 Incentive Award Plan (the 2023 Plan). The 2023 Plan replaces and supersedes AAG’s 2013 Incentive Award Plan (the 2013 Plan). No further awards will be granted under the 2013 Plan; however, the terms and conditions of the 2013 Plan will continue to govern any outstanding awards granted thereunder. The 2023 Plan provides that an award may be in the form of a stock option, including an incentive stock option and nonqualified stock option, stock appreciation right, restricted stock, restricted stock unit, performance bonus award, performance stock unit, other stock or cash-based award and dividend equivalent to eligible individuals.</w:t>
      </w:r>
    </w:p>
    <w:p>
      <w:pPr>
        <w:spacing w:after="0" w:line="143"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The 2023 Plan authorizes the grant of awards for the issuance of 17.2 million shares less any shares granted under the 2013 Plan after March 22, 2023, the date the Board of Directors of AAG approved the 2023 Plan. Any shares underlying awards granted under the 2023 Plan or 2013 Plan that are forfeited, terminate or are settled in cash (in whole or in part) without the delivery of shares will again be available for grant under the 2023 Plan.</w:t>
      </w:r>
    </w:p>
    <w:p>
      <w:pPr>
        <w:spacing w:after="0" w:line="136"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Share-based compensation expense for our equity awards, including awards settled in AAG common stock or cash, was $112 million, $130 million and $102 million for the years ended December 31, 2025, 2024 and 2023, respectively, and is included in salaries, wages and benefits on our consolidated statements of operations.</w:t>
      </w:r>
    </w:p>
    <w:p>
      <w:pPr>
        <w:sectPr>
          <w:pgSz w:w="11880" w:h="15480" w:orient="portrait"/>
          <w:cols w:equalWidth="0" w:num="1">
            <w:col w:w="10680"/>
          </w:cols>
          <w:pgMar w:left="600"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123</w:t>
      </w:r>
    </w:p>
    <w:p>
      <w:pPr>
        <w:sectPr>
          <w:pgSz w:w="11880" w:h="15480" w:orient="portrait"/>
          <w:cols w:equalWidth="0" w:num="1">
            <w:col w:w="10680"/>
          </w:cols>
          <w:pgMar w:left="600" w:top="487" w:right="600" w:bottom="0" w:gutter="0" w:footer="0" w:header="0"/>
          <w:type w:val="continuous"/>
        </w:sectPr>
      </w:pPr>
    </w:p>
    <w:bookmarkStart w:id="124" w:name="page125"/>
    <w:bookmarkEnd w:id="124"/>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During 2025, 2024 and 2023, we withheld approximately 2.0 million, 1.6 million and 1.5 million shares of AAG common stock, respectively, and paid approximately $28 million, $27 million and $23 million, respectively, in satisfaction of certain tax withholding obligations associated with employee equity awards.</w:t>
      </w:r>
    </w:p>
    <w:p>
      <w:pPr>
        <w:spacing w:after="0" w:line="219"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Restricted Stock Unit Awards (RSUs)</w:t>
      </w:r>
    </w:p>
    <w:p>
      <w:pPr>
        <w:spacing w:after="0" w:line="95" w:lineRule="exact"/>
        <w:rPr>
          <w:sz w:val="20"/>
          <w:szCs w:val="20"/>
          <w:color w:val="auto"/>
        </w:rPr>
      </w:pPr>
    </w:p>
    <w:p>
      <w:pPr>
        <w:jc w:val="both"/>
        <w:ind w:left="5" w:firstLine="267"/>
        <w:spacing w:after="0" w:line="253" w:lineRule="auto"/>
        <w:rPr>
          <w:sz w:val="20"/>
          <w:szCs w:val="20"/>
          <w:color w:val="auto"/>
        </w:rPr>
      </w:pPr>
      <w:r>
        <w:rPr>
          <w:rFonts w:ascii="Arial" w:cs="Arial" w:eastAsia="Arial" w:hAnsi="Arial"/>
          <w:sz w:val="20"/>
          <w:szCs w:val="20"/>
          <w:color w:val="00162F"/>
        </w:rPr>
        <w:t>We have granted RSUs with service conditions (time vested primarily over three years) and performance conditions. The grant-date fair value of these RSUs is equal to the market price of the underlying shares of AAG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RSUs are equity-classified as the vesting results in the issuance of shares of AAG common stock. Cash-settled restricted stock unit awards (CRSUs) are liability-classified as the vesting results in payment of cash by AAG.</w:t>
      </w:r>
    </w:p>
    <w:p>
      <w:pPr>
        <w:spacing w:after="0" w:line="144"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Stock-settled RSU award activity for all plans for the years ended December 31, 2025, 2024 and 2023 is as follows:</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940" w:type="dxa"/>
            <w:vAlign w:val="bottom"/>
            <w:vMerge w:val="restart"/>
          </w:tcPr>
          <w:p>
            <w:pPr>
              <w:jc w:val="right"/>
              <w:ind w:right="183"/>
              <w:spacing w:after="0"/>
              <w:rPr>
                <w:sz w:val="20"/>
                <w:szCs w:val="20"/>
                <w:color w:val="auto"/>
              </w:rPr>
            </w:pPr>
            <w:r>
              <w:rPr>
                <w:rFonts w:ascii="Arial" w:cs="Arial" w:eastAsia="Arial" w:hAnsi="Arial"/>
                <w:sz w:val="16"/>
                <w:szCs w:val="16"/>
                <w:b w:val="1"/>
                <w:bCs w:val="1"/>
                <w:color w:val="00162F"/>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ind w:right="183"/>
              <w:spacing w:after="0"/>
              <w:rPr>
                <w:sz w:val="20"/>
                <w:szCs w:val="20"/>
                <w:color w:val="auto"/>
              </w:rPr>
            </w:pPr>
            <w:r>
              <w:rPr>
                <w:rFonts w:ascii="Arial" w:cs="Arial" w:eastAsia="Arial" w:hAnsi="Arial"/>
                <w:sz w:val="16"/>
                <w:szCs w:val="16"/>
                <w:b w:val="1"/>
                <w:bCs w:val="1"/>
                <w:color w:val="00162F"/>
              </w:rPr>
              <w:t>Weighted Average</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940" w:type="dxa"/>
            <w:vAlign w:val="bottom"/>
            <w:tcBorders>
              <w:bottom w:val="single" w:sz="8" w:color="00162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780" w:type="dxa"/>
            <w:vAlign w:val="bottom"/>
            <w:tcBorders>
              <w:bottom w:val="single" w:sz="8" w:color="00162F"/>
            </w:tcBorders>
          </w:tcPr>
          <w:p>
            <w:pPr>
              <w:jc w:val="right"/>
              <w:ind w:right="63"/>
              <w:spacing w:after="0"/>
              <w:rPr>
                <w:sz w:val="20"/>
                <w:szCs w:val="20"/>
                <w:color w:val="auto"/>
              </w:rPr>
            </w:pPr>
            <w:r>
              <w:rPr>
                <w:rFonts w:ascii="Arial" w:cs="Arial" w:eastAsia="Arial" w:hAnsi="Arial"/>
                <w:sz w:val="16"/>
                <w:szCs w:val="16"/>
                <w:b w:val="1"/>
                <w:bCs w:val="1"/>
                <w:color w:val="00162F"/>
                <w:w w:val="98"/>
              </w:rPr>
              <w:t>Grant Date Fair Value</w:t>
            </w: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940" w:type="dxa"/>
            <w:vAlign w:val="bottom"/>
          </w:tcPr>
          <w:p>
            <w:pPr>
              <w:jc w:val="right"/>
              <w:ind w:right="323"/>
              <w:spacing w:after="0"/>
              <w:rPr>
                <w:sz w:val="20"/>
                <w:szCs w:val="20"/>
                <w:color w:val="auto"/>
              </w:rPr>
            </w:pPr>
            <w:r>
              <w:rPr>
                <w:rFonts w:ascii="Arial" w:cs="Arial" w:eastAsia="Arial" w:hAnsi="Arial"/>
                <w:sz w:val="16"/>
                <w:szCs w:val="16"/>
                <w:b w:val="1"/>
                <w:bCs w:val="1"/>
                <w:color w:val="00162F"/>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67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Outstanding at December 31, 2022</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10,263</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17.51</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Granted</w:t>
            </w:r>
          </w:p>
        </w:tc>
        <w:tc>
          <w:tcPr>
            <w:tcW w:w="1940" w:type="dxa"/>
            <w:vAlign w:val="bottom"/>
          </w:tcPr>
          <w:p>
            <w:pPr>
              <w:jc w:val="right"/>
              <w:spacing w:after="0"/>
              <w:rPr>
                <w:sz w:val="20"/>
                <w:szCs w:val="20"/>
                <w:color w:val="auto"/>
              </w:rPr>
            </w:pPr>
            <w:r>
              <w:rPr>
                <w:rFonts w:ascii="Arial" w:cs="Arial" w:eastAsia="Arial" w:hAnsi="Arial"/>
                <w:sz w:val="20"/>
                <w:szCs w:val="20"/>
                <w:color w:val="00162F"/>
              </w:rPr>
              <w:t>9,834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00162F"/>
              </w:rPr>
              <w:t>14.54</w:t>
            </w:r>
          </w:p>
        </w:tc>
        <w:tc>
          <w:tcPr>
            <w:tcW w:w="0" w:type="dxa"/>
            <w:vAlign w:val="bottom"/>
          </w:tcPr>
          <w:p>
            <w:pPr>
              <w:spacing w:after="0"/>
              <w:rPr>
                <w:sz w:val="1"/>
                <w:szCs w:val="1"/>
                <w:color w:val="auto"/>
              </w:rPr>
            </w:pPr>
          </w:p>
        </w:tc>
      </w:tr>
      <w:tr>
        <w:trPr>
          <w:trHeight w:val="301"/>
        </w:trPr>
        <w:tc>
          <w:tcPr>
            <w:tcW w:w="67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Vested and released</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(5,161)</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17.81</w:t>
            </w:r>
          </w:p>
        </w:tc>
        <w:tc>
          <w:tcPr>
            <w:tcW w:w="0" w:type="dxa"/>
            <w:vAlign w:val="bottom"/>
          </w:tcPr>
          <w:p>
            <w:pPr>
              <w:spacing w:after="0"/>
              <w:rPr>
                <w:sz w:val="1"/>
                <w:szCs w:val="1"/>
                <w:color w:val="auto"/>
              </w:rPr>
            </w:pPr>
          </w:p>
        </w:tc>
      </w:tr>
      <w:tr>
        <w:trPr>
          <w:trHeight w:val="287"/>
        </w:trPr>
        <w:tc>
          <w:tcPr>
            <w:tcW w:w="6720" w:type="dxa"/>
            <w:vAlign w:val="bottom"/>
            <w:tcBorders>
              <w:bottom w:val="single" w:sz="8" w:color="EDEDED"/>
            </w:tcBorders>
            <w:gridSpan w:val="2"/>
          </w:tcPr>
          <w:p>
            <w:pPr>
              <w:ind w:left="260"/>
              <w:spacing w:after="0"/>
              <w:rPr>
                <w:sz w:val="20"/>
                <w:szCs w:val="20"/>
                <w:color w:val="auto"/>
              </w:rPr>
            </w:pPr>
            <w:r>
              <w:rPr>
                <w:rFonts w:ascii="Arial" w:cs="Arial" w:eastAsia="Arial" w:hAnsi="Arial"/>
                <w:sz w:val="20"/>
                <w:szCs w:val="20"/>
                <w:color w:val="00162F"/>
              </w:rPr>
              <w:t>Forfeited</w:t>
            </w:r>
          </w:p>
        </w:tc>
        <w:tc>
          <w:tcPr>
            <w:tcW w:w="1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(701)</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EDEDED"/>
            </w:tcBorders>
          </w:tcPr>
          <w:p>
            <w:pPr>
              <w:spacing w:after="0"/>
              <w:rPr>
                <w:sz w:val="24"/>
                <w:szCs w:val="24"/>
                <w:color w:val="auto"/>
              </w:rPr>
            </w:pPr>
          </w:p>
        </w:tc>
        <w:tc>
          <w:tcPr>
            <w:tcW w:w="1780" w:type="dxa"/>
            <w:vAlign w:val="bottom"/>
            <w:tcBorders>
              <w:bottom w:val="single" w:sz="8" w:color="EDEDED"/>
            </w:tcBorders>
          </w:tcPr>
          <w:p>
            <w:pPr>
              <w:jc w:val="right"/>
              <w:spacing w:after="0"/>
              <w:rPr>
                <w:sz w:val="20"/>
                <w:szCs w:val="20"/>
                <w:color w:val="auto"/>
              </w:rPr>
            </w:pPr>
            <w:r>
              <w:rPr>
                <w:rFonts w:ascii="Arial" w:cs="Arial" w:eastAsia="Arial" w:hAnsi="Arial"/>
                <w:sz w:val="20"/>
                <w:szCs w:val="20"/>
                <w:color w:val="00162F"/>
              </w:rPr>
              <w:t>20.49</w:t>
            </w:r>
          </w:p>
        </w:tc>
        <w:tc>
          <w:tcPr>
            <w:tcW w:w="0" w:type="dxa"/>
            <w:vAlign w:val="bottom"/>
          </w:tcPr>
          <w:p>
            <w:pPr>
              <w:spacing w:after="0"/>
              <w:rPr>
                <w:sz w:val="1"/>
                <w:szCs w:val="1"/>
                <w:color w:val="auto"/>
              </w:rPr>
            </w:pPr>
          </w:p>
        </w:tc>
      </w:tr>
      <w:tr>
        <w:trPr>
          <w:trHeight w:val="287"/>
        </w:trPr>
        <w:tc>
          <w:tcPr>
            <w:tcW w:w="67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Outstanding at December 31, 2023</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14,235</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15.18</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Granted</w:t>
            </w:r>
          </w:p>
        </w:tc>
        <w:tc>
          <w:tcPr>
            <w:tcW w:w="1940" w:type="dxa"/>
            <w:vAlign w:val="bottom"/>
          </w:tcPr>
          <w:p>
            <w:pPr>
              <w:jc w:val="right"/>
              <w:spacing w:after="0"/>
              <w:rPr>
                <w:sz w:val="20"/>
                <w:szCs w:val="20"/>
                <w:color w:val="auto"/>
              </w:rPr>
            </w:pPr>
            <w:r>
              <w:rPr>
                <w:rFonts w:ascii="Arial" w:cs="Arial" w:eastAsia="Arial" w:hAnsi="Arial"/>
                <w:sz w:val="20"/>
                <w:szCs w:val="20"/>
                <w:color w:val="00162F"/>
              </w:rPr>
              <w:t>2,580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00162F"/>
              </w:rPr>
              <w:t>15.76</w:t>
            </w:r>
          </w:p>
        </w:tc>
        <w:tc>
          <w:tcPr>
            <w:tcW w:w="0" w:type="dxa"/>
            <w:vAlign w:val="bottom"/>
          </w:tcPr>
          <w:p>
            <w:pPr>
              <w:spacing w:after="0"/>
              <w:rPr>
                <w:sz w:val="1"/>
                <w:szCs w:val="1"/>
                <w:color w:val="auto"/>
              </w:rPr>
            </w:pPr>
          </w:p>
        </w:tc>
      </w:tr>
      <w:tr>
        <w:trPr>
          <w:trHeight w:val="301"/>
        </w:trPr>
        <w:tc>
          <w:tcPr>
            <w:tcW w:w="67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Modified </w:t>
            </w:r>
            <w:r>
              <w:rPr>
                <w:rFonts w:ascii="Arial" w:cs="Arial" w:eastAsia="Arial" w:hAnsi="Arial"/>
                <w:sz w:val="12"/>
                <w:szCs w:val="12"/>
                <w:color w:val="00162F"/>
              </w:rPr>
              <w:t>(1)</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(2,809)</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16.18</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Vested and released</w:t>
            </w:r>
          </w:p>
        </w:tc>
        <w:tc>
          <w:tcPr>
            <w:tcW w:w="1940" w:type="dxa"/>
            <w:vAlign w:val="bottom"/>
          </w:tcPr>
          <w:p>
            <w:pPr>
              <w:jc w:val="right"/>
              <w:spacing w:after="0"/>
              <w:rPr>
                <w:sz w:val="20"/>
                <w:szCs w:val="20"/>
                <w:color w:val="auto"/>
              </w:rPr>
            </w:pPr>
            <w:r>
              <w:rPr>
                <w:rFonts w:ascii="Arial" w:cs="Arial" w:eastAsia="Arial" w:hAnsi="Arial"/>
                <w:sz w:val="20"/>
                <w:szCs w:val="20"/>
                <w:color w:val="00162F"/>
              </w:rPr>
              <w:t>(4,833)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00162F"/>
              </w:rPr>
              <w:t>15.91</w:t>
            </w:r>
          </w:p>
        </w:tc>
        <w:tc>
          <w:tcPr>
            <w:tcW w:w="0" w:type="dxa"/>
            <w:vAlign w:val="bottom"/>
          </w:tcPr>
          <w:p>
            <w:pPr>
              <w:spacing w:after="0"/>
              <w:rPr>
                <w:sz w:val="1"/>
                <w:szCs w:val="1"/>
                <w:color w:val="auto"/>
              </w:rPr>
            </w:pPr>
          </w:p>
        </w:tc>
      </w:tr>
      <w:tr>
        <w:trPr>
          <w:trHeight w:val="311"/>
        </w:trPr>
        <w:tc>
          <w:tcPr>
            <w:tcW w:w="672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Forfeited</w:t>
            </w:r>
          </w:p>
        </w:tc>
        <w:tc>
          <w:tcPr>
            <w:tcW w:w="1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(827)</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EDEDED"/>
            </w:tcBorders>
            <w:shd w:val="clear" w:color="auto" w:fill="EDEDED"/>
          </w:tcPr>
          <w:p>
            <w:pPr>
              <w:spacing w:after="0"/>
              <w:rPr>
                <w:sz w:val="24"/>
                <w:szCs w:val="24"/>
                <w:color w:val="auto"/>
              </w:rPr>
            </w:pPr>
          </w:p>
        </w:tc>
        <w:tc>
          <w:tcPr>
            <w:tcW w:w="17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15.83</w:t>
            </w:r>
          </w:p>
        </w:tc>
        <w:tc>
          <w:tcPr>
            <w:tcW w:w="0" w:type="dxa"/>
            <w:vAlign w:val="bottom"/>
          </w:tcPr>
          <w:p>
            <w:pPr>
              <w:spacing w:after="0"/>
              <w:rPr>
                <w:sz w:val="1"/>
                <w:szCs w:val="1"/>
                <w:color w:val="auto"/>
              </w:rPr>
            </w:pPr>
          </w:p>
        </w:tc>
      </w:tr>
      <w:tr>
        <w:trPr>
          <w:trHeight w:val="263"/>
        </w:trPr>
        <w:tc>
          <w:tcPr>
            <w:tcW w:w="6720" w:type="dxa"/>
            <w:vAlign w:val="bottom"/>
            <w:gridSpan w:val="2"/>
          </w:tcPr>
          <w:p>
            <w:pPr>
              <w:ind w:left="40"/>
              <w:spacing w:after="0"/>
              <w:rPr>
                <w:sz w:val="20"/>
                <w:szCs w:val="20"/>
                <w:color w:val="auto"/>
              </w:rPr>
            </w:pPr>
            <w:r>
              <w:rPr>
                <w:rFonts w:ascii="Arial" w:cs="Arial" w:eastAsia="Arial" w:hAnsi="Arial"/>
                <w:sz w:val="20"/>
                <w:szCs w:val="20"/>
                <w:color w:val="00162F"/>
              </w:rPr>
              <w:t>Outstanding at December 31, 2024</w:t>
            </w:r>
          </w:p>
        </w:tc>
        <w:tc>
          <w:tcPr>
            <w:tcW w:w="1940" w:type="dxa"/>
            <w:vAlign w:val="bottom"/>
          </w:tcPr>
          <w:p>
            <w:pPr>
              <w:jc w:val="right"/>
              <w:spacing w:after="0"/>
              <w:rPr>
                <w:sz w:val="20"/>
                <w:szCs w:val="20"/>
                <w:color w:val="auto"/>
              </w:rPr>
            </w:pPr>
            <w:r>
              <w:rPr>
                <w:rFonts w:ascii="Arial" w:cs="Arial" w:eastAsia="Arial" w:hAnsi="Arial"/>
                <w:sz w:val="20"/>
                <w:szCs w:val="20"/>
                <w:color w:val="00162F"/>
              </w:rPr>
              <w:t>8,346</w:t>
            </w:r>
          </w:p>
        </w:tc>
        <w:tc>
          <w:tcPr>
            <w:tcW w:w="24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1780" w:type="dxa"/>
            <w:vAlign w:val="bottom"/>
          </w:tcPr>
          <w:p>
            <w:pPr>
              <w:jc w:val="right"/>
              <w:spacing w:after="0"/>
              <w:rPr>
                <w:sz w:val="20"/>
                <w:szCs w:val="20"/>
                <w:color w:val="auto"/>
              </w:rPr>
            </w:pPr>
            <w:r>
              <w:rPr>
                <w:rFonts w:ascii="Arial" w:cs="Arial" w:eastAsia="Arial" w:hAnsi="Arial"/>
                <w:sz w:val="20"/>
                <w:szCs w:val="20"/>
                <w:color w:val="00162F"/>
              </w:rPr>
              <w:t>15.59</w:t>
            </w:r>
          </w:p>
        </w:tc>
        <w:tc>
          <w:tcPr>
            <w:tcW w:w="0" w:type="dxa"/>
            <w:vAlign w:val="bottom"/>
          </w:tcPr>
          <w:p>
            <w:pPr>
              <w:spacing w:after="0"/>
              <w:rPr>
                <w:sz w:val="1"/>
                <w:szCs w:val="1"/>
                <w:color w:val="auto"/>
              </w:rPr>
            </w:pPr>
          </w:p>
        </w:tc>
      </w:tr>
      <w:tr>
        <w:trPr>
          <w:trHeight w:val="301"/>
        </w:trPr>
        <w:tc>
          <w:tcPr>
            <w:tcW w:w="67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Granted</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5,073</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14.11</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Vested and released</w:t>
            </w:r>
          </w:p>
        </w:tc>
        <w:tc>
          <w:tcPr>
            <w:tcW w:w="1940" w:type="dxa"/>
            <w:vAlign w:val="bottom"/>
          </w:tcPr>
          <w:p>
            <w:pPr>
              <w:jc w:val="right"/>
              <w:spacing w:after="0"/>
              <w:rPr>
                <w:sz w:val="20"/>
                <w:szCs w:val="20"/>
                <w:color w:val="auto"/>
              </w:rPr>
            </w:pPr>
            <w:r>
              <w:rPr>
                <w:rFonts w:ascii="Arial" w:cs="Arial" w:eastAsia="Arial" w:hAnsi="Arial"/>
                <w:sz w:val="20"/>
                <w:szCs w:val="20"/>
                <w:color w:val="00162F"/>
              </w:rPr>
              <w:t>(3,949)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00162F"/>
              </w:rPr>
              <w:t>15.27</w:t>
            </w:r>
          </w:p>
        </w:tc>
        <w:tc>
          <w:tcPr>
            <w:tcW w:w="0" w:type="dxa"/>
            <w:vAlign w:val="bottom"/>
          </w:tcPr>
          <w:p>
            <w:pPr>
              <w:spacing w:after="0"/>
              <w:rPr>
                <w:sz w:val="1"/>
                <w:szCs w:val="1"/>
                <w:color w:val="auto"/>
              </w:rPr>
            </w:pPr>
          </w:p>
        </w:tc>
      </w:tr>
      <w:tr>
        <w:trPr>
          <w:trHeight w:val="311"/>
        </w:trPr>
        <w:tc>
          <w:tcPr>
            <w:tcW w:w="672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Forfeited</w:t>
            </w:r>
          </w:p>
        </w:tc>
        <w:tc>
          <w:tcPr>
            <w:tcW w:w="1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(2,337)</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EDEDED"/>
            </w:tcBorders>
            <w:shd w:val="clear" w:color="auto" w:fill="EDEDED"/>
          </w:tcPr>
          <w:p>
            <w:pPr>
              <w:spacing w:after="0"/>
              <w:rPr>
                <w:sz w:val="24"/>
                <w:szCs w:val="24"/>
                <w:color w:val="auto"/>
              </w:rPr>
            </w:pPr>
          </w:p>
        </w:tc>
        <w:tc>
          <w:tcPr>
            <w:tcW w:w="17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15.33</w:t>
            </w:r>
          </w:p>
        </w:tc>
        <w:tc>
          <w:tcPr>
            <w:tcW w:w="0" w:type="dxa"/>
            <w:vAlign w:val="bottom"/>
          </w:tcPr>
          <w:p>
            <w:pPr>
              <w:spacing w:after="0"/>
              <w:rPr>
                <w:sz w:val="1"/>
                <w:szCs w:val="1"/>
                <w:color w:val="auto"/>
              </w:rPr>
            </w:pPr>
          </w:p>
        </w:tc>
      </w:tr>
      <w:tr>
        <w:trPr>
          <w:trHeight w:val="237"/>
        </w:trPr>
        <w:tc>
          <w:tcPr>
            <w:tcW w:w="6720" w:type="dxa"/>
            <w:vAlign w:val="bottom"/>
            <w:gridSpan w:val="2"/>
          </w:tcPr>
          <w:p>
            <w:pPr>
              <w:ind w:left="40"/>
              <w:spacing w:after="0"/>
              <w:rPr>
                <w:sz w:val="20"/>
                <w:szCs w:val="20"/>
                <w:color w:val="auto"/>
              </w:rPr>
            </w:pPr>
            <w:r>
              <w:rPr>
                <w:rFonts w:ascii="Arial" w:cs="Arial" w:eastAsia="Arial" w:hAnsi="Arial"/>
                <w:sz w:val="20"/>
                <w:szCs w:val="20"/>
                <w:color w:val="00162F"/>
              </w:rPr>
              <w:t>Outstanding at December 31, 2025</w:t>
            </w:r>
          </w:p>
        </w:tc>
        <w:tc>
          <w:tcPr>
            <w:tcW w:w="1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7,133</w:t>
            </w:r>
          </w:p>
        </w:tc>
        <w:tc>
          <w:tcPr>
            <w:tcW w:w="24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1780" w:type="dxa"/>
            <w:vAlign w:val="bottom"/>
          </w:tcPr>
          <w:p>
            <w:pPr>
              <w:jc w:val="right"/>
              <w:spacing w:after="0"/>
              <w:rPr>
                <w:sz w:val="20"/>
                <w:szCs w:val="20"/>
                <w:color w:val="auto"/>
              </w:rPr>
            </w:pPr>
            <w:r>
              <w:rPr>
                <w:rFonts w:ascii="Arial" w:cs="Arial" w:eastAsia="Arial" w:hAnsi="Arial"/>
                <w:sz w:val="20"/>
                <w:szCs w:val="20"/>
                <w:color w:val="00162F"/>
              </w:rPr>
              <w:t>14.27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940" w:type="dxa"/>
            <w:vAlign w:val="bottom"/>
            <w:tcBorders>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4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-2014220</wp:posOffset>
            </wp:positionV>
            <wp:extent cx="126047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9">
                      <a:extLst>
                        <a:ext uri="{28A0092B-C50C-407E-A947-70E740481C1C}"/>
                      </a:extLst>
                    </a:blip>
                    <a:srcRect/>
                    <a:stretch>
                      <a:fillRect/>
                    </a:stretch>
                  </pic:blipFill>
                  <pic:spPr bwMode="auto">
                    <a:xfrm>
                      <a:off x="0" y="0"/>
                      <a:ext cx="1260475" cy="25400"/>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-1071245</wp:posOffset>
            </wp:positionV>
            <wp:extent cx="126047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0">
                      <a:extLst>
                        <a:ext uri="{28A0092B-C50C-407E-A947-70E740481C1C}"/>
                      </a:extLst>
                    </a:blip>
                    <a:srcRect/>
                    <a:stretch>
                      <a:fillRect/>
                    </a:stretch>
                  </pic:blipFill>
                  <pic:spPr bwMode="auto">
                    <a:xfrm>
                      <a:off x="0" y="0"/>
                      <a:ext cx="1260475" cy="25400"/>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-316865</wp:posOffset>
            </wp:positionV>
            <wp:extent cx="126047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1">
                      <a:extLst>
                        <a:ext uri="{28A0092B-C50C-407E-A947-70E740481C1C}"/>
                      </a:extLst>
                    </a:blip>
                    <a:srcRect/>
                    <a:stretch>
                      <a:fillRect/>
                    </a:stretch>
                  </pic:blipFill>
                  <pic:spPr bwMode="auto">
                    <a:xfrm>
                      <a:off x="0" y="0"/>
                      <a:ext cx="1260475" cy="25400"/>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59" w:lineRule="auto"/>
        <w:tabs>
          <w:tab w:leader="none" w:pos="365" w:val="left"/>
        </w:tabs>
        <w:numPr>
          <w:ilvl w:val="0"/>
          <w:numId w:val="62"/>
        </w:numPr>
        <w:rPr>
          <w:rFonts w:ascii="Arial" w:cs="Arial" w:eastAsia="Arial" w:hAnsi="Arial"/>
          <w:sz w:val="13"/>
          <w:szCs w:val="13"/>
          <w:color w:val="00162F"/>
        </w:rPr>
      </w:pPr>
      <w:r>
        <w:rPr>
          <w:rFonts w:ascii="Arial" w:cs="Arial" w:eastAsia="Arial" w:hAnsi="Arial"/>
          <w:sz w:val="20"/>
          <w:szCs w:val="20"/>
          <w:color w:val="00162F"/>
        </w:rPr>
        <w:t>In 2024, the settlement terms of 2.8 million stock-settled RSUs were modified from settlement in AAG common stock to settlement in cash. This change in award settlement method was the only modification to these awards, and the vesting, forfeiture and all other terms and conditions were unchanged. The modification resulted in a $20 million reclassification from additional paid-in capital to accrued salaries and wages on our consolidated balance sheet.</w:t>
      </w:r>
    </w:p>
    <w:p>
      <w:pPr>
        <w:spacing w:after="0" w:line="136"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As of December 31, 2025, there was $51 million of unrecognized compensation cost related to stock-settled RSUs. These costs are expected to be recognized over a weighted average period of one year. The total fair value of stock-settled RSUs vested during the years ended December 31, 2025, 2024 and 2023 was $57 million, $69 million and $78 million, respectively.</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124</w:t>
      </w:r>
    </w:p>
    <w:p>
      <w:pPr>
        <w:sectPr>
          <w:pgSz w:w="11880" w:h="15480" w:orient="portrait"/>
          <w:cols w:equalWidth="0" w:num="1">
            <w:col w:w="10685"/>
          </w:cols>
          <w:pgMar w:left="595" w:top="487" w:right="600" w:bottom="0" w:gutter="0" w:footer="0" w:header="0"/>
          <w:type w:val="continuous"/>
        </w:sectPr>
      </w:pPr>
    </w:p>
    <w:bookmarkStart w:id="125" w:name="page126"/>
    <w:bookmarkEnd w:id="125"/>
    <w:p>
      <w:pPr>
        <w:ind w:left="925"/>
        <w:spacing w:after="0"/>
        <w:rPr>
          <w:sz w:val="20"/>
          <w:szCs w:val="20"/>
          <w:color w:val="auto"/>
        </w:rPr>
      </w:pPr>
      <w:r>
        <w:rPr>
          <w:rFonts w:ascii="Arial" w:cs="Arial" w:eastAsia="Arial" w:hAnsi="Arial"/>
          <w:sz w:val="20"/>
          <w:szCs w:val="20"/>
          <w:b w:val="1"/>
          <w:bCs w:val="1"/>
          <w:color w:val="00162F"/>
        </w:rPr>
        <w:t>NOTES TO CONSOLIDATED FINANCIAL STATEMENTS OF AMERICAN AIRLINES GROUP INC</w:t>
      </w:r>
      <w:r>
        <w:rPr>
          <w:rFonts w:ascii="Arial" w:cs="Arial" w:eastAsia="Arial" w:hAnsi="Arial"/>
          <w:sz w:val="20"/>
          <w:szCs w:val="20"/>
          <w:color w:val="00162F"/>
        </w:rPr>
        <w:t>.</w:t>
      </w:r>
    </w:p>
    <w:p>
      <w:pPr>
        <w:spacing w:after="0" w:line="276"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CRSU award activity for all plans for the years ended December 31, 2025 and 2024 is as follows:</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940" w:type="dxa"/>
            <w:vAlign w:val="bottom"/>
            <w:vMerge w:val="restart"/>
          </w:tcPr>
          <w:p>
            <w:pPr>
              <w:jc w:val="right"/>
              <w:ind w:right="184"/>
              <w:spacing w:after="0"/>
              <w:rPr>
                <w:sz w:val="20"/>
                <w:szCs w:val="20"/>
                <w:color w:val="auto"/>
              </w:rPr>
            </w:pPr>
            <w:r>
              <w:rPr>
                <w:rFonts w:ascii="Arial" w:cs="Arial" w:eastAsia="Arial" w:hAnsi="Arial"/>
                <w:sz w:val="16"/>
                <w:szCs w:val="16"/>
                <w:b w:val="1"/>
                <w:bCs w:val="1"/>
                <w:color w:val="00162F"/>
              </w:rPr>
              <w:t>Number of Shares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184"/>
              <w:spacing w:after="0"/>
              <w:rPr>
                <w:sz w:val="20"/>
                <w:szCs w:val="20"/>
                <w:color w:val="auto"/>
              </w:rPr>
            </w:pPr>
            <w:r>
              <w:rPr>
                <w:rFonts w:ascii="Arial" w:cs="Arial" w:eastAsia="Arial" w:hAnsi="Arial"/>
                <w:sz w:val="16"/>
                <w:szCs w:val="16"/>
                <w:b w:val="1"/>
                <w:bCs w:val="1"/>
                <w:color w:val="00162F"/>
              </w:rPr>
              <w:t>Weighted Average</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940" w:type="dxa"/>
            <w:vAlign w:val="bottom"/>
            <w:tcBorders>
              <w:bottom w:val="single" w:sz="8" w:color="00162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00162F"/>
            </w:tcBorders>
          </w:tcPr>
          <w:p>
            <w:pPr>
              <w:spacing w:after="0"/>
              <w:rPr>
                <w:sz w:val="18"/>
                <w:szCs w:val="18"/>
                <w:color w:val="auto"/>
              </w:rPr>
            </w:pPr>
          </w:p>
        </w:tc>
        <w:tc>
          <w:tcPr>
            <w:tcW w:w="1720" w:type="dxa"/>
            <w:vAlign w:val="bottom"/>
            <w:tcBorders>
              <w:bottom w:val="single" w:sz="8" w:color="00162F"/>
            </w:tcBorders>
          </w:tcPr>
          <w:p>
            <w:pPr>
              <w:jc w:val="right"/>
              <w:ind w:right="484"/>
              <w:spacing w:after="0"/>
              <w:rPr>
                <w:sz w:val="20"/>
                <w:szCs w:val="20"/>
                <w:color w:val="auto"/>
              </w:rPr>
            </w:pPr>
            <w:r>
              <w:rPr>
                <w:rFonts w:ascii="Arial" w:cs="Arial" w:eastAsia="Arial" w:hAnsi="Arial"/>
                <w:sz w:val="16"/>
                <w:szCs w:val="16"/>
                <w:b w:val="1"/>
                <w:bCs w:val="1"/>
                <w:color w:val="00162F"/>
              </w:rPr>
              <w:t>Fair Value</w:t>
            </w: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940" w:type="dxa"/>
            <w:vAlign w:val="bottom"/>
          </w:tcPr>
          <w:p>
            <w:pPr>
              <w:jc w:val="right"/>
              <w:ind w:right="324"/>
              <w:spacing w:after="0"/>
              <w:rPr>
                <w:sz w:val="20"/>
                <w:szCs w:val="20"/>
                <w:color w:val="auto"/>
              </w:rPr>
            </w:pPr>
            <w:r>
              <w:rPr>
                <w:rFonts w:ascii="Arial" w:cs="Arial" w:eastAsia="Arial" w:hAnsi="Arial"/>
                <w:sz w:val="16"/>
                <w:szCs w:val="16"/>
                <w:b w:val="1"/>
                <w:bCs w:val="1"/>
                <w:color w:val="00162F"/>
              </w:rPr>
              <w:t>(In thousands)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67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Outstanding at December 31, 2023</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37</w:t>
            </w:r>
          </w:p>
        </w:tc>
        <w:tc>
          <w:tcPr>
            <w:tcW w:w="300" w:type="dxa"/>
            <w:vAlign w:val="bottom"/>
            <w:gridSpan w:val="2"/>
            <w:shd w:val="clear" w:color="auto" w:fill="EDEDED"/>
          </w:tcPr>
          <w:p>
            <w:pPr>
              <w:jc w:val="right"/>
              <w:ind w:right="60"/>
              <w:spacing w:after="0"/>
              <w:rPr>
                <w:sz w:val="20"/>
                <w:szCs w:val="20"/>
                <w:color w:val="auto"/>
              </w:rPr>
            </w:pPr>
            <w:r>
              <w:rPr>
                <w:rFonts w:ascii="Arial" w:cs="Arial" w:eastAsia="Arial" w:hAnsi="Arial"/>
                <w:sz w:val="20"/>
                <w:szCs w:val="20"/>
                <w:color w:val="00162F"/>
              </w:rPr>
              <w:t>$</w:t>
            </w:r>
          </w:p>
        </w:tc>
        <w:tc>
          <w:tcPr>
            <w:tcW w:w="1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13.74</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Granted</w:t>
            </w:r>
          </w:p>
        </w:tc>
        <w:tc>
          <w:tcPr>
            <w:tcW w:w="1940" w:type="dxa"/>
            <w:vAlign w:val="bottom"/>
          </w:tcPr>
          <w:p>
            <w:pPr>
              <w:jc w:val="right"/>
              <w:spacing w:after="0"/>
              <w:rPr>
                <w:sz w:val="20"/>
                <w:szCs w:val="20"/>
                <w:color w:val="auto"/>
              </w:rPr>
            </w:pPr>
            <w:r>
              <w:rPr>
                <w:rFonts w:ascii="Arial" w:cs="Arial" w:eastAsia="Arial" w:hAnsi="Arial"/>
                <w:sz w:val="20"/>
                <w:szCs w:val="20"/>
                <w:color w:val="00162F"/>
              </w:rPr>
              <w:t>5,634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00162F"/>
              </w:rPr>
              <w:t>17.43</w:t>
            </w:r>
          </w:p>
        </w:tc>
        <w:tc>
          <w:tcPr>
            <w:tcW w:w="0" w:type="dxa"/>
            <w:vAlign w:val="bottom"/>
          </w:tcPr>
          <w:p>
            <w:pPr>
              <w:spacing w:after="0"/>
              <w:rPr>
                <w:sz w:val="1"/>
                <w:szCs w:val="1"/>
                <w:color w:val="auto"/>
              </w:rPr>
            </w:pPr>
          </w:p>
        </w:tc>
      </w:tr>
      <w:tr>
        <w:trPr>
          <w:trHeight w:val="301"/>
        </w:trPr>
        <w:tc>
          <w:tcPr>
            <w:tcW w:w="67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Modified </w:t>
            </w:r>
            <w:r>
              <w:rPr>
                <w:rFonts w:ascii="Arial" w:cs="Arial" w:eastAsia="Arial" w:hAnsi="Arial"/>
                <w:sz w:val="12"/>
                <w:szCs w:val="12"/>
                <w:color w:val="00162F"/>
              </w:rPr>
              <w:t>(1)</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2,809</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16.18</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Vested and released</w:t>
            </w:r>
          </w:p>
        </w:tc>
        <w:tc>
          <w:tcPr>
            <w:tcW w:w="1940" w:type="dxa"/>
            <w:vAlign w:val="bottom"/>
          </w:tcPr>
          <w:p>
            <w:pPr>
              <w:jc w:val="right"/>
              <w:spacing w:after="0"/>
              <w:rPr>
                <w:sz w:val="20"/>
                <w:szCs w:val="20"/>
                <w:color w:val="auto"/>
              </w:rPr>
            </w:pPr>
            <w:r>
              <w:rPr>
                <w:rFonts w:ascii="Arial" w:cs="Arial" w:eastAsia="Arial" w:hAnsi="Arial"/>
                <w:sz w:val="20"/>
                <w:szCs w:val="20"/>
                <w:color w:val="00162F"/>
              </w:rPr>
              <w:t>(1,337)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00162F"/>
              </w:rPr>
              <w:t>14.75</w:t>
            </w:r>
          </w:p>
        </w:tc>
        <w:tc>
          <w:tcPr>
            <w:tcW w:w="0" w:type="dxa"/>
            <w:vAlign w:val="bottom"/>
          </w:tcPr>
          <w:p>
            <w:pPr>
              <w:spacing w:after="0"/>
              <w:rPr>
                <w:sz w:val="1"/>
                <w:szCs w:val="1"/>
                <w:color w:val="auto"/>
              </w:rPr>
            </w:pPr>
          </w:p>
        </w:tc>
      </w:tr>
      <w:tr>
        <w:trPr>
          <w:trHeight w:val="311"/>
        </w:trPr>
        <w:tc>
          <w:tcPr>
            <w:tcW w:w="672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Forfeited</w:t>
            </w:r>
          </w:p>
        </w:tc>
        <w:tc>
          <w:tcPr>
            <w:tcW w:w="1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(136)</w:t>
            </w:r>
          </w:p>
        </w:tc>
        <w:tc>
          <w:tcPr>
            <w:tcW w:w="8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EDEDED"/>
            </w:tcBorders>
            <w:shd w:val="clear" w:color="auto" w:fill="EDEDED"/>
          </w:tcPr>
          <w:p>
            <w:pPr>
              <w:spacing w:after="0"/>
              <w:rPr>
                <w:sz w:val="24"/>
                <w:szCs w:val="24"/>
                <w:color w:val="auto"/>
              </w:rPr>
            </w:pPr>
          </w:p>
        </w:tc>
        <w:tc>
          <w:tcPr>
            <w:tcW w:w="17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17.42</w:t>
            </w:r>
          </w:p>
        </w:tc>
        <w:tc>
          <w:tcPr>
            <w:tcW w:w="0" w:type="dxa"/>
            <w:vAlign w:val="bottom"/>
          </w:tcPr>
          <w:p>
            <w:pPr>
              <w:spacing w:after="0"/>
              <w:rPr>
                <w:sz w:val="1"/>
                <w:szCs w:val="1"/>
                <w:color w:val="auto"/>
              </w:rPr>
            </w:pPr>
          </w:p>
        </w:tc>
      </w:tr>
      <w:tr>
        <w:trPr>
          <w:trHeight w:val="263"/>
        </w:trPr>
        <w:tc>
          <w:tcPr>
            <w:tcW w:w="6720" w:type="dxa"/>
            <w:vAlign w:val="bottom"/>
            <w:gridSpan w:val="2"/>
          </w:tcPr>
          <w:p>
            <w:pPr>
              <w:ind w:left="40"/>
              <w:spacing w:after="0"/>
              <w:rPr>
                <w:sz w:val="20"/>
                <w:szCs w:val="20"/>
                <w:color w:val="auto"/>
              </w:rPr>
            </w:pPr>
            <w:r>
              <w:rPr>
                <w:rFonts w:ascii="Arial" w:cs="Arial" w:eastAsia="Arial" w:hAnsi="Arial"/>
                <w:sz w:val="20"/>
                <w:szCs w:val="20"/>
                <w:color w:val="00162F"/>
              </w:rPr>
              <w:t>Outstanding at December 31, 2024</w:t>
            </w:r>
          </w:p>
        </w:tc>
        <w:tc>
          <w:tcPr>
            <w:tcW w:w="1940" w:type="dxa"/>
            <w:vAlign w:val="bottom"/>
          </w:tcPr>
          <w:p>
            <w:pPr>
              <w:jc w:val="right"/>
              <w:spacing w:after="0"/>
              <w:rPr>
                <w:sz w:val="20"/>
                <w:szCs w:val="20"/>
                <w:color w:val="auto"/>
              </w:rPr>
            </w:pPr>
            <w:r>
              <w:rPr>
                <w:rFonts w:ascii="Arial" w:cs="Arial" w:eastAsia="Arial" w:hAnsi="Arial"/>
                <w:sz w:val="20"/>
                <w:szCs w:val="20"/>
                <w:color w:val="00162F"/>
              </w:rPr>
              <w:t>7,007</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00162F"/>
              </w:rPr>
              <w:t>$</w:t>
            </w:r>
          </w:p>
        </w:tc>
        <w:tc>
          <w:tcPr>
            <w:tcW w:w="1720" w:type="dxa"/>
            <w:vAlign w:val="bottom"/>
          </w:tcPr>
          <w:p>
            <w:pPr>
              <w:jc w:val="right"/>
              <w:spacing w:after="0"/>
              <w:rPr>
                <w:sz w:val="20"/>
                <w:szCs w:val="20"/>
                <w:color w:val="auto"/>
              </w:rPr>
            </w:pPr>
            <w:r>
              <w:rPr>
                <w:rFonts w:ascii="Arial" w:cs="Arial" w:eastAsia="Arial" w:hAnsi="Arial"/>
                <w:sz w:val="20"/>
                <w:szCs w:val="20"/>
                <w:color w:val="00162F"/>
              </w:rPr>
              <w:t>17.43</w:t>
            </w:r>
          </w:p>
        </w:tc>
        <w:tc>
          <w:tcPr>
            <w:tcW w:w="0" w:type="dxa"/>
            <w:vAlign w:val="bottom"/>
          </w:tcPr>
          <w:p>
            <w:pPr>
              <w:spacing w:after="0"/>
              <w:rPr>
                <w:sz w:val="1"/>
                <w:szCs w:val="1"/>
                <w:color w:val="auto"/>
              </w:rPr>
            </w:pPr>
          </w:p>
        </w:tc>
      </w:tr>
      <w:tr>
        <w:trPr>
          <w:trHeight w:val="301"/>
        </w:trPr>
        <w:tc>
          <w:tcPr>
            <w:tcW w:w="67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Granted</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6,009</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15.33</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Vested and released</w:t>
            </w:r>
          </w:p>
        </w:tc>
        <w:tc>
          <w:tcPr>
            <w:tcW w:w="1940" w:type="dxa"/>
            <w:vAlign w:val="bottom"/>
          </w:tcPr>
          <w:p>
            <w:pPr>
              <w:jc w:val="right"/>
              <w:spacing w:after="0"/>
              <w:rPr>
                <w:sz w:val="20"/>
                <w:szCs w:val="20"/>
                <w:color w:val="auto"/>
              </w:rPr>
            </w:pPr>
            <w:r>
              <w:rPr>
                <w:rFonts w:ascii="Arial" w:cs="Arial" w:eastAsia="Arial" w:hAnsi="Arial"/>
                <w:sz w:val="20"/>
                <w:szCs w:val="20"/>
                <w:color w:val="00162F"/>
              </w:rPr>
              <w:t>(2,606)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00162F"/>
              </w:rPr>
              <w:t>16.43</w:t>
            </w:r>
          </w:p>
        </w:tc>
        <w:tc>
          <w:tcPr>
            <w:tcW w:w="0" w:type="dxa"/>
            <w:vAlign w:val="bottom"/>
          </w:tcPr>
          <w:p>
            <w:pPr>
              <w:spacing w:after="0"/>
              <w:rPr>
                <w:sz w:val="1"/>
                <w:szCs w:val="1"/>
                <w:color w:val="auto"/>
              </w:rPr>
            </w:pPr>
          </w:p>
        </w:tc>
      </w:tr>
      <w:tr>
        <w:trPr>
          <w:trHeight w:val="311"/>
        </w:trPr>
        <w:tc>
          <w:tcPr>
            <w:tcW w:w="672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Forfeited</w:t>
            </w:r>
          </w:p>
        </w:tc>
        <w:tc>
          <w:tcPr>
            <w:tcW w:w="1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(547)</w:t>
            </w:r>
          </w:p>
        </w:tc>
        <w:tc>
          <w:tcPr>
            <w:tcW w:w="8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EDEDED"/>
            </w:tcBorders>
            <w:shd w:val="clear" w:color="auto" w:fill="EDEDED"/>
          </w:tcPr>
          <w:p>
            <w:pPr>
              <w:spacing w:after="0"/>
              <w:rPr>
                <w:sz w:val="24"/>
                <w:szCs w:val="24"/>
                <w:color w:val="auto"/>
              </w:rPr>
            </w:pPr>
          </w:p>
        </w:tc>
        <w:tc>
          <w:tcPr>
            <w:tcW w:w="17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15.60</w:t>
            </w:r>
          </w:p>
        </w:tc>
        <w:tc>
          <w:tcPr>
            <w:tcW w:w="0" w:type="dxa"/>
            <w:vAlign w:val="bottom"/>
          </w:tcPr>
          <w:p>
            <w:pPr>
              <w:spacing w:after="0"/>
              <w:rPr>
                <w:sz w:val="1"/>
                <w:szCs w:val="1"/>
                <w:color w:val="auto"/>
              </w:rPr>
            </w:pPr>
          </w:p>
        </w:tc>
      </w:tr>
      <w:tr>
        <w:trPr>
          <w:trHeight w:val="237"/>
        </w:trPr>
        <w:tc>
          <w:tcPr>
            <w:tcW w:w="6720" w:type="dxa"/>
            <w:vAlign w:val="bottom"/>
            <w:gridSpan w:val="2"/>
          </w:tcPr>
          <w:p>
            <w:pPr>
              <w:ind w:left="40"/>
              <w:spacing w:after="0"/>
              <w:rPr>
                <w:sz w:val="20"/>
                <w:szCs w:val="20"/>
                <w:color w:val="auto"/>
              </w:rPr>
            </w:pPr>
            <w:r>
              <w:rPr>
                <w:rFonts w:ascii="Arial" w:cs="Arial" w:eastAsia="Arial" w:hAnsi="Arial"/>
                <w:sz w:val="20"/>
                <w:szCs w:val="20"/>
                <w:color w:val="00162F"/>
              </w:rPr>
              <w:t>Outstanding at December 31, 2025</w:t>
            </w:r>
          </w:p>
        </w:tc>
        <w:tc>
          <w:tcPr>
            <w:tcW w:w="1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9,863</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00162F"/>
              </w:rPr>
              <w:t>$</w:t>
            </w:r>
          </w:p>
        </w:tc>
        <w:tc>
          <w:tcPr>
            <w:tcW w:w="1720" w:type="dxa"/>
            <w:vAlign w:val="bottom"/>
          </w:tcPr>
          <w:p>
            <w:pPr>
              <w:jc w:val="right"/>
              <w:spacing w:after="0"/>
              <w:rPr>
                <w:sz w:val="20"/>
                <w:szCs w:val="20"/>
                <w:color w:val="auto"/>
              </w:rPr>
            </w:pPr>
            <w:r>
              <w:rPr>
                <w:rFonts w:ascii="Arial" w:cs="Arial" w:eastAsia="Arial" w:hAnsi="Arial"/>
                <w:sz w:val="20"/>
                <w:szCs w:val="20"/>
                <w:color w:val="00162F"/>
              </w:rPr>
              <w:t>15.33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940" w:type="dxa"/>
            <w:vAlign w:val="bottom"/>
            <w:tcBorders>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4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-1071245</wp:posOffset>
            </wp:positionV>
            <wp:extent cx="126047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2">
                      <a:extLst>
                        <a:ext uri="{28A0092B-C50C-407E-A947-70E740481C1C}"/>
                      </a:extLst>
                    </a:blip>
                    <a:srcRect/>
                    <a:stretch>
                      <a:fillRect/>
                    </a:stretch>
                  </pic:blipFill>
                  <pic:spPr bwMode="auto">
                    <a:xfrm>
                      <a:off x="0" y="0"/>
                      <a:ext cx="1260475" cy="25400"/>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-316865</wp:posOffset>
            </wp:positionV>
            <wp:extent cx="126047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3">
                      <a:extLst>
                        <a:ext uri="{28A0092B-C50C-407E-A947-70E740481C1C}"/>
                      </a:extLst>
                    </a:blip>
                    <a:srcRect/>
                    <a:stretch>
                      <a:fillRect/>
                    </a:stretch>
                  </pic:blipFill>
                  <pic:spPr bwMode="auto">
                    <a:xfrm>
                      <a:off x="0" y="0"/>
                      <a:ext cx="1260475" cy="25400"/>
                    </a:xfrm>
                    <a:prstGeom prst="rect">
                      <a:avLst/>
                    </a:prstGeom>
                    <a:noFill/>
                  </pic:spPr>
                </pic:pic>
              </a:graphicData>
            </a:graphic>
          </wp:anchor>
        </w:drawing>
      </w:r>
    </w:p>
    <w:p>
      <w:pPr>
        <w:spacing w:after="0" w:line="14" w:lineRule="exact"/>
        <w:rPr>
          <w:sz w:val="20"/>
          <w:szCs w:val="20"/>
          <w:color w:val="auto"/>
        </w:rPr>
      </w:pPr>
    </w:p>
    <w:p>
      <w:pPr>
        <w:ind w:left="365" w:hanging="365"/>
        <w:spacing w:after="0" w:line="282" w:lineRule="auto"/>
        <w:tabs>
          <w:tab w:leader="none" w:pos="365" w:val="left"/>
        </w:tabs>
        <w:numPr>
          <w:ilvl w:val="0"/>
          <w:numId w:val="63"/>
        </w:numPr>
        <w:rPr>
          <w:rFonts w:ascii="Arial" w:cs="Arial" w:eastAsia="Arial" w:hAnsi="Arial"/>
          <w:sz w:val="13"/>
          <w:szCs w:val="13"/>
          <w:color w:val="00162F"/>
        </w:rPr>
      </w:pPr>
      <w:r>
        <w:rPr>
          <w:rFonts w:ascii="Arial" w:cs="Arial" w:eastAsia="Arial" w:hAnsi="Arial"/>
          <w:sz w:val="20"/>
          <w:szCs w:val="20"/>
          <w:color w:val="00162F"/>
        </w:rPr>
        <w:t>In 2024, the settlement terms of 2.8 million stock-settled RSUs were modified from settlement in AAG common stock to settlement in cash. See table above for further discussion.</w:t>
      </w:r>
    </w:p>
    <w:p>
      <w:pPr>
        <w:spacing w:after="0" w:line="113"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As of December 31, 2025 and 2024, the liability related to CRSUs was $53 million and $39 million, respectively. The CRSU related liability is remeasured at fair value at each reporting date until all awards are vested. As of December 31, 2025, there was $98 million of unrecognized compensation cost related to CRSUs. These costs are expected to be recognized over a weighted average period of one year. The total cash paid for CRSUs vested during the years ended December 31, 2025 and 2024 was $37 million and $18 million, respectively.</w:t>
      </w:r>
    </w:p>
    <w:p>
      <w:pPr>
        <w:spacing w:after="0" w:line="139"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For the year ended December 31, 2023, CRSU award activity was nominal.</w:t>
      </w:r>
    </w:p>
    <w:p>
      <w:pPr>
        <w:spacing w:after="0" w:line="274"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15. Valuation and Qualifying Accounts (in millions)</w:t>
      </w:r>
    </w:p>
    <w:p>
      <w:pPr>
        <w:spacing w:after="0" w:line="158"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3"/>
              <w:spacing w:after="0"/>
              <w:rPr>
                <w:sz w:val="20"/>
                <w:szCs w:val="20"/>
                <w:color w:val="auto"/>
              </w:rPr>
            </w:pPr>
            <w:r>
              <w:rPr>
                <w:rFonts w:ascii="Arial" w:cs="Arial" w:eastAsia="Arial" w:hAnsi="Arial"/>
                <w:sz w:val="16"/>
                <w:szCs w:val="16"/>
                <w:b w:val="1"/>
                <w:bCs w:val="1"/>
                <w:color w:val="00162F"/>
              </w:rPr>
              <w:t>Additions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center"/>
              <w:ind w:right="151"/>
              <w:spacing w:after="0"/>
              <w:rPr>
                <w:sz w:val="20"/>
                <w:szCs w:val="20"/>
                <w:color w:val="auto"/>
              </w:rPr>
            </w:pPr>
            <w:r>
              <w:rPr>
                <w:rFonts w:ascii="Arial" w:cs="Arial" w:eastAsia="Arial" w:hAnsi="Arial"/>
                <w:sz w:val="16"/>
                <w:szCs w:val="16"/>
                <w:b w:val="1"/>
                <w:bCs w:val="1"/>
                <w:color w:val="00162F"/>
                <w:w w:val="97"/>
              </w:rPr>
              <w:t>Balance at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00162F"/>
                <w:w w:val="97"/>
              </w:rPr>
              <w:t>Charged to</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00162F"/>
                <w:w w:val="99"/>
              </w:rPr>
              <w:t>Statement of</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29"/>
              <w:spacing w:after="0"/>
              <w:rPr>
                <w:sz w:val="20"/>
                <w:szCs w:val="20"/>
                <w:color w:val="auto"/>
              </w:rPr>
            </w:pPr>
            <w:r>
              <w:rPr>
                <w:rFonts w:ascii="Arial" w:cs="Arial" w:eastAsia="Arial" w:hAnsi="Arial"/>
                <w:sz w:val="16"/>
                <w:szCs w:val="16"/>
                <w:b w:val="1"/>
                <w:bCs w:val="1"/>
                <w:color w:val="00162F"/>
              </w:rPr>
              <w:t>Deductions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49"/>
              <w:spacing w:after="0"/>
              <w:rPr>
                <w:sz w:val="20"/>
                <w:szCs w:val="20"/>
                <w:color w:val="auto"/>
              </w:rPr>
            </w:pPr>
            <w:r>
              <w:rPr>
                <w:rFonts w:ascii="Arial" w:cs="Arial" w:eastAsia="Arial" w:hAnsi="Arial"/>
                <w:sz w:val="16"/>
                <w:szCs w:val="16"/>
                <w:b w:val="1"/>
                <w:bCs w:val="1"/>
                <w:color w:val="00162F"/>
              </w:rPr>
              <w:t>Balance at</w:t>
            </w: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91"/>
              <w:spacing w:after="0" w:line="158" w:lineRule="exact"/>
              <w:rPr>
                <w:sz w:val="20"/>
                <w:szCs w:val="20"/>
                <w:color w:val="auto"/>
              </w:rPr>
            </w:pPr>
            <w:r>
              <w:rPr>
                <w:rFonts w:ascii="Arial" w:cs="Arial" w:eastAsia="Arial" w:hAnsi="Arial"/>
                <w:sz w:val="16"/>
                <w:szCs w:val="16"/>
                <w:b w:val="1"/>
                <w:bCs w:val="1"/>
                <w:color w:val="00162F"/>
                <w:w w:val="99"/>
              </w:rPr>
              <w:t>Beginning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00162F"/>
                <w:w w:val="99"/>
              </w:rPr>
              <w:t>Operations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560" w:type="dxa"/>
            <w:vAlign w:val="bottom"/>
            <w:tcBorders>
              <w:bottom w:val="single" w:sz="8" w:color="EDEDED"/>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220" w:type="dxa"/>
            <w:vAlign w:val="bottom"/>
            <w:tcBorders>
              <w:bottom w:val="single" w:sz="8" w:color="00162F"/>
            </w:tcBorders>
          </w:tcPr>
          <w:p>
            <w:pPr>
              <w:jc w:val="center"/>
              <w:ind w:right="151"/>
              <w:spacing w:after="0"/>
              <w:rPr>
                <w:sz w:val="20"/>
                <w:szCs w:val="20"/>
                <w:color w:val="auto"/>
              </w:rPr>
            </w:pPr>
            <w:r>
              <w:rPr>
                <w:rFonts w:ascii="Arial" w:cs="Arial" w:eastAsia="Arial" w:hAnsi="Arial"/>
                <w:sz w:val="16"/>
                <w:szCs w:val="16"/>
                <w:b w:val="1"/>
                <w:bCs w:val="1"/>
                <w:color w:val="00162F"/>
                <w:w w:val="99"/>
              </w:rPr>
              <w:t>of Year</w:t>
            </w:r>
          </w:p>
        </w:tc>
        <w:tc>
          <w:tcPr>
            <w:tcW w:w="80" w:type="dxa"/>
            <w:vAlign w:val="bottom"/>
            <w:tcBorders>
              <w:bottom w:val="single" w:sz="8" w:color="EDEDED"/>
            </w:tcBorders>
          </w:tcPr>
          <w:p>
            <w:pPr>
              <w:spacing w:after="0"/>
              <w:rPr>
                <w:sz w:val="18"/>
                <w:szCs w:val="18"/>
                <w:color w:val="auto"/>
              </w:rPr>
            </w:pPr>
          </w:p>
        </w:tc>
        <w:tc>
          <w:tcPr>
            <w:tcW w:w="200" w:type="dxa"/>
            <w:vAlign w:val="bottom"/>
            <w:tcBorders>
              <w:bottom w:val="single" w:sz="8" w:color="00162F"/>
            </w:tcBorders>
          </w:tcPr>
          <w:p>
            <w:pPr>
              <w:spacing w:after="0"/>
              <w:rPr>
                <w:sz w:val="18"/>
                <w:szCs w:val="18"/>
                <w:color w:val="auto"/>
              </w:rPr>
            </w:pPr>
          </w:p>
        </w:tc>
        <w:tc>
          <w:tcPr>
            <w:tcW w:w="1260" w:type="dxa"/>
            <w:vAlign w:val="bottom"/>
            <w:tcBorders>
              <w:bottom w:val="single" w:sz="8" w:color="00162F"/>
            </w:tcBorders>
          </w:tcPr>
          <w:p>
            <w:pPr>
              <w:jc w:val="center"/>
              <w:ind w:right="93"/>
              <w:spacing w:after="0"/>
              <w:rPr>
                <w:sz w:val="20"/>
                <w:szCs w:val="20"/>
                <w:color w:val="auto"/>
              </w:rPr>
            </w:pPr>
            <w:r>
              <w:rPr>
                <w:rFonts w:ascii="Arial" w:cs="Arial" w:eastAsia="Arial" w:hAnsi="Arial"/>
                <w:sz w:val="16"/>
                <w:szCs w:val="16"/>
                <w:b w:val="1"/>
                <w:bCs w:val="1"/>
                <w:color w:val="00162F"/>
                <w:w w:val="98"/>
              </w:rPr>
              <w:t>Accounts</w:t>
            </w:r>
          </w:p>
        </w:tc>
        <w:tc>
          <w:tcPr>
            <w:tcW w:w="80" w:type="dxa"/>
            <w:vAlign w:val="bottom"/>
            <w:tcBorders>
              <w:bottom w:val="single" w:sz="8" w:color="EDEDED"/>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240" w:type="dxa"/>
            <w:vAlign w:val="bottom"/>
            <w:tcBorders>
              <w:bottom w:val="single" w:sz="8" w:color="00162F"/>
            </w:tcBorders>
          </w:tcPr>
          <w:p>
            <w:pPr>
              <w:jc w:val="right"/>
              <w:ind w:right="269"/>
              <w:spacing w:after="0"/>
              <w:rPr>
                <w:sz w:val="20"/>
                <w:szCs w:val="20"/>
                <w:color w:val="auto"/>
              </w:rPr>
            </w:pPr>
            <w:r>
              <w:rPr>
                <w:rFonts w:ascii="Arial" w:cs="Arial" w:eastAsia="Arial" w:hAnsi="Arial"/>
                <w:sz w:val="16"/>
                <w:szCs w:val="16"/>
                <w:b w:val="1"/>
                <w:bCs w:val="1"/>
                <w:color w:val="00162F"/>
              </w:rPr>
              <w:t>and Other</w:t>
            </w:r>
          </w:p>
        </w:tc>
        <w:tc>
          <w:tcPr>
            <w:tcW w:w="60" w:type="dxa"/>
            <w:vAlign w:val="bottom"/>
            <w:tcBorders>
              <w:bottom w:val="single" w:sz="8" w:color="EDEDED"/>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240" w:type="dxa"/>
            <w:vAlign w:val="bottom"/>
            <w:tcBorders>
              <w:bottom w:val="single" w:sz="8" w:color="00162F"/>
            </w:tcBorders>
          </w:tcPr>
          <w:p>
            <w:pPr>
              <w:jc w:val="right"/>
              <w:ind w:right="209"/>
              <w:spacing w:after="0"/>
              <w:rPr>
                <w:sz w:val="20"/>
                <w:szCs w:val="20"/>
                <w:color w:val="auto"/>
              </w:rPr>
            </w:pPr>
            <w:r>
              <w:rPr>
                <w:rFonts w:ascii="Arial" w:cs="Arial" w:eastAsia="Arial" w:hAnsi="Arial"/>
                <w:sz w:val="16"/>
                <w:szCs w:val="16"/>
                <w:b w:val="1"/>
                <w:bCs w:val="1"/>
                <w:color w:val="00162F"/>
              </w:rPr>
              <w:t>End of Year</w:t>
            </w:r>
          </w:p>
        </w:tc>
        <w:tc>
          <w:tcPr>
            <w:tcW w:w="0" w:type="dxa"/>
            <w:vAlign w:val="bottom"/>
          </w:tcPr>
          <w:p>
            <w:pPr>
              <w:spacing w:after="0"/>
              <w:rPr>
                <w:sz w:val="1"/>
                <w:szCs w:val="1"/>
                <w:color w:val="auto"/>
              </w:rPr>
            </w:pPr>
          </w:p>
        </w:tc>
      </w:tr>
      <w:tr>
        <w:trPr>
          <w:trHeight w:val="272"/>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Allowance for obsolescence of spare parts</w:t>
            </w:r>
          </w:p>
        </w:tc>
        <w:tc>
          <w:tcPr>
            <w:tcW w:w="240" w:type="dxa"/>
            <w:vAlign w:val="bottom"/>
            <w:shd w:val="clear" w:color="auto" w:fill="EDEDED"/>
          </w:tcPr>
          <w:p>
            <w:pPr>
              <w:spacing w:after="0"/>
              <w:rPr>
                <w:sz w:val="23"/>
                <w:szCs w:val="23"/>
                <w:color w:val="auto"/>
              </w:rPr>
            </w:pPr>
          </w:p>
        </w:tc>
        <w:tc>
          <w:tcPr>
            <w:tcW w:w="122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200" w:type="dxa"/>
            <w:vAlign w:val="bottom"/>
            <w:shd w:val="clear" w:color="auto" w:fill="EDEDED"/>
          </w:tcPr>
          <w:p>
            <w:pPr>
              <w:spacing w:after="0"/>
              <w:rPr>
                <w:sz w:val="23"/>
                <w:szCs w:val="23"/>
                <w:color w:val="auto"/>
              </w:rPr>
            </w:pPr>
          </w:p>
        </w:tc>
        <w:tc>
          <w:tcPr>
            <w:tcW w:w="126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240" w:type="dxa"/>
            <w:vAlign w:val="bottom"/>
            <w:shd w:val="clear" w:color="auto" w:fill="EDEDED"/>
          </w:tcPr>
          <w:p>
            <w:pPr>
              <w:spacing w:after="0"/>
              <w:rPr>
                <w:sz w:val="23"/>
                <w:szCs w:val="23"/>
                <w:color w:val="auto"/>
              </w:rPr>
            </w:pPr>
          </w:p>
        </w:tc>
        <w:tc>
          <w:tcPr>
            <w:tcW w:w="1240" w:type="dxa"/>
            <w:vAlign w:val="bottom"/>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240" w:type="dxa"/>
            <w:vAlign w:val="bottom"/>
            <w:shd w:val="clear" w:color="auto" w:fill="EDEDED"/>
          </w:tcPr>
          <w:p>
            <w:pPr>
              <w:spacing w:after="0"/>
              <w:rPr>
                <w:sz w:val="23"/>
                <w:szCs w:val="23"/>
                <w:color w:val="auto"/>
              </w:rPr>
            </w:pPr>
          </w:p>
        </w:tc>
        <w:tc>
          <w:tcPr>
            <w:tcW w:w="124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560" w:type="dxa"/>
            <w:vAlign w:val="bottom"/>
          </w:tcPr>
          <w:p>
            <w:pPr>
              <w:ind w:left="180"/>
              <w:spacing w:after="0"/>
              <w:rPr>
                <w:sz w:val="20"/>
                <w:szCs w:val="20"/>
                <w:color w:val="auto"/>
              </w:rPr>
            </w:pPr>
            <w:r>
              <w:rPr>
                <w:rFonts w:ascii="Arial" w:cs="Arial" w:eastAsia="Arial" w:hAnsi="Arial"/>
                <w:sz w:val="20"/>
                <w:szCs w:val="20"/>
                <w:color w:val="00162F"/>
              </w:rPr>
              <w:t>Year ended December 31, 2025</w:t>
            </w:r>
          </w:p>
        </w:tc>
        <w:tc>
          <w:tcPr>
            <w:tcW w:w="240" w:type="dxa"/>
            <w:vAlign w:val="bottom"/>
          </w:tcPr>
          <w:p>
            <w:pPr>
              <w:jc w:val="right"/>
              <w:spacing w:after="0"/>
              <w:rPr>
                <w:sz w:val="20"/>
                <w:szCs w:val="20"/>
                <w:color w:val="auto"/>
              </w:rPr>
            </w:pPr>
            <w:r>
              <w:rPr>
                <w:rFonts w:ascii="Arial" w:cs="Arial" w:eastAsia="Arial" w:hAnsi="Arial"/>
                <w:sz w:val="20"/>
                <w:szCs w:val="20"/>
                <w:color w:val="00162F"/>
              </w:rPr>
              <w:t>$</w:t>
            </w:r>
          </w:p>
        </w:tc>
        <w:tc>
          <w:tcPr>
            <w:tcW w:w="1220" w:type="dxa"/>
            <w:vAlign w:val="bottom"/>
          </w:tcPr>
          <w:p>
            <w:pPr>
              <w:jc w:val="right"/>
              <w:spacing w:after="0"/>
              <w:rPr>
                <w:sz w:val="20"/>
                <w:szCs w:val="20"/>
                <w:color w:val="auto"/>
              </w:rPr>
            </w:pPr>
            <w:r>
              <w:rPr>
                <w:rFonts w:ascii="Arial" w:cs="Arial" w:eastAsia="Arial" w:hAnsi="Arial"/>
                <w:sz w:val="20"/>
                <w:szCs w:val="20"/>
                <w:color w:val="00162F"/>
              </w:rPr>
              <w:t>797</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00162F"/>
              </w:rPr>
              <w:t>$</w:t>
            </w:r>
          </w:p>
        </w:tc>
        <w:tc>
          <w:tcPr>
            <w:tcW w:w="1260" w:type="dxa"/>
            <w:vAlign w:val="bottom"/>
          </w:tcPr>
          <w:p>
            <w:pPr>
              <w:jc w:val="right"/>
              <w:spacing w:after="0"/>
              <w:rPr>
                <w:sz w:val="20"/>
                <w:szCs w:val="20"/>
                <w:color w:val="auto"/>
              </w:rPr>
            </w:pPr>
            <w:r>
              <w:rPr>
                <w:rFonts w:ascii="Arial" w:cs="Arial" w:eastAsia="Arial" w:hAnsi="Arial"/>
                <w:sz w:val="20"/>
                <w:szCs w:val="20"/>
                <w:color w:val="00162F"/>
              </w:rPr>
              <w:t>129</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00162F"/>
              </w:rPr>
              <w:t>$</w:t>
            </w:r>
          </w:p>
        </w:tc>
        <w:tc>
          <w:tcPr>
            <w:tcW w:w="1240" w:type="dxa"/>
            <w:vAlign w:val="bottom"/>
          </w:tcPr>
          <w:p>
            <w:pPr>
              <w:jc w:val="right"/>
              <w:spacing w:after="0"/>
              <w:rPr>
                <w:sz w:val="20"/>
                <w:szCs w:val="20"/>
                <w:color w:val="auto"/>
              </w:rPr>
            </w:pPr>
            <w:r>
              <w:rPr>
                <w:rFonts w:ascii="Arial" w:cs="Arial" w:eastAsia="Arial" w:hAnsi="Arial"/>
                <w:sz w:val="20"/>
                <w:szCs w:val="20"/>
                <w:color w:val="00162F"/>
              </w:rPr>
              <w:t>(26)</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00162F"/>
              </w:rPr>
              <w:t>$</w:t>
            </w:r>
          </w:p>
        </w:tc>
        <w:tc>
          <w:tcPr>
            <w:tcW w:w="1240" w:type="dxa"/>
            <w:vAlign w:val="bottom"/>
          </w:tcPr>
          <w:p>
            <w:pPr>
              <w:jc w:val="right"/>
              <w:spacing w:after="0"/>
              <w:rPr>
                <w:sz w:val="20"/>
                <w:szCs w:val="20"/>
                <w:color w:val="auto"/>
              </w:rPr>
            </w:pPr>
            <w:r>
              <w:rPr>
                <w:rFonts w:ascii="Arial" w:cs="Arial" w:eastAsia="Arial" w:hAnsi="Arial"/>
                <w:sz w:val="20"/>
                <w:szCs w:val="20"/>
                <w:color w:val="00162F"/>
              </w:rPr>
              <w:t>900</w:t>
            </w:r>
          </w:p>
        </w:tc>
        <w:tc>
          <w:tcPr>
            <w:tcW w:w="0" w:type="dxa"/>
            <w:vAlign w:val="bottom"/>
          </w:tcPr>
          <w:p>
            <w:pPr>
              <w:spacing w:after="0"/>
              <w:rPr>
                <w:sz w:val="1"/>
                <w:szCs w:val="1"/>
                <w:color w:val="auto"/>
              </w:rPr>
            </w:pPr>
          </w:p>
        </w:tc>
      </w:tr>
      <w:tr>
        <w:trPr>
          <w:trHeight w:val="286"/>
        </w:trPr>
        <w:tc>
          <w:tcPr>
            <w:tcW w:w="45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Year ended December 31, 2024</w:t>
            </w:r>
          </w:p>
        </w:tc>
        <w:tc>
          <w:tcPr>
            <w:tcW w:w="240" w:type="dxa"/>
            <w:vAlign w:val="bottom"/>
            <w:shd w:val="clear" w:color="auto" w:fill="EDEDED"/>
          </w:tcPr>
          <w:p>
            <w:pPr>
              <w:spacing w:after="0"/>
              <w:rPr>
                <w:sz w:val="24"/>
                <w:szCs w:val="24"/>
                <w:color w:val="auto"/>
              </w:rPr>
            </w:pPr>
          </w:p>
        </w:tc>
        <w:tc>
          <w:tcPr>
            <w:tcW w:w="12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728</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116</w:t>
            </w:r>
          </w:p>
        </w:tc>
        <w:tc>
          <w:tcPr>
            <w:tcW w:w="8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(47)</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797</w:t>
            </w:r>
          </w:p>
        </w:tc>
        <w:tc>
          <w:tcPr>
            <w:tcW w:w="0" w:type="dxa"/>
            <w:vAlign w:val="bottom"/>
          </w:tcPr>
          <w:p>
            <w:pPr>
              <w:spacing w:after="0"/>
              <w:rPr>
                <w:sz w:val="1"/>
                <w:szCs w:val="1"/>
                <w:color w:val="auto"/>
              </w:rPr>
            </w:pPr>
          </w:p>
        </w:tc>
      </w:tr>
      <w:tr>
        <w:trPr>
          <w:trHeight w:val="275"/>
        </w:trPr>
        <w:tc>
          <w:tcPr>
            <w:tcW w:w="4560" w:type="dxa"/>
            <w:vAlign w:val="bottom"/>
          </w:tcPr>
          <w:p>
            <w:pPr>
              <w:ind w:left="180"/>
              <w:spacing w:after="0"/>
              <w:rPr>
                <w:sz w:val="20"/>
                <w:szCs w:val="20"/>
                <w:color w:val="auto"/>
              </w:rPr>
            </w:pPr>
            <w:r>
              <w:rPr>
                <w:rFonts w:ascii="Arial" w:cs="Arial" w:eastAsia="Arial" w:hAnsi="Arial"/>
                <w:sz w:val="20"/>
                <w:szCs w:val="20"/>
                <w:color w:val="00162F"/>
              </w:rPr>
              <w:t>Year ended December 31, 2023</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00162F"/>
              </w:rPr>
              <w:t>616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00162F"/>
              </w:rPr>
              <w:t>98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14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728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-723900</wp:posOffset>
            </wp:positionV>
            <wp:extent cx="390017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4">
                      <a:extLst>
                        <a:ext uri="{28A0092B-C50C-407E-A947-70E740481C1C}"/>
                      </a:extLst>
                    </a:blip>
                    <a:srcRect/>
                    <a:stretch>
                      <a:fillRect/>
                    </a:stretch>
                  </pic:blipFill>
                  <pic:spPr bwMode="auto">
                    <a:xfrm>
                      <a:off x="0" y="0"/>
                      <a:ext cx="3900170" cy="25400"/>
                    </a:xfrm>
                    <a:prstGeom prst="rect">
                      <a:avLst/>
                    </a:prstGeom>
                    <a:noFill/>
                  </pic:spPr>
                </pic:pic>
              </a:graphicData>
            </a:graphic>
          </wp:anchor>
        </w:drawing>
      </w:r>
    </w:p>
    <w:p>
      <w:pPr>
        <w:spacing w:after="0" w:line="298"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16. Subsequent Events</w:t>
      </w:r>
    </w:p>
    <w:p>
      <w:pPr>
        <w:spacing w:after="0" w:line="99" w:lineRule="exact"/>
        <w:rPr>
          <w:sz w:val="20"/>
          <w:szCs w:val="20"/>
          <w:color w:val="auto"/>
        </w:rPr>
      </w:pPr>
    </w:p>
    <w:p>
      <w:pPr>
        <w:ind w:left="265"/>
        <w:spacing w:after="0"/>
        <w:rPr>
          <w:sz w:val="20"/>
          <w:szCs w:val="20"/>
          <w:color w:val="auto"/>
        </w:rPr>
      </w:pPr>
      <w:r>
        <w:rPr>
          <w:rFonts w:ascii="Arial" w:cs="Arial" w:eastAsia="Arial" w:hAnsi="Arial"/>
          <w:sz w:val="20"/>
          <w:szCs w:val="20"/>
          <w:i w:val="1"/>
          <w:iCs w:val="1"/>
          <w:u w:val="single" w:color="auto"/>
          <w:color w:val="00162F"/>
        </w:rPr>
        <w:t>8.50% Senior Secured Notes</w:t>
      </w:r>
    </w:p>
    <w:p>
      <w:pPr>
        <w:spacing w:after="0" w:line="95"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In the first quarter of 2026, American sent irrevocable notice of redemption to prepay the outstanding principal amount of its 8.50% Senior Secured Notes. American intends to fund these prepayments with proceeds from anticipated debt issuances and cash on hand.</w:t>
      </w:r>
    </w:p>
    <w:p>
      <w:pPr>
        <w:spacing w:after="0" w:line="220" w:lineRule="exact"/>
        <w:rPr>
          <w:sz w:val="20"/>
          <w:szCs w:val="20"/>
          <w:color w:val="auto"/>
        </w:rPr>
      </w:pPr>
    </w:p>
    <w:p>
      <w:pPr>
        <w:ind w:left="265"/>
        <w:spacing w:after="0"/>
        <w:rPr>
          <w:sz w:val="20"/>
          <w:szCs w:val="20"/>
          <w:color w:val="auto"/>
        </w:rPr>
      </w:pPr>
      <w:r>
        <w:rPr>
          <w:rFonts w:ascii="Arial" w:cs="Arial" w:eastAsia="Arial" w:hAnsi="Arial"/>
          <w:sz w:val="20"/>
          <w:szCs w:val="20"/>
          <w:i w:val="1"/>
          <w:iCs w:val="1"/>
          <w:u w:val="single" w:color="auto"/>
          <w:color w:val="00162F"/>
        </w:rPr>
        <w:t>AAdvantage Financing</w:t>
      </w:r>
    </w:p>
    <w:p>
      <w:pPr>
        <w:spacing w:after="0" w:line="95" w:lineRule="exact"/>
        <w:rPr>
          <w:sz w:val="20"/>
          <w:szCs w:val="20"/>
          <w:color w:val="auto"/>
        </w:rPr>
      </w:pPr>
    </w:p>
    <w:p>
      <w:pPr>
        <w:jc w:val="both"/>
        <w:ind w:left="5" w:firstLine="267"/>
        <w:spacing w:after="0" w:line="253" w:lineRule="auto"/>
        <w:rPr>
          <w:sz w:val="20"/>
          <w:szCs w:val="20"/>
          <w:color w:val="auto"/>
        </w:rPr>
      </w:pPr>
      <w:r>
        <w:rPr>
          <w:rFonts w:ascii="Arial" w:cs="Arial" w:eastAsia="Arial" w:hAnsi="Arial"/>
          <w:sz w:val="20"/>
          <w:szCs w:val="20"/>
          <w:color w:val="00162F"/>
        </w:rPr>
        <w:t>On February 12, 2026, the AAdvantage Issuers entered into a fourth amendment to the term loan credit and guaranty agreement dated March 24, 2021 (the Fourth Amendment). As a result of the Fourth Amendment, the term loans outstanding under the 2025 AAdvantage Term Loan Facility were replaced with new term loans in the same principal amount. Pursuant to the Fourth Amendment, the 2025 AAdvantage Term Loan Facility bears interest at a base rate (subject to a floor of 0.00%) plus an applicable margin of 1.75% per annum or, at the AAdvantage Issuers’ option, the SOFR rate for a tenor of three months (subject to a floor of 0.00%), plus an applicable margin of 2.75% per annum. All other terms of the 2025 AAdvantage Term Loan Facility remain substantially similar.</w:t>
      </w:r>
    </w:p>
    <w:p>
      <w:pPr>
        <w:sectPr>
          <w:pgSz w:w="11880" w:h="15480" w:orient="portrait"/>
          <w:cols w:equalWidth="0" w:num="1">
            <w:col w:w="10685"/>
          </w:cols>
          <w:pgMar w:left="595" w:top="48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125</w:t>
      </w:r>
    </w:p>
    <w:p>
      <w:pPr>
        <w:sectPr>
          <w:pgSz w:w="11880" w:h="15480" w:orient="portrait"/>
          <w:cols w:equalWidth="0" w:num="1">
            <w:col w:w="10685"/>
          </w:cols>
          <w:pgMar w:left="595" w:top="487" w:right="600" w:bottom="0" w:gutter="0" w:footer="0" w:header="0"/>
          <w:type w:val="continuous"/>
        </w:sectPr>
      </w:pPr>
    </w:p>
    <w:bookmarkStart w:id="126" w:name="page127"/>
    <w:bookmarkEnd w:id="126"/>
    <w:p>
      <w:pPr>
        <w:ind w:right="300"/>
        <w:spacing w:after="0" w:line="293" w:lineRule="auto"/>
        <w:rPr>
          <w:sz w:val="20"/>
          <w:szCs w:val="20"/>
          <w:color w:val="auto"/>
        </w:rPr>
      </w:pPr>
      <w:r>
        <w:rPr>
          <w:rFonts w:ascii="Arial" w:cs="Arial" w:eastAsia="Arial" w:hAnsi="Arial"/>
          <w:sz w:val="20"/>
          <w:szCs w:val="20"/>
          <w:b w:val="1"/>
          <w:bCs w:val="1"/>
          <w:color w:val="00162F"/>
        </w:rPr>
        <w:t>ITEM 8B. CONSOLIDATED FINANCIAL STATEMENTS AND SUPPLEMENTARY DATA OF AMERICAN AIRLINES, INC.</w:t>
      </w:r>
    </w:p>
    <w:p>
      <w:pPr>
        <w:spacing w:after="0" w:line="92"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00162F"/>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00162F"/>
        </w:rPr>
        <w:t>To the Stockholder and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0162F"/>
        </w:rPr>
        <w:t>American Airlines, Inc.:</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i w:val="1"/>
          <w:iCs w:val="1"/>
          <w:color w:val="00162F"/>
        </w:rPr>
        <w:t>Opinion on the Consolidated Financial Statements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00162F"/>
        </w:rPr>
        <w:t>We have audited the accompanying consolidated balance sheets of American Airlines, Inc. and subsidiaries (American) as of December 31, 2025 and 2024, the related consolidated statements of operations, comprehensive income, cash flows, and stockholder’s equity for each of the years in the three-year period ended December 31, 2025, and the related notes (collectively, the consolidated financial statements). In our opinion, the consolidated financial statements present fairly, in all material respects, the financial position of American as of December 31, 2025 and 2024, and the results of its operations and its cash flows for each of the years in the three-year period ended December 31, 2025, in conformity with U.S. generally accepted accounting principles.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00162F"/>
        </w:rPr>
        <w:t xml:space="preserve">We also have audited, in accordance with the standards of the Public Company Accounting Oversight Board (United States) (PCAOB), American’s internal control over financial reporting as of December 31, 2025, based on criteria established in </w:t>
      </w:r>
      <w:r>
        <w:rPr>
          <w:rFonts w:ascii="Arial" w:cs="Arial" w:eastAsia="Arial" w:hAnsi="Arial"/>
          <w:sz w:val="20"/>
          <w:szCs w:val="20"/>
          <w:i w:val="1"/>
          <w:iCs w:val="1"/>
          <w:color w:val="00162F"/>
        </w:rPr>
        <w:t>Internal Control</w:t>
      </w:r>
      <w:r>
        <w:rPr>
          <w:rFonts w:ascii="Arial" w:cs="Arial" w:eastAsia="Arial" w:hAnsi="Arial"/>
          <w:sz w:val="20"/>
          <w:szCs w:val="20"/>
          <w:color w:val="00162F"/>
        </w:rPr>
        <w:t xml:space="preserve"> – </w:t>
      </w:r>
      <w:r>
        <w:rPr>
          <w:rFonts w:ascii="Arial" w:cs="Arial" w:eastAsia="Arial" w:hAnsi="Arial"/>
          <w:sz w:val="20"/>
          <w:szCs w:val="20"/>
          <w:i w:val="1"/>
          <w:iCs w:val="1"/>
          <w:color w:val="00162F"/>
        </w:rPr>
        <w:t>Integrated Framework (2013)</w:t>
      </w:r>
      <w:r>
        <w:rPr>
          <w:rFonts w:ascii="Arial" w:cs="Arial" w:eastAsia="Arial" w:hAnsi="Arial"/>
          <w:sz w:val="20"/>
          <w:szCs w:val="20"/>
          <w:color w:val="00162F"/>
        </w:rPr>
        <w:t xml:space="preserve"> issued by the Committee of Sponsoring Organizations of the Treadway Commission, and our report dated February 18, 2026 expressed an unqualified opinion on the effectiveness of American’s internal control over financial reporting.</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i w:val="1"/>
          <w:iCs w:val="1"/>
          <w:color w:val="00162F"/>
        </w:rPr>
        <w:t>Basis for Opinion</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00162F"/>
        </w:rPr>
        <w:t>These consolidated financial statements are the responsibility of American’s management. Our responsibility is to express an opinion on these consolidated financial statements based on our audits.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00162F"/>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126</w:t>
      </w:r>
    </w:p>
    <w:p>
      <w:pPr>
        <w:sectPr>
          <w:pgSz w:w="11880" w:h="15480" w:orient="portrait"/>
          <w:cols w:equalWidth="0" w:num="1">
            <w:col w:w="10680"/>
          </w:cols>
          <w:pgMar w:left="600" w:top="992" w:right="600"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i w:val="1"/>
          <w:iCs w:val="1"/>
          <w:color w:val="00162F"/>
        </w:rPr>
        <w:t>Critical Audit Matter</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00162F"/>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00162F"/>
        </w:rPr>
        <w:t>Sufficiency of audit evidence over the realizability of tax net operating loss and other carryforwards</w:t>
      </w:r>
    </w:p>
    <w:p>
      <w:pPr>
        <w:spacing w:after="0" w:line="95" w:lineRule="exact"/>
        <w:rPr>
          <w:sz w:val="20"/>
          <w:szCs w:val="20"/>
          <w:color w:val="auto"/>
        </w:rPr>
      </w:pPr>
    </w:p>
    <w:p>
      <w:pPr>
        <w:jc w:val="both"/>
        <w:ind w:left="360"/>
        <w:spacing w:after="0" w:line="254" w:lineRule="auto"/>
        <w:rPr>
          <w:sz w:val="20"/>
          <w:szCs w:val="20"/>
          <w:color w:val="auto"/>
        </w:rPr>
      </w:pPr>
      <w:r>
        <w:rPr>
          <w:rFonts w:ascii="Arial" w:cs="Arial" w:eastAsia="Arial" w:hAnsi="Arial"/>
          <w:sz w:val="20"/>
          <w:szCs w:val="20"/>
          <w:color w:val="00162F"/>
        </w:rPr>
        <w:t>As discussed in Notes 1(i) and 5 to the consolidated financial statements, American had $3.6 billion of tax net operating loss and other carryforwards, which are recorded as deferred tax assets at December 31, 2025. Deferred tax assets are recognized related to tax net operating loss and other carryforwards that will reduce future taxable income. American provides a valuation allowance for deferred tax assets when it is more likely than not that some portion, or all of the deferred tax assets, will not be realized. In evaluating the need for a valuation allowance, management considers the weighting of all available positive and negative evidence.</w:t>
      </w:r>
    </w:p>
    <w:p>
      <w:pPr>
        <w:spacing w:after="0" w:line="143" w:lineRule="exact"/>
        <w:rPr>
          <w:sz w:val="20"/>
          <w:szCs w:val="20"/>
          <w:color w:val="auto"/>
        </w:rPr>
      </w:pPr>
    </w:p>
    <w:p>
      <w:pPr>
        <w:jc w:val="both"/>
        <w:ind w:left="360"/>
        <w:spacing w:after="0" w:line="259" w:lineRule="auto"/>
        <w:rPr>
          <w:sz w:val="20"/>
          <w:szCs w:val="20"/>
          <w:color w:val="auto"/>
        </w:rPr>
      </w:pPr>
      <w:r>
        <w:rPr>
          <w:rFonts w:ascii="Arial" w:cs="Arial" w:eastAsia="Arial" w:hAnsi="Arial"/>
          <w:sz w:val="20"/>
          <w:szCs w:val="20"/>
          <w:color w:val="00162F"/>
        </w:rPr>
        <w:t>We identified the evaluation of the sufficiency of audit evidence over the realizability of federal tax net operating loss and other carryforwards as a critical audit matter. Evaluating the sufficiency of audit evidence required subjective auditor judgment in order to assess the extent of procedures performed in assessing the realizability of the federal tax net operating loss and other carryforwards.</w:t>
      </w:r>
    </w:p>
    <w:p>
      <w:pPr>
        <w:spacing w:after="0" w:line="136" w:lineRule="exact"/>
        <w:rPr>
          <w:sz w:val="20"/>
          <w:szCs w:val="20"/>
          <w:color w:val="auto"/>
        </w:rPr>
      </w:pPr>
    </w:p>
    <w:p>
      <w:pPr>
        <w:jc w:val="both"/>
        <w:ind w:left="360"/>
        <w:spacing w:after="0" w:line="252" w:lineRule="auto"/>
        <w:rPr>
          <w:sz w:val="20"/>
          <w:szCs w:val="20"/>
          <w:color w:val="auto"/>
        </w:rPr>
      </w:pPr>
      <w:r>
        <w:rPr>
          <w:rFonts w:ascii="Arial" w:cs="Arial" w:eastAsia="Arial" w:hAnsi="Arial"/>
          <w:sz w:val="20"/>
          <w:szCs w:val="20"/>
          <w:color w:val="00162F"/>
        </w:rPr>
        <w:t>The following are the primary procedures we performed to address this critical audit matter. We evaluated the design and tested the operating effectiveness of certain internal controls related to American’s deferred tax asset valuation allowance process, including controls related to the realizability of federal tax net operating loss and other carryforwards. We evaluated positive and negative evidence used in assessing whether the federal tax net operating loss and other carryforwards were more likely than not to be realized in the future. We evaluated the reasonableness of management’s projections of future profitability considering historical profitability of American, and consistency with industry data. We involved tax professionals with specialized skills and knowledge, who assisted in evaluating the application of tax law. We assessed the sufficiency of audit evidence obtained over the realizability of the federal tax net operating loss and other carryforwards by evaluating the cumulative results of the audit procedures.</w:t>
      </w:r>
    </w:p>
    <w:p>
      <w:pPr>
        <w:spacing w:after="0" w:line="143"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20"/>
          <w:szCs w:val="20"/>
          <w:color w:val="00162F"/>
        </w:rPr>
        <w:t>/s/</w:t>
        <w:tab/>
        <w:t>KPMG LLP</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00162F"/>
        </w:rPr>
        <w:t>We have served as American’s auditor since 2014.</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0162F"/>
        </w:rPr>
        <w:t>Dallas, Texas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0162F"/>
        </w:rPr>
        <w:t>February 18, 2026</w:t>
      </w:r>
    </w:p>
    <w:p>
      <w:pPr>
        <w:sectPr>
          <w:pgSz w:w="11880" w:h="15480" w:orient="portrait"/>
          <w:cols w:equalWidth="0" w:num="1">
            <w:col w:w="10680"/>
          </w:cols>
          <w:pgMar w:left="600" w:top="99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127</w:t>
      </w:r>
    </w:p>
    <w:p>
      <w:pPr>
        <w:sectPr>
          <w:pgSz w:w="11880" w:h="15480" w:orient="portrait"/>
          <w:cols w:equalWidth="0" w:num="1">
            <w:col w:w="10680"/>
          </w:cols>
          <w:pgMar w:left="600" w:top="994" w:right="600" w:bottom="0" w:gutter="0" w:footer="0" w:header="0"/>
          <w:type w:val="continuous"/>
        </w:sectPr>
      </w:pPr>
    </w:p>
    <w:bookmarkStart w:id="128" w:name="page129"/>
    <w:bookmarkEnd w:id="128"/>
    <w:p>
      <w:pPr>
        <w:jc w:val="center"/>
        <w:ind w:right="40"/>
        <w:spacing w:after="0"/>
        <w:rPr>
          <w:sz w:val="20"/>
          <w:szCs w:val="20"/>
          <w:color w:val="auto"/>
        </w:rPr>
      </w:pPr>
      <w:r>
        <w:rPr>
          <w:rFonts w:ascii="Arial" w:cs="Arial" w:eastAsia="Arial" w:hAnsi="Arial"/>
          <w:sz w:val="20"/>
          <w:szCs w:val="20"/>
          <w:b w:val="1"/>
          <w:bCs w:val="1"/>
          <w:color w:val="00162F"/>
        </w:rPr>
        <w:t>AMERICAN AIRLINES, INC.</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00162F"/>
        </w:rPr>
        <w:t>CONSOLIDATED STATEMENTS OF OPERATIONS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162F"/>
        </w:rPr>
        <w:t>(In millions)</w:t>
      </w:r>
    </w:p>
    <w:p>
      <w:pPr>
        <w:spacing w:after="0" w:line="256" w:lineRule="exact"/>
        <w:rPr>
          <w:sz w:val="20"/>
          <w:szCs w:val="20"/>
          <w:color w:val="auto"/>
        </w:rPr>
      </w:pPr>
    </w:p>
    <w:p>
      <w:pPr>
        <w:jc w:val="center"/>
        <w:ind w:left="6220"/>
        <w:spacing w:after="0"/>
        <w:rPr>
          <w:sz w:val="20"/>
          <w:szCs w:val="20"/>
          <w:color w:val="auto"/>
        </w:rPr>
      </w:pPr>
      <w:r>
        <w:rPr>
          <w:rFonts w:ascii="Arial" w:cs="Arial" w:eastAsia="Arial" w:hAnsi="Arial"/>
          <w:sz w:val="16"/>
          <w:szCs w:val="16"/>
          <w:b w:val="1"/>
          <w:bCs w:val="1"/>
          <w:color w:val="00162F"/>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18415</wp:posOffset>
            </wp:positionV>
            <wp:extent cx="2837815"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5">
                      <a:extLst>
                        <a:ext uri="{28A0092B-C50C-407E-A947-70E740481C1C}"/>
                      </a:extLst>
                    </a:blip>
                    <a:srcRect/>
                    <a:stretch>
                      <a:fillRect/>
                    </a:stretch>
                  </pic:blipFill>
                  <pic:spPr bwMode="auto">
                    <a:xfrm>
                      <a:off x="0" y="0"/>
                      <a:ext cx="2837815" cy="12700"/>
                    </a:xfrm>
                    <a:prstGeom prst="rect">
                      <a:avLst/>
                    </a:prstGeom>
                    <a:noFill/>
                  </pic:spPr>
                </pic:pic>
              </a:graphicData>
            </a:graphic>
          </wp:anchor>
        </w:drawing>
      </w:r>
    </w:p>
    <w:p>
      <w:pPr>
        <w:spacing w:after="0" w:line="34" w:lineRule="exact"/>
        <w:rPr>
          <w:sz w:val="20"/>
          <w:szCs w:val="20"/>
          <w:color w:val="auto"/>
        </w:rPr>
      </w:pPr>
    </w:p>
    <w:p>
      <w:pPr>
        <w:jc w:val="both"/>
        <w:ind w:left="6720"/>
        <w:spacing w:after="0"/>
        <w:tabs>
          <w:tab w:leader="none" w:pos="8220" w:val="left"/>
          <w:tab w:leader="none" w:pos="9720" w:val="left"/>
        </w:tabs>
        <w:rPr>
          <w:sz w:val="20"/>
          <w:szCs w:val="20"/>
          <w:color w:val="auto"/>
        </w:rPr>
      </w:pPr>
      <w:r>
        <w:rPr>
          <w:rFonts w:ascii="Arial" w:cs="Arial" w:eastAsia="Arial" w:hAnsi="Arial"/>
          <w:sz w:val="16"/>
          <w:szCs w:val="16"/>
          <w:b w:val="1"/>
          <w:bCs w:val="1"/>
          <w:color w:val="00162F"/>
        </w:rPr>
        <w:t>2025</w:t>
      </w:r>
      <w:r>
        <w:rPr>
          <w:sz w:val="20"/>
          <w:szCs w:val="20"/>
          <w:color w:val="auto"/>
        </w:rPr>
        <w:tab/>
      </w:r>
      <w:r>
        <w:rPr>
          <w:rFonts w:ascii="Arial" w:cs="Arial" w:eastAsia="Arial" w:hAnsi="Arial"/>
          <w:sz w:val="16"/>
          <w:szCs w:val="16"/>
          <w:b w:val="1"/>
          <w:bCs w:val="1"/>
          <w:color w:val="00162F"/>
        </w:rPr>
        <w:t>2024</w:t>
      </w:r>
      <w:r>
        <w:rPr>
          <w:sz w:val="20"/>
          <w:szCs w:val="20"/>
          <w:color w:val="auto"/>
        </w:rPr>
        <w:tab/>
      </w:r>
      <w:r>
        <w:rPr>
          <w:rFonts w:ascii="Arial" w:cs="Arial" w:eastAsia="Arial" w:hAnsi="Arial"/>
          <w:sz w:val="16"/>
          <w:szCs w:val="16"/>
          <w:b w:val="1"/>
          <w:bCs w:val="1"/>
          <w:color w:val="00162F"/>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12065</wp:posOffset>
            </wp:positionV>
            <wp:extent cx="6800850" cy="1917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6">
                      <a:extLst>
                        <a:ext uri="{28A0092B-C50C-407E-A947-70E740481C1C}"/>
                      </a:extLst>
                    </a:blip>
                    <a:srcRect/>
                    <a:stretch>
                      <a:fillRect/>
                    </a:stretch>
                  </pic:blipFill>
                  <pic:spPr bwMode="auto">
                    <a:xfrm>
                      <a:off x="0" y="0"/>
                      <a:ext cx="6800850" cy="191770"/>
                    </a:xfrm>
                    <a:prstGeom prst="rect">
                      <a:avLst/>
                    </a:prstGeom>
                    <a:noFill/>
                  </pic:spPr>
                </pic:pic>
              </a:graphicData>
            </a:graphic>
          </wp:anchor>
        </w:drawing>
      </w:r>
    </w:p>
    <w:p>
      <w:pPr>
        <w:sectPr>
          <w:pgSz w:w="11880" w:h="15480" w:orient="portrait"/>
          <w:cols w:equalWidth="0" w:num="1">
            <w:col w:w="10640"/>
          </w:cols>
          <w:pgMar w:left="640" w:top="992" w:right="600" w:bottom="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Operating revenues: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Passenger</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Cargo</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Other</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20"/>
          <w:szCs w:val="20"/>
          <w:color w:val="00162F"/>
        </w:rPr>
        <w:t>Total operating revenues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Operating expenses: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Aircraft fuel and related taxes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Salaries, wages and benefits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Regional expenses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00162F"/>
        </w:rPr>
        <w:t>Maintenance, materials and repairs</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Other rent and landing fees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Aircraft rent</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Selling expenses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Depreciation and amortization</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Special items, net</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Other</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20"/>
          <w:szCs w:val="20"/>
          <w:color w:val="00162F"/>
        </w:rPr>
        <w:t>Total operating expenses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Operating income</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Nonoperating income (expense):</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Interest income</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Interest expense, net</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Other income (expense), net</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20"/>
          <w:szCs w:val="20"/>
          <w:color w:val="00162F"/>
        </w:rPr>
        <w:t>Total nonoperating expense, net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Income before income taxes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20"/>
          <w:szCs w:val="20"/>
          <w:color w:val="00162F"/>
        </w:rPr>
        <w:t>Income tax provision</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Net income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460" w:type="dxa"/>
            <w:vAlign w:val="bottom"/>
          </w:tcPr>
          <w:p>
            <w:pPr>
              <w:jc w:val="right"/>
              <w:ind w:right="201"/>
              <w:spacing w:after="0"/>
              <w:rPr>
                <w:sz w:val="20"/>
                <w:szCs w:val="20"/>
                <w:color w:val="auto"/>
              </w:rPr>
            </w:pPr>
            <w:r>
              <w:rPr>
                <w:rFonts w:ascii="Arial" w:cs="Arial" w:eastAsia="Arial" w:hAnsi="Arial"/>
                <w:sz w:val="20"/>
                <w:szCs w:val="20"/>
                <w:color w:val="00162F"/>
              </w:rPr>
              <w:t>$</w:t>
            </w:r>
          </w:p>
        </w:tc>
        <w:tc>
          <w:tcPr>
            <w:tcW w:w="980" w:type="dxa"/>
            <w:vAlign w:val="bottom"/>
          </w:tcPr>
          <w:p>
            <w:pPr>
              <w:jc w:val="right"/>
              <w:spacing w:after="0"/>
              <w:rPr>
                <w:sz w:val="20"/>
                <w:szCs w:val="20"/>
                <w:color w:val="auto"/>
              </w:rPr>
            </w:pPr>
            <w:r>
              <w:rPr>
                <w:rFonts w:ascii="Arial" w:cs="Arial" w:eastAsia="Arial" w:hAnsi="Arial"/>
                <w:sz w:val="20"/>
                <w:szCs w:val="20"/>
                <w:color w:val="00162F"/>
              </w:rPr>
              <w:t>49,643</w:t>
            </w:r>
          </w:p>
        </w:tc>
        <w:tc>
          <w:tcPr>
            <w:tcW w:w="520" w:type="dxa"/>
            <w:vAlign w:val="bottom"/>
            <w:gridSpan w:val="2"/>
          </w:tcPr>
          <w:p>
            <w:pPr>
              <w:jc w:val="right"/>
              <w:ind w:right="280"/>
              <w:spacing w:after="0"/>
              <w:rPr>
                <w:sz w:val="20"/>
                <w:szCs w:val="20"/>
                <w:color w:val="auto"/>
              </w:rPr>
            </w:pPr>
            <w:r>
              <w:rPr>
                <w:rFonts w:ascii="Arial" w:cs="Arial" w:eastAsia="Arial" w:hAnsi="Arial"/>
                <w:sz w:val="20"/>
                <w:szCs w:val="20"/>
                <w:color w:val="00162F"/>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49,586</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00162F"/>
              </w:rPr>
              <w:t>$</w:t>
            </w:r>
          </w:p>
        </w:tc>
        <w:tc>
          <w:tcPr>
            <w:tcW w:w="980" w:type="dxa"/>
            <w:vAlign w:val="bottom"/>
          </w:tcPr>
          <w:p>
            <w:pPr>
              <w:jc w:val="right"/>
              <w:spacing w:after="0"/>
              <w:rPr>
                <w:sz w:val="20"/>
                <w:szCs w:val="20"/>
                <w:color w:val="auto"/>
              </w:rPr>
            </w:pPr>
            <w:r>
              <w:rPr>
                <w:rFonts w:ascii="Arial" w:cs="Arial" w:eastAsia="Arial" w:hAnsi="Arial"/>
                <w:sz w:val="20"/>
                <w:szCs w:val="20"/>
                <w:color w:val="00162F"/>
              </w:rPr>
              <w:t>48,512</w:t>
            </w:r>
          </w:p>
        </w:tc>
      </w:tr>
      <w:tr>
        <w:trPr>
          <w:trHeight w:val="282"/>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839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804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812</w:t>
            </w:r>
          </w:p>
        </w:tc>
      </w:tr>
      <w:tr>
        <w:trPr>
          <w:trHeight w:val="279"/>
        </w:trPr>
        <w:tc>
          <w:tcPr>
            <w:tcW w:w="460" w:type="dxa"/>
            <w:vAlign w:val="bottom"/>
            <w:tcBorders>
              <w:bottom w:val="single" w:sz="8" w:color="00162F"/>
            </w:tcBorders>
          </w:tcPr>
          <w:p>
            <w:pPr>
              <w:spacing w:after="0"/>
              <w:rPr>
                <w:sz w:val="24"/>
                <w:szCs w:val="24"/>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4,144</w:t>
            </w:r>
          </w:p>
        </w:tc>
        <w:tc>
          <w:tcPr>
            <w:tcW w:w="80" w:type="dxa"/>
            <w:vAlign w:val="bottom"/>
          </w:tcPr>
          <w:p>
            <w:pPr>
              <w:spacing w:after="0"/>
              <w:rPr>
                <w:sz w:val="24"/>
                <w:szCs w:val="24"/>
                <w:color w:val="auto"/>
              </w:rPr>
            </w:pPr>
          </w:p>
        </w:tc>
        <w:tc>
          <w:tcPr>
            <w:tcW w:w="44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jc w:val="right"/>
              <w:ind w:right="1"/>
              <w:spacing w:after="0"/>
              <w:rPr>
                <w:sz w:val="20"/>
                <w:szCs w:val="20"/>
                <w:color w:val="auto"/>
              </w:rPr>
            </w:pPr>
            <w:r>
              <w:rPr>
                <w:rFonts w:ascii="Arial" w:cs="Arial" w:eastAsia="Arial" w:hAnsi="Arial"/>
                <w:sz w:val="20"/>
                <w:szCs w:val="20"/>
                <w:color w:val="00162F"/>
              </w:rPr>
              <w:t>3,814</w:t>
            </w:r>
          </w:p>
        </w:tc>
        <w:tc>
          <w:tcPr>
            <w:tcW w:w="60" w:type="dxa"/>
            <w:vAlign w:val="bottom"/>
          </w:tcPr>
          <w:p>
            <w:pPr>
              <w:spacing w:after="0"/>
              <w:rPr>
                <w:sz w:val="24"/>
                <w:szCs w:val="24"/>
                <w:color w:val="auto"/>
              </w:rPr>
            </w:pPr>
          </w:p>
        </w:tc>
        <w:tc>
          <w:tcPr>
            <w:tcW w:w="460" w:type="dxa"/>
            <w:vAlign w:val="bottom"/>
            <w:tcBorders>
              <w:bottom w:val="single" w:sz="8" w:color="00162F"/>
            </w:tcBorders>
          </w:tcPr>
          <w:p>
            <w:pPr>
              <w:spacing w:after="0"/>
              <w:rPr>
                <w:sz w:val="24"/>
                <w:szCs w:val="24"/>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3,460</w:t>
            </w:r>
          </w:p>
        </w:tc>
      </w:tr>
      <w:tr>
        <w:trPr>
          <w:trHeight w:val="265"/>
        </w:trPr>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54,626</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54,204</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52,784</w:t>
            </w:r>
          </w:p>
        </w:tc>
      </w:tr>
      <w:tr>
        <w:trPr>
          <w:trHeight w:val="564"/>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10,718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11,418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12,257</w:t>
            </w:r>
          </w:p>
        </w:tc>
      </w:tr>
      <w:tr>
        <w:trPr>
          <w:trHeight w:val="282"/>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17,556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16,012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14,572</w:t>
            </w:r>
          </w:p>
        </w:tc>
      </w:tr>
      <w:tr>
        <w:trPr>
          <w:trHeight w:val="282"/>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5,406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5,009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4,619</w:t>
            </w:r>
          </w:p>
        </w:tc>
      </w:tr>
      <w:tr>
        <w:trPr>
          <w:trHeight w:val="282"/>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3,844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3,794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3,265</w:t>
            </w:r>
          </w:p>
        </w:tc>
      </w:tr>
      <w:tr>
        <w:trPr>
          <w:trHeight w:val="282"/>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3,476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3,303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2,928</w:t>
            </w:r>
          </w:p>
        </w:tc>
      </w:tr>
      <w:tr>
        <w:trPr>
          <w:trHeight w:val="282"/>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1,220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1,242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1,369</w:t>
            </w:r>
          </w:p>
        </w:tc>
      </w:tr>
      <w:tr>
        <w:trPr>
          <w:trHeight w:val="282"/>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1,997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1,812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1,799</w:t>
            </w:r>
          </w:p>
        </w:tc>
      </w:tr>
      <w:tr>
        <w:trPr>
          <w:trHeight w:val="282"/>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1,884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1,919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1,927</w:t>
            </w:r>
          </w:p>
        </w:tc>
      </w:tr>
      <w:tr>
        <w:trPr>
          <w:trHeight w:val="282"/>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159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610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971</w:t>
            </w:r>
          </w:p>
        </w:tc>
      </w:tr>
      <w:tr>
        <w:trPr>
          <w:trHeight w:val="279"/>
        </w:trPr>
        <w:tc>
          <w:tcPr>
            <w:tcW w:w="460" w:type="dxa"/>
            <w:vAlign w:val="bottom"/>
            <w:tcBorders>
              <w:bottom w:val="single" w:sz="8" w:color="00162F"/>
            </w:tcBorders>
          </w:tcPr>
          <w:p>
            <w:pPr>
              <w:spacing w:after="0"/>
              <w:rPr>
                <w:sz w:val="24"/>
                <w:szCs w:val="24"/>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6,855</w:t>
            </w:r>
          </w:p>
        </w:tc>
        <w:tc>
          <w:tcPr>
            <w:tcW w:w="80" w:type="dxa"/>
            <w:vAlign w:val="bottom"/>
          </w:tcPr>
          <w:p>
            <w:pPr>
              <w:spacing w:after="0"/>
              <w:rPr>
                <w:sz w:val="24"/>
                <w:szCs w:val="24"/>
                <w:color w:val="auto"/>
              </w:rPr>
            </w:pPr>
          </w:p>
        </w:tc>
        <w:tc>
          <w:tcPr>
            <w:tcW w:w="44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jc w:val="right"/>
              <w:ind w:right="1"/>
              <w:spacing w:after="0"/>
              <w:rPr>
                <w:sz w:val="20"/>
                <w:szCs w:val="20"/>
                <w:color w:val="auto"/>
              </w:rPr>
            </w:pPr>
            <w:r>
              <w:rPr>
                <w:rFonts w:ascii="Arial" w:cs="Arial" w:eastAsia="Arial" w:hAnsi="Arial"/>
                <w:sz w:val="20"/>
                <w:szCs w:val="20"/>
                <w:color w:val="00162F"/>
              </w:rPr>
              <w:t>6,431</w:t>
            </w:r>
          </w:p>
        </w:tc>
        <w:tc>
          <w:tcPr>
            <w:tcW w:w="60" w:type="dxa"/>
            <w:vAlign w:val="bottom"/>
          </w:tcPr>
          <w:p>
            <w:pPr>
              <w:spacing w:after="0"/>
              <w:rPr>
                <w:sz w:val="24"/>
                <w:szCs w:val="24"/>
                <w:color w:val="auto"/>
              </w:rPr>
            </w:pPr>
          </w:p>
        </w:tc>
        <w:tc>
          <w:tcPr>
            <w:tcW w:w="460" w:type="dxa"/>
            <w:vAlign w:val="bottom"/>
            <w:tcBorders>
              <w:bottom w:val="single" w:sz="8" w:color="00162F"/>
            </w:tcBorders>
          </w:tcPr>
          <w:p>
            <w:pPr>
              <w:spacing w:after="0"/>
              <w:rPr>
                <w:sz w:val="24"/>
                <w:szCs w:val="24"/>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6,008</w:t>
            </w:r>
          </w:p>
        </w:tc>
      </w:tr>
      <w:tr>
        <w:trPr>
          <w:trHeight w:val="262"/>
        </w:trPr>
        <w:tc>
          <w:tcPr>
            <w:tcW w:w="460" w:type="dxa"/>
            <w:vAlign w:val="bottom"/>
            <w:tcBorders>
              <w:bottom w:val="single" w:sz="8" w:color="00162F"/>
            </w:tcBorders>
          </w:tcPr>
          <w:p>
            <w:pPr>
              <w:spacing w:after="0"/>
              <w:rPr>
                <w:sz w:val="22"/>
                <w:szCs w:val="22"/>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53,115</w:t>
            </w:r>
          </w:p>
        </w:tc>
        <w:tc>
          <w:tcPr>
            <w:tcW w:w="80" w:type="dxa"/>
            <w:vAlign w:val="bottom"/>
          </w:tcPr>
          <w:p>
            <w:pPr>
              <w:spacing w:after="0"/>
              <w:rPr>
                <w:sz w:val="22"/>
                <w:szCs w:val="22"/>
                <w:color w:val="auto"/>
              </w:rPr>
            </w:pPr>
          </w:p>
        </w:tc>
        <w:tc>
          <w:tcPr>
            <w:tcW w:w="440" w:type="dxa"/>
            <w:vAlign w:val="bottom"/>
            <w:tcBorders>
              <w:bottom w:val="single" w:sz="8" w:color="00162F"/>
            </w:tcBorders>
          </w:tcPr>
          <w:p>
            <w:pPr>
              <w:spacing w:after="0"/>
              <w:rPr>
                <w:sz w:val="22"/>
                <w:szCs w:val="22"/>
                <w:color w:val="auto"/>
              </w:rPr>
            </w:pPr>
          </w:p>
        </w:tc>
        <w:tc>
          <w:tcPr>
            <w:tcW w:w="1000" w:type="dxa"/>
            <w:vAlign w:val="bottom"/>
            <w:tcBorders>
              <w:bottom w:val="single" w:sz="8" w:color="00162F"/>
            </w:tcBorders>
          </w:tcPr>
          <w:p>
            <w:pPr>
              <w:jc w:val="right"/>
              <w:ind w:right="1"/>
              <w:spacing w:after="0"/>
              <w:rPr>
                <w:sz w:val="20"/>
                <w:szCs w:val="20"/>
                <w:color w:val="auto"/>
              </w:rPr>
            </w:pPr>
            <w:r>
              <w:rPr>
                <w:rFonts w:ascii="Arial" w:cs="Arial" w:eastAsia="Arial" w:hAnsi="Arial"/>
                <w:sz w:val="20"/>
                <w:szCs w:val="20"/>
                <w:color w:val="00162F"/>
              </w:rPr>
              <w:t>51,550</w:t>
            </w:r>
          </w:p>
        </w:tc>
        <w:tc>
          <w:tcPr>
            <w:tcW w:w="60" w:type="dxa"/>
            <w:vAlign w:val="bottom"/>
          </w:tcPr>
          <w:p>
            <w:pPr>
              <w:spacing w:after="0"/>
              <w:rPr>
                <w:sz w:val="22"/>
                <w:szCs w:val="22"/>
                <w:color w:val="auto"/>
              </w:rPr>
            </w:pPr>
          </w:p>
        </w:tc>
        <w:tc>
          <w:tcPr>
            <w:tcW w:w="460" w:type="dxa"/>
            <w:vAlign w:val="bottom"/>
            <w:tcBorders>
              <w:bottom w:val="single" w:sz="8" w:color="00162F"/>
            </w:tcBorders>
          </w:tcPr>
          <w:p>
            <w:pPr>
              <w:spacing w:after="0"/>
              <w:rPr>
                <w:sz w:val="22"/>
                <w:szCs w:val="22"/>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49,715</w:t>
            </w:r>
          </w:p>
        </w:tc>
      </w:tr>
      <w:tr>
        <w:trPr>
          <w:trHeight w:val="265"/>
        </w:trPr>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1,511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2,654</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3,069</w:t>
            </w:r>
          </w:p>
        </w:tc>
      </w:tr>
      <w:tr>
        <w:trPr>
          <w:trHeight w:val="564"/>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949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1,058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1,078</w:t>
            </w:r>
          </w:p>
        </w:tc>
      </w:tr>
      <w:tr>
        <w:trPr>
          <w:trHeight w:val="282"/>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(1,780)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(2,029)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(2,206)</w:t>
            </w:r>
          </w:p>
        </w:tc>
      </w:tr>
      <w:tr>
        <w:trPr>
          <w:trHeight w:val="279"/>
        </w:trPr>
        <w:tc>
          <w:tcPr>
            <w:tcW w:w="460" w:type="dxa"/>
            <w:vAlign w:val="bottom"/>
            <w:tcBorders>
              <w:bottom w:val="single" w:sz="8" w:color="00162F"/>
            </w:tcBorders>
          </w:tcPr>
          <w:p>
            <w:pPr>
              <w:spacing w:after="0"/>
              <w:rPr>
                <w:sz w:val="24"/>
                <w:szCs w:val="24"/>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81</w:t>
            </w:r>
          </w:p>
        </w:tc>
        <w:tc>
          <w:tcPr>
            <w:tcW w:w="80" w:type="dxa"/>
            <w:vAlign w:val="bottom"/>
          </w:tcPr>
          <w:p>
            <w:pPr>
              <w:spacing w:after="0"/>
              <w:rPr>
                <w:sz w:val="24"/>
                <w:szCs w:val="24"/>
                <w:color w:val="auto"/>
              </w:rPr>
            </w:pPr>
          </w:p>
        </w:tc>
        <w:tc>
          <w:tcPr>
            <w:tcW w:w="44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jc w:val="right"/>
              <w:ind w:right="1"/>
              <w:spacing w:after="0"/>
              <w:rPr>
                <w:sz w:val="20"/>
                <w:szCs w:val="20"/>
                <w:color w:val="auto"/>
              </w:rPr>
            </w:pPr>
            <w:r>
              <w:rPr>
                <w:rFonts w:ascii="Arial" w:cs="Arial" w:eastAsia="Arial" w:hAnsi="Arial"/>
                <w:sz w:val="20"/>
                <w:szCs w:val="20"/>
                <w:color w:val="00162F"/>
              </w:rPr>
              <w:t>5</w:t>
            </w:r>
          </w:p>
        </w:tc>
        <w:tc>
          <w:tcPr>
            <w:tcW w:w="60" w:type="dxa"/>
            <w:vAlign w:val="bottom"/>
          </w:tcPr>
          <w:p>
            <w:pPr>
              <w:spacing w:after="0"/>
              <w:rPr>
                <w:sz w:val="24"/>
                <w:szCs w:val="24"/>
                <w:color w:val="auto"/>
              </w:rPr>
            </w:pPr>
          </w:p>
        </w:tc>
        <w:tc>
          <w:tcPr>
            <w:tcW w:w="460" w:type="dxa"/>
            <w:vAlign w:val="bottom"/>
            <w:tcBorders>
              <w:bottom w:val="single" w:sz="8" w:color="00162F"/>
            </w:tcBorders>
          </w:tcPr>
          <w:p>
            <w:pPr>
              <w:spacing w:after="0"/>
              <w:rPr>
                <w:sz w:val="24"/>
                <w:szCs w:val="24"/>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(359)</w:t>
            </w:r>
          </w:p>
        </w:tc>
      </w:tr>
      <w:tr>
        <w:trPr>
          <w:trHeight w:val="262"/>
        </w:trPr>
        <w:tc>
          <w:tcPr>
            <w:tcW w:w="460" w:type="dxa"/>
            <w:vAlign w:val="bottom"/>
            <w:tcBorders>
              <w:bottom w:val="single" w:sz="8" w:color="00162F"/>
            </w:tcBorders>
          </w:tcPr>
          <w:p>
            <w:pPr>
              <w:spacing w:after="0"/>
              <w:rPr>
                <w:sz w:val="22"/>
                <w:szCs w:val="22"/>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(750)</w:t>
            </w:r>
          </w:p>
        </w:tc>
        <w:tc>
          <w:tcPr>
            <w:tcW w:w="80" w:type="dxa"/>
            <w:vAlign w:val="bottom"/>
          </w:tcPr>
          <w:p>
            <w:pPr>
              <w:spacing w:after="0"/>
              <w:rPr>
                <w:sz w:val="22"/>
                <w:szCs w:val="22"/>
                <w:color w:val="auto"/>
              </w:rPr>
            </w:pPr>
          </w:p>
        </w:tc>
        <w:tc>
          <w:tcPr>
            <w:tcW w:w="440" w:type="dxa"/>
            <w:vAlign w:val="bottom"/>
            <w:tcBorders>
              <w:bottom w:val="single" w:sz="8" w:color="00162F"/>
            </w:tcBorders>
          </w:tcPr>
          <w:p>
            <w:pPr>
              <w:spacing w:after="0"/>
              <w:rPr>
                <w:sz w:val="22"/>
                <w:szCs w:val="22"/>
                <w:color w:val="auto"/>
              </w:rPr>
            </w:pPr>
          </w:p>
        </w:tc>
        <w:tc>
          <w:tcPr>
            <w:tcW w:w="10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(966)</w:t>
            </w:r>
          </w:p>
        </w:tc>
        <w:tc>
          <w:tcPr>
            <w:tcW w:w="60" w:type="dxa"/>
            <w:vAlign w:val="bottom"/>
          </w:tcPr>
          <w:p>
            <w:pPr>
              <w:spacing w:after="0"/>
              <w:rPr>
                <w:sz w:val="22"/>
                <w:szCs w:val="22"/>
                <w:color w:val="auto"/>
              </w:rPr>
            </w:pPr>
          </w:p>
        </w:tc>
        <w:tc>
          <w:tcPr>
            <w:tcW w:w="460" w:type="dxa"/>
            <w:vAlign w:val="bottom"/>
            <w:tcBorders>
              <w:bottom w:val="single" w:sz="8" w:color="00162F"/>
            </w:tcBorders>
          </w:tcPr>
          <w:p>
            <w:pPr>
              <w:spacing w:after="0"/>
              <w:rPr>
                <w:sz w:val="22"/>
                <w:szCs w:val="22"/>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(1,487)</w:t>
            </w:r>
          </w:p>
        </w:tc>
      </w:tr>
      <w:tr>
        <w:trPr>
          <w:trHeight w:val="265"/>
        </w:trPr>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761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1,688</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1,582</w:t>
            </w:r>
          </w:p>
        </w:tc>
      </w:tr>
      <w:tr>
        <w:trPr>
          <w:trHeight w:val="279"/>
        </w:trPr>
        <w:tc>
          <w:tcPr>
            <w:tcW w:w="460" w:type="dxa"/>
            <w:vAlign w:val="bottom"/>
            <w:tcBorders>
              <w:bottom w:val="single" w:sz="8" w:color="00162F"/>
            </w:tcBorders>
          </w:tcPr>
          <w:p>
            <w:pPr>
              <w:spacing w:after="0"/>
              <w:rPr>
                <w:sz w:val="24"/>
                <w:szCs w:val="24"/>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197</w:t>
            </w:r>
          </w:p>
        </w:tc>
        <w:tc>
          <w:tcPr>
            <w:tcW w:w="80" w:type="dxa"/>
            <w:vAlign w:val="bottom"/>
          </w:tcPr>
          <w:p>
            <w:pPr>
              <w:spacing w:after="0"/>
              <w:rPr>
                <w:sz w:val="24"/>
                <w:szCs w:val="24"/>
                <w:color w:val="auto"/>
              </w:rPr>
            </w:pPr>
          </w:p>
        </w:tc>
        <w:tc>
          <w:tcPr>
            <w:tcW w:w="44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jc w:val="right"/>
              <w:ind w:right="1"/>
              <w:spacing w:after="0"/>
              <w:rPr>
                <w:sz w:val="20"/>
                <w:szCs w:val="20"/>
                <w:color w:val="auto"/>
              </w:rPr>
            </w:pPr>
            <w:r>
              <w:rPr>
                <w:rFonts w:ascii="Arial" w:cs="Arial" w:eastAsia="Arial" w:hAnsi="Arial"/>
                <w:sz w:val="20"/>
                <w:szCs w:val="20"/>
                <w:color w:val="00162F"/>
              </w:rPr>
              <w:t>426</w:t>
            </w:r>
          </w:p>
        </w:tc>
        <w:tc>
          <w:tcPr>
            <w:tcW w:w="60" w:type="dxa"/>
            <w:vAlign w:val="bottom"/>
          </w:tcPr>
          <w:p>
            <w:pPr>
              <w:spacing w:after="0"/>
              <w:rPr>
                <w:sz w:val="24"/>
                <w:szCs w:val="24"/>
                <w:color w:val="auto"/>
              </w:rPr>
            </w:pPr>
          </w:p>
        </w:tc>
        <w:tc>
          <w:tcPr>
            <w:tcW w:w="460" w:type="dxa"/>
            <w:vAlign w:val="bottom"/>
            <w:tcBorders>
              <w:bottom w:val="single" w:sz="8" w:color="00162F"/>
            </w:tcBorders>
          </w:tcPr>
          <w:p>
            <w:pPr>
              <w:spacing w:after="0"/>
              <w:rPr>
                <w:sz w:val="24"/>
                <w:szCs w:val="24"/>
                <w:color w:val="auto"/>
              </w:rPr>
            </w:pPr>
          </w:p>
        </w:tc>
        <w:tc>
          <w:tcPr>
            <w:tcW w:w="9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394</w:t>
            </w:r>
          </w:p>
        </w:tc>
      </w:tr>
      <w:tr>
        <w:trPr>
          <w:trHeight w:val="242"/>
        </w:trPr>
        <w:tc>
          <w:tcPr>
            <w:tcW w:w="460" w:type="dxa"/>
            <w:vAlign w:val="bottom"/>
          </w:tcPr>
          <w:p>
            <w:pPr>
              <w:jc w:val="right"/>
              <w:ind w:right="201"/>
              <w:spacing w:after="0"/>
              <w:rPr>
                <w:sz w:val="20"/>
                <w:szCs w:val="20"/>
                <w:color w:val="auto"/>
              </w:rPr>
            </w:pPr>
            <w:r>
              <w:rPr>
                <w:rFonts w:ascii="Arial" w:cs="Arial" w:eastAsia="Arial" w:hAnsi="Arial"/>
                <w:sz w:val="20"/>
                <w:szCs w:val="20"/>
                <w:color w:val="00162F"/>
              </w:rPr>
              <w:t>$</w:t>
            </w:r>
          </w:p>
        </w:tc>
        <w:tc>
          <w:tcPr>
            <w:tcW w:w="980" w:type="dxa"/>
            <w:vAlign w:val="bottom"/>
          </w:tcPr>
          <w:p>
            <w:pPr>
              <w:jc w:val="right"/>
              <w:spacing w:after="0"/>
              <w:rPr>
                <w:sz w:val="20"/>
                <w:szCs w:val="20"/>
                <w:color w:val="auto"/>
              </w:rPr>
            </w:pPr>
            <w:r>
              <w:rPr>
                <w:rFonts w:ascii="Arial" w:cs="Arial" w:eastAsia="Arial" w:hAnsi="Arial"/>
                <w:sz w:val="20"/>
                <w:szCs w:val="20"/>
                <w:color w:val="00162F"/>
              </w:rPr>
              <w:t>564</w:t>
            </w:r>
          </w:p>
        </w:tc>
        <w:tc>
          <w:tcPr>
            <w:tcW w:w="520" w:type="dxa"/>
            <w:vAlign w:val="bottom"/>
            <w:gridSpan w:val="2"/>
          </w:tcPr>
          <w:p>
            <w:pPr>
              <w:jc w:val="right"/>
              <w:ind w:right="280"/>
              <w:spacing w:after="0"/>
              <w:rPr>
                <w:sz w:val="20"/>
                <w:szCs w:val="20"/>
                <w:color w:val="auto"/>
              </w:rPr>
            </w:pPr>
            <w:r>
              <w:rPr>
                <w:rFonts w:ascii="Arial" w:cs="Arial" w:eastAsia="Arial" w:hAnsi="Arial"/>
                <w:sz w:val="20"/>
                <w:szCs w:val="20"/>
                <w:color w:val="00162F"/>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00162F"/>
              </w:rPr>
              <w:t>1,262</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00162F"/>
              </w:rPr>
              <w:t>$</w:t>
            </w:r>
          </w:p>
        </w:tc>
        <w:tc>
          <w:tcPr>
            <w:tcW w:w="980" w:type="dxa"/>
            <w:vAlign w:val="bottom"/>
          </w:tcPr>
          <w:p>
            <w:pPr>
              <w:jc w:val="right"/>
              <w:spacing w:after="0"/>
              <w:rPr>
                <w:sz w:val="20"/>
                <w:szCs w:val="20"/>
                <w:color w:val="auto"/>
              </w:rPr>
            </w:pPr>
            <w:r>
              <w:rPr>
                <w:rFonts w:ascii="Arial" w:cs="Arial" w:eastAsia="Arial" w:hAnsi="Arial"/>
                <w:sz w:val="20"/>
                <w:szCs w:val="20"/>
                <w:color w:val="00162F"/>
              </w:rPr>
              <w:t>1,188</w:t>
            </w:r>
          </w:p>
        </w:tc>
      </w:tr>
      <w:tr>
        <w:trPr>
          <w:trHeight w:val="20"/>
        </w:trPr>
        <w:tc>
          <w:tcPr>
            <w:tcW w:w="460" w:type="dxa"/>
            <w:vAlign w:val="bottom"/>
            <w:tcBorders>
              <w:top w:val="single" w:sz="8" w:color="00162F"/>
              <w:bottom w:val="single" w:sz="8" w:color="00162F"/>
            </w:tcBorders>
          </w:tcPr>
          <w:p>
            <w:pPr>
              <w:spacing w:after="0" w:line="20" w:lineRule="exact"/>
              <w:rPr>
                <w:sz w:val="1"/>
                <w:szCs w:val="1"/>
                <w:color w:val="auto"/>
              </w:rPr>
            </w:pPr>
          </w:p>
        </w:tc>
        <w:tc>
          <w:tcPr>
            <w:tcW w:w="98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00162F"/>
              <w:bottom w:val="single" w:sz="8" w:color="00162F"/>
            </w:tcBorders>
          </w:tcPr>
          <w:p>
            <w:pPr>
              <w:spacing w:after="0" w:line="20" w:lineRule="exact"/>
              <w:rPr>
                <w:sz w:val="1"/>
                <w:szCs w:val="1"/>
                <w:color w:val="auto"/>
              </w:rPr>
            </w:pPr>
          </w:p>
        </w:tc>
        <w:tc>
          <w:tcPr>
            <w:tcW w:w="100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00162F"/>
              <w:bottom w:val="single" w:sz="8" w:color="00162F"/>
            </w:tcBorders>
          </w:tcPr>
          <w:p>
            <w:pPr>
              <w:spacing w:after="0" w:line="20" w:lineRule="exact"/>
              <w:rPr>
                <w:sz w:val="1"/>
                <w:szCs w:val="1"/>
                <w:color w:val="auto"/>
              </w:rPr>
            </w:pPr>
          </w:p>
        </w:tc>
        <w:tc>
          <w:tcPr>
            <w:tcW w:w="980" w:type="dxa"/>
            <w:vAlign w:val="bottom"/>
            <w:tcBorders>
              <w:top w:val="single" w:sz="8" w:color="00162F"/>
              <w:bottom w:val="single" w:sz="8" w:color="00162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-4317365</wp:posOffset>
            </wp:positionV>
            <wp:extent cx="6788150" cy="1790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7">
                      <a:extLst>
                        <a:ext uri="{28A0092B-C50C-407E-A947-70E740481C1C}"/>
                      </a:extLst>
                    </a:blip>
                    <a:srcRect/>
                    <a:stretch>
                      <a:fillRect/>
                    </a:stretch>
                  </pic:blipFill>
                  <pic:spPr bwMode="auto">
                    <a:xfrm>
                      <a:off x="0" y="0"/>
                      <a:ext cx="6788150" cy="1790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-3601085</wp:posOffset>
            </wp:positionV>
            <wp:extent cx="6788150" cy="1790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8">
                      <a:extLst>
                        <a:ext uri="{28A0092B-C50C-407E-A947-70E740481C1C}"/>
                      </a:extLst>
                    </a:blip>
                    <a:srcRect/>
                    <a:stretch>
                      <a:fillRect/>
                    </a:stretch>
                  </pic:blipFill>
                  <pic:spPr bwMode="auto">
                    <a:xfrm>
                      <a:off x="0" y="0"/>
                      <a:ext cx="6788150" cy="1790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-3242310</wp:posOffset>
            </wp:positionV>
            <wp:extent cx="6788150" cy="1790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9">
                      <a:extLst>
                        <a:ext uri="{28A0092B-C50C-407E-A947-70E740481C1C}"/>
                      </a:extLst>
                    </a:blip>
                    <a:srcRect/>
                    <a:stretch>
                      <a:fillRect/>
                    </a:stretch>
                  </pic:blipFill>
                  <pic:spPr bwMode="auto">
                    <a:xfrm>
                      <a:off x="0" y="0"/>
                      <a:ext cx="6788150" cy="1790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-2884170</wp:posOffset>
            </wp:positionV>
            <wp:extent cx="6788150" cy="1790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0">
                      <a:extLst>
                        <a:ext uri="{28A0092B-C50C-407E-A947-70E740481C1C}"/>
                      </a:extLst>
                    </a:blip>
                    <a:srcRect/>
                    <a:stretch>
                      <a:fillRect/>
                    </a:stretch>
                  </pic:blipFill>
                  <pic:spPr bwMode="auto">
                    <a:xfrm>
                      <a:off x="0" y="0"/>
                      <a:ext cx="6788150" cy="1790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-2526030</wp:posOffset>
            </wp:positionV>
            <wp:extent cx="6788150" cy="1790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1">
                      <a:extLst>
                        <a:ext uri="{28A0092B-C50C-407E-A947-70E740481C1C}"/>
                      </a:extLst>
                    </a:blip>
                    <a:srcRect/>
                    <a:stretch>
                      <a:fillRect/>
                    </a:stretch>
                  </pic:blipFill>
                  <pic:spPr bwMode="auto">
                    <a:xfrm>
                      <a:off x="0" y="0"/>
                      <a:ext cx="6788150" cy="1790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-2167890</wp:posOffset>
            </wp:positionV>
            <wp:extent cx="6788150" cy="1790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2">
                      <a:extLst>
                        <a:ext uri="{28A0092B-C50C-407E-A947-70E740481C1C}"/>
                      </a:extLst>
                    </a:blip>
                    <a:srcRect/>
                    <a:stretch>
                      <a:fillRect/>
                    </a:stretch>
                  </pic:blipFill>
                  <pic:spPr bwMode="auto">
                    <a:xfrm>
                      <a:off x="0" y="0"/>
                      <a:ext cx="6788150" cy="1790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-1451610</wp:posOffset>
            </wp:positionV>
            <wp:extent cx="6788150" cy="1790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3">
                      <a:extLst>
                        <a:ext uri="{28A0092B-C50C-407E-A947-70E740481C1C}"/>
                      </a:extLst>
                    </a:blip>
                    <a:srcRect/>
                    <a:stretch>
                      <a:fillRect/>
                    </a:stretch>
                  </pic:blipFill>
                  <pic:spPr bwMode="auto">
                    <a:xfrm>
                      <a:off x="0" y="0"/>
                      <a:ext cx="6788150" cy="1790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-1092835</wp:posOffset>
            </wp:positionV>
            <wp:extent cx="6788150" cy="1790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4">
                      <a:extLst>
                        <a:ext uri="{28A0092B-C50C-407E-A947-70E740481C1C}"/>
                      </a:extLst>
                    </a:blip>
                    <a:srcRect/>
                    <a:stretch>
                      <a:fillRect/>
                    </a:stretch>
                  </pic:blipFill>
                  <pic:spPr bwMode="auto">
                    <a:xfrm>
                      <a:off x="0" y="0"/>
                      <a:ext cx="6788150" cy="1790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-3971925</wp:posOffset>
            </wp:positionV>
            <wp:extent cx="6788150" cy="1917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5">
                      <a:extLst>
                        <a:ext uri="{28A0092B-C50C-407E-A947-70E740481C1C}"/>
                      </a:extLst>
                    </a:blip>
                    <a:srcRect/>
                    <a:stretch>
                      <a:fillRect/>
                    </a:stretch>
                  </pic:blipFill>
                  <pic:spPr bwMode="auto">
                    <a:xfrm>
                      <a:off x="0" y="0"/>
                      <a:ext cx="6788150" cy="1917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-1822450</wp:posOffset>
            </wp:positionV>
            <wp:extent cx="6788150" cy="2044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6">
                      <a:extLst>
                        <a:ext uri="{28A0092B-C50C-407E-A947-70E740481C1C}"/>
                      </a:extLst>
                    </a:blip>
                    <a:srcRect/>
                    <a:stretch>
                      <a:fillRect/>
                    </a:stretch>
                  </pic:blipFill>
                  <pic:spPr bwMode="auto">
                    <a:xfrm>
                      <a:off x="0" y="0"/>
                      <a:ext cx="6788150" cy="2044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-747395</wp:posOffset>
            </wp:positionV>
            <wp:extent cx="6788150" cy="2044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7">
                      <a:extLst>
                        <a:ext uri="{28A0092B-C50C-407E-A947-70E740481C1C}"/>
                      </a:extLst>
                    </a:blip>
                    <a:srcRect/>
                    <a:stretch>
                      <a:fillRect/>
                    </a:stretch>
                  </pic:blipFill>
                  <pic:spPr bwMode="auto">
                    <a:xfrm>
                      <a:off x="0" y="0"/>
                      <a:ext cx="6788150" cy="204470"/>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-376555</wp:posOffset>
            </wp:positionV>
            <wp:extent cx="6788150" cy="1917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8">
                      <a:extLst>
                        <a:ext uri="{28A0092B-C50C-407E-A947-70E740481C1C}"/>
                      </a:extLst>
                    </a:blip>
                    <a:srcRect/>
                    <a:stretch>
                      <a:fillRect/>
                    </a:stretch>
                  </pic:blipFill>
                  <pic:spPr bwMode="auto">
                    <a:xfrm>
                      <a:off x="0" y="0"/>
                      <a:ext cx="6788150" cy="19177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5460" w:space="720"/>
            <w:col w:w="4460"/>
          </w:cols>
          <w:pgMar w:left="640" w:top="992" w:right="600" w:bottom="0" w:gutter="0" w:footer="0" w:header="0"/>
          <w:type w:val="continuous"/>
        </w:sectPr>
      </w:pP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00162F"/>
        </w:rPr>
        <w:t>See accompanying notes to consolidated financial statements.</w:t>
      </w:r>
    </w:p>
    <w:p>
      <w:pPr>
        <w:sectPr>
          <w:pgSz w:w="11880" w:h="15480" w:orient="portrait"/>
          <w:cols w:equalWidth="0" w:num="1">
            <w:col w:w="10640"/>
          </w:cols>
          <w:pgMar w:left="640" w:top="992"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00162F"/>
        </w:rPr>
        <w:t>128</w:t>
      </w:r>
    </w:p>
    <w:p>
      <w:pPr>
        <w:sectPr>
          <w:pgSz w:w="11880" w:h="15480" w:orient="portrait"/>
          <w:cols w:equalWidth="0" w:num="1">
            <w:col w:w="10640"/>
          </w:cols>
          <w:pgMar w:left="640" w:top="992" w:right="600" w:bottom="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00162F"/>
        </w:rPr>
        <w:t>AMERICAN AIRLINES,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162F"/>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162F"/>
        </w:rPr>
        <w:t>(In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960" w:type="dxa"/>
            <w:vAlign w:val="bottom"/>
            <w:tcBorders>
              <w:bottom w:val="single" w:sz="8" w:color="00162F"/>
            </w:tcBorders>
          </w:tcPr>
          <w:p>
            <w:pPr>
              <w:spacing w:after="0"/>
              <w:rPr>
                <w:sz w:val="18"/>
                <w:szCs w:val="18"/>
                <w:color w:val="auto"/>
              </w:rPr>
            </w:pPr>
          </w:p>
        </w:tc>
        <w:tc>
          <w:tcPr>
            <w:tcW w:w="2420" w:type="dxa"/>
            <w:vAlign w:val="bottom"/>
            <w:tcBorders>
              <w:bottom w:val="single" w:sz="8" w:color="00162F"/>
            </w:tcBorders>
            <w:gridSpan w:val="6"/>
          </w:tcPr>
          <w:p>
            <w:pPr>
              <w:jc w:val="right"/>
              <w:ind w:right="18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18"/>
        </w:trPr>
        <w:tc>
          <w:tcPr>
            <w:tcW w:w="6220" w:type="dxa"/>
            <w:vAlign w:val="bottom"/>
            <w:tcBorders>
              <w:bottom w:val="single" w:sz="8" w:color="EDEDED"/>
            </w:tcBorders>
          </w:tcPr>
          <w:p>
            <w:pPr>
              <w:spacing w:after="0"/>
              <w:rPr>
                <w:sz w:val="18"/>
                <w:szCs w:val="18"/>
                <w:color w:val="auto"/>
              </w:rPr>
            </w:pPr>
          </w:p>
        </w:tc>
        <w:tc>
          <w:tcPr>
            <w:tcW w:w="96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2025</w:t>
            </w:r>
          </w:p>
        </w:tc>
        <w:tc>
          <w:tcPr>
            <w:tcW w:w="480" w:type="dxa"/>
            <w:vAlign w:val="bottom"/>
            <w:tcBorders>
              <w:bottom w:val="single" w:sz="8" w:color="00162F"/>
            </w:tcBorders>
          </w:tcPr>
          <w:p>
            <w:pPr>
              <w:spacing w:after="0"/>
              <w:rPr>
                <w:sz w:val="18"/>
                <w:szCs w:val="18"/>
                <w:color w:val="auto"/>
              </w:rPr>
            </w:pPr>
          </w:p>
        </w:tc>
        <w:tc>
          <w:tcPr>
            <w:tcW w:w="80" w:type="dxa"/>
            <w:vAlign w:val="bottom"/>
            <w:tcBorders>
              <w:bottom w:val="single" w:sz="8" w:color="EDEDED"/>
            </w:tcBorders>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100" w:type="dxa"/>
            <w:vAlign w:val="bottom"/>
            <w:tcBorders>
              <w:bottom w:val="single" w:sz="8" w:color="00162F"/>
            </w:tcBorders>
          </w:tcPr>
          <w:p>
            <w:pPr>
              <w:jc w:val="right"/>
              <w:ind w:right="464"/>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18"/>
                <w:szCs w:val="18"/>
                <w:color w:val="auto"/>
              </w:rPr>
            </w:pPr>
          </w:p>
        </w:tc>
        <w:tc>
          <w:tcPr>
            <w:tcW w:w="360" w:type="dxa"/>
            <w:vAlign w:val="bottom"/>
            <w:tcBorders>
              <w:bottom w:val="single" w:sz="8" w:color="00162F"/>
            </w:tcBorders>
          </w:tcPr>
          <w:p>
            <w:pPr>
              <w:spacing w:after="0"/>
              <w:rPr>
                <w:sz w:val="18"/>
                <w:szCs w:val="18"/>
                <w:color w:val="auto"/>
              </w:rPr>
            </w:pPr>
          </w:p>
        </w:tc>
        <w:tc>
          <w:tcPr>
            <w:tcW w:w="1080" w:type="dxa"/>
            <w:vAlign w:val="bottom"/>
            <w:tcBorders>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Net income</w:t>
            </w:r>
          </w:p>
        </w:tc>
        <w:tc>
          <w:tcPr>
            <w:tcW w:w="960" w:type="dxa"/>
            <w:vAlign w:val="bottom"/>
            <w:shd w:val="clear" w:color="auto" w:fill="EDEDED"/>
          </w:tcPr>
          <w:p>
            <w:pPr>
              <w:jc w:val="right"/>
              <w:ind w:right="708"/>
              <w:spacing w:after="0"/>
              <w:rPr>
                <w:sz w:val="20"/>
                <w:szCs w:val="20"/>
                <w:color w:val="auto"/>
              </w:rPr>
            </w:pPr>
            <w:r>
              <w:rPr>
                <w:rFonts w:ascii="Arial" w:cs="Arial" w:eastAsia="Arial" w:hAnsi="Arial"/>
                <w:sz w:val="20"/>
                <w:szCs w:val="20"/>
                <w:color w:val="00162F"/>
              </w:rPr>
              <w:t>$</w:t>
            </w:r>
          </w:p>
        </w:tc>
        <w:tc>
          <w:tcPr>
            <w:tcW w:w="4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564</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1,262</w:t>
            </w:r>
          </w:p>
        </w:tc>
        <w:tc>
          <w:tcPr>
            <w:tcW w:w="420" w:type="dxa"/>
            <w:vAlign w:val="bottom"/>
            <w:gridSpan w:val="2"/>
            <w:shd w:val="clear" w:color="auto" w:fill="EDEDED"/>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1,188</w:t>
            </w:r>
          </w:p>
        </w:tc>
      </w:tr>
      <w:tr>
        <w:trPr>
          <w:trHeight w:val="291"/>
        </w:trPr>
        <w:tc>
          <w:tcPr>
            <w:tcW w:w="6220" w:type="dxa"/>
            <w:vAlign w:val="bottom"/>
          </w:tcPr>
          <w:p>
            <w:pPr>
              <w:ind w:left="40"/>
              <w:spacing w:after="0"/>
              <w:rPr>
                <w:sz w:val="20"/>
                <w:szCs w:val="20"/>
                <w:color w:val="auto"/>
              </w:rPr>
            </w:pPr>
            <w:r>
              <w:rPr>
                <w:rFonts w:ascii="Arial" w:cs="Arial" w:eastAsia="Arial" w:hAnsi="Arial"/>
                <w:sz w:val="20"/>
                <w:szCs w:val="20"/>
                <w:b w:val="1"/>
                <w:bCs w:val="1"/>
                <w:color w:val="00162F"/>
              </w:rPr>
              <w:t>Other comprehensive income (loss), net of tax:</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3"/>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Pension, retiree medical and other postretirement benefits</w:t>
            </w:r>
          </w:p>
        </w:tc>
        <w:tc>
          <w:tcPr>
            <w:tcW w:w="96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170</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320</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(312)</w:t>
            </w:r>
          </w:p>
        </w:tc>
      </w:tr>
      <w:tr>
        <w:trPr>
          <w:trHeight w:val="287"/>
        </w:trPr>
        <w:tc>
          <w:tcPr>
            <w:tcW w:w="6220" w:type="dxa"/>
            <w:vAlign w:val="bottom"/>
            <w:tcBorders>
              <w:bottom w:val="single" w:sz="8" w:color="EDEDED"/>
            </w:tcBorders>
          </w:tcPr>
          <w:p>
            <w:pPr>
              <w:ind w:left="180"/>
              <w:spacing w:after="0"/>
              <w:rPr>
                <w:sz w:val="20"/>
                <w:szCs w:val="20"/>
                <w:color w:val="auto"/>
              </w:rPr>
            </w:pPr>
            <w:r>
              <w:rPr>
                <w:rFonts w:ascii="Arial" w:cs="Arial" w:eastAsia="Arial" w:hAnsi="Arial"/>
                <w:sz w:val="20"/>
                <w:szCs w:val="20"/>
                <w:color w:val="00162F"/>
              </w:rPr>
              <w:t>Investments</w:t>
            </w:r>
          </w:p>
        </w:tc>
        <w:tc>
          <w:tcPr>
            <w:tcW w:w="960" w:type="dxa"/>
            <w:vAlign w:val="bottom"/>
            <w:tcBorders>
              <w:bottom w:val="single" w:sz="8" w:color="00162F"/>
            </w:tcBorders>
          </w:tcPr>
          <w:p>
            <w:pPr>
              <w:spacing w:after="0"/>
              <w:rPr>
                <w:sz w:val="24"/>
                <w:szCs w:val="24"/>
                <w:color w:val="auto"/>
              </w:rPr>
            </w:pPr>
          </w:p>
        </w:tc>
        <w:tc>
          <w:tcPr>
            <w:tcW w:w="4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4"/>
              <w:spacing w:after="0"/>
              <w:rPr>
                <w:sz w:val="20"/>
                <w:szCs w:val="20"/>
                <w:color w:val="auto"/>
              </w:rPr>
            </w:pPr>
            <w:r>
              <w:rPr>
                <w:rFonts w:ascii="Arial" w:cs="Arial" w:eastAsia="Arial" w:hAnsi="Arial"/>
                <w:sz w:val="20"/>
                <w:szCs w:val="20"/>
                <w:color w:val="00162F"/>
              </w:rPr>
              <w:t>2</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w:t>
            </w:r>
          </w:p>
        </w:tc>
      </w:tr>
      <w:tr>
        <w:trPr>
          <w:trHeight w:val="297"/>
        </w:trPr>
        <w:tc>
          <w:tcPr>
            <w:tcW w:w="6220" w:type="dxa"/>
            <w:vAlign w:val="bottom"/>
            <w:tcBorders>
              <w:bottom w:val="single" w:sz="8" w:color="EDEDED"/>
            </w:tcBorders>
            <w:shd w:val="clear" w:color="auto" w:fill="EDEDED"/>
          </w:tcPr>
          <w:p>
            <w:pPr>
              <w:ind w:left="400"/>
              <w:spacing w:after="0"/>
              <w:rPr>
                <w:sz w:val="20"/>
                <w:szCs w:val="20"/>
                <w:color w:val="auto"/>
              </w:rPr>
            </w:pPr>
            <w:r>
              <w:rPr>
                <w:rFonts w:ascii="Arial" w:cs="Arial" w:eastAsia="Arial" w:hAnsi="Arial"/>
                <w:sz w:val="20"/>
                <w:szCs w:val="20"/>
                <w:b w:val="1"/>
                <w:bCs w:val="1"/>
                <w:color w:val="00162F"/>
              </w:rPr>
              <w:t>Total other comprehensive income (loss), net of tax</w:t>
            </w:r>
          </w:p>
        </w:tc>
        <w:tc>
          <w:tcPr>
            <w:tcW w:w="960" w:type="dxa"/>
            <w:vAlign w:val="bottom"/>
            <w:tcBorders>
              <w:bottom w:val="single" w:sz="8" w:color="00162F"/>
            </w:tcBorders>
            <w:shd w:val="clear" w:color="auto" w:fill="EDEDED"/>
          </w:tcPr>
          <w:p>
            <w:pPr>
              <w:spacing w:after="0"/>
              <w:rPr>
                <w:sz w:val="24"/>
                <w:szCs w:val="24"/>
                <w:color w:val="auto"/>
              </w:rPr>
            </w:pPr>
          </w:p>
        </w:tc>
        <w:tc>
          <w:tcPr>
            <w:tcW w:w="4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170</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4"/>
              <w:spacing w:after="0"/>
              <w:rPr>
                <w:sz w:val="20"/>
                <w:szCs w:val="20"/>
                <w:color w:val="auto"/>
              </w:rPr>
            </w:pPr>
            <w:r>
              <w:rPr>
                <w:rFonts w:ascii="Arial" w:cs="Arial" w:eastAsia="Arial" w:hAnsi="Arial"/>
                <w:sz w:val="20"/>
                <w:szCs w:val="20"/>
                <w:color w:val="00162F"/>
              </w:rPr>
              <w:t>322</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(309)</w:t>
            </w:r>
          </w:p>
        </w:tc>
      </w:tr>
      <w:tr>
        <w:trPr>
          <w:trHeight w:val="237"/>
        </w:trPr>
        <w:tc>
          <w:tcPr>
            <w:tcW w:w="6220" w:type="dxa"/>
            <w:vAlign w:val="bottom"/>
          </w:tcPr>
          <w:p>
            <w:pPr>
              <w:ind w:left="40"/>
              <w:spacing w:after="0"/>
              <w:rPr>
                <w:sz w:val="20"/>
                <w:szCs w:val="20"/>
                <w:color w:val="auto"/>
              </w:rPr>
            </w:pPr>
            <w:r>
              <w:rPr>
                <w:rFonts w:ascii="Arial" w:cs="Arial" w:eastAsia="Arial" w:hAnsi="Arial"/>
                <w:sz w:val="20"/>
                <w:szCs w:val="20"/>
                <w:b w:val="1"/>
                <w:bCs w:val="1"/>
                <w:color w:val="00162F"/>
              </w:rPr>
              <w:t>Total comprehensive income</w:t>
            </w:r>
          </w:p>
        </w:tc>
        <w:tc>
          <w:tcPr>
            <w:tcW w:w="960" w:type="dxa"/>
            <w:vAlign w:val="bottom"/>
          </w:tcPr>
          <w:p>
            <w:pPr>
              <w:jc w:val="right"/>
              <w:ind w:right="708"/>
              <w:spacing w:after="0"/>
              <w:rPr>
                <w:sz w:val="20"/>
                <w:szCs w:val="20"/>
                <w:color w:val="auto"/>
              </w:rPr>
            </w:pPr>
            <w:r>
              <w:rPr>
                <w:rFonts w:ascii="Arial" w:cs="Arial" w:eastAsia="Arial" w:hAnsi="Arial"/>
                <w:sz w:val="20"/>
                <w:szCs w:val="20"/>
                <w:color w:val="00162F"/>
              </w:rPr>
              <w:t>$</w:t>
            </w:r>
          </w:p>
        </w:tc>
        <w:tc>
          <w:tcPr>
            <w:tcW w:w="480" w:type="dxa"/>
            <w:vAlign w:val="bottom"/>
          </w:tcPr>
          <w:p>
            <w:pPr>
              <w:jc w:val="right"/>
              <w:spacing w:after="0"/>
              <w:rPr>
                <w:sz w:val="20"/>
                <w:szCs w:val="20"/>
                <w:color w:val="auto"/>
              </w:rPr>
            </w:pPr>
            <w:r>
              <w:rPr>
                <w:rFonts w:ascii="Arial" w:cs="Arial" w:eastAsia="Arial" w:hAnsi="Arial"/>
                <w:sz w:val="20"/>
                <w:szCs w:val="20"/>
                <w:color w:val="00162F"/>
              </w:rPr>
              <w:t>734</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1,584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879</w:t>
            </w:r>
          </w:p>
        </w:tc>
      </w:tr>
      <w:tr>
        <w:trPr>
          <w:trHeight w:val="20"/>
        </w:trPr>
        <w:tc>
          <w:tcPr>
            <w:tcW w:w="6220" w:type="dxa"/>
            <w:vAlign w:val="bottom"/>
          </w:tcPr>
          <w:p>
            <w:pPr>
              <w:spacing w:after="0" w:line="20" w:lineRule="exact"/>
              <w:rPr>
                <w:sz w:val="1"/>
                <w:szCs w:val="1"/>
                <w:color w:val="auto"/>
              </w:rPr>
            </w:pPr>
          </w:p>
        </w:tc>
        <w:tc>
          <w:tcPr>
            <w:tcW w:w="960" w:type="dxa"/>
            <w:vAlign w:val="bottom"/>
            <w:tcBorders>
              <w:top w:val="single" w:sz="8" w:color="00162F"/>
              <w:bottom w:val="single" w:sz="8" w:color="00162F"/>
            </w:tcBorders>
          </w:tcPr>
          <w:p>
            <w:pPr>
              <w:spacing w:after="0" w:line="20" w:lineRule="exact"/>
              <w:rPr>
                <w:sz w:val="1"/>
                <w:szCs w:val="1"/>
                <w:color w:val="auto"/>
              </w:rPr>
            </w:pPr>
          </w:p>
        </w:tc>
        <w:tc>
          <w:tcPr>
            <w:tcW w:w="48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1080" w:type="dxa"/>
            <w:vAlign w:val="bottom"/>
            <w:tcBorders>
              <w:top w:val="single" w:sz="8" w:color="00162F"/>
              <w:bottom w:val="single" w:sz="8" w:color="00162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-1162685</wp:posOffset>
            </wp:positionV>
            <wp:extent cx="2863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9">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-408305</wp:posOffset>
            </wp:positionV>
            <wp:extent cx="19361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0">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-219710</wp:posOffset>
            </wp:positionV>
            <wp:extent cx="19361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1">
                      <a:extLst>
                        <a:ext uri="{28A0092B-C50C-407E-A947-70E740481C1C}"/>
                      </a:extLst>
                    </a:blip>
                    <a:srcRect/>
                    <a:stretch>
                      <a:fillRect/>
                    </a:stretch>
                  </pic:blipFill>
                  <pic:spPr bwMode="auto">
                    <a:xfrm>
                      <a:off x="0" y="0"/>
                      <a:ext cx="1936115" cy="2540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00162F"/>
        </w:rPr>
        <w:t>See accompanying notes to consolidated financial statements.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129</w:t>
      </w:r>
    </w:p>
    <w:p>
      <w:pPr>
        <w:sectPr>
          <w:pgSz w:w="11880" w:h="15480" w:orient="portrait"/>
          <w:cols w:equalWidth="0" w:num="1">
            <w:col w:w="10680"/>
          </w:cols>
          <w:pgMar w:left="600" w:top="992" w:right="600" w:bottom="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20"/>
          <w:szCs w:val="20"/>
          <w:b w:val="1"/>
          <w:bCs w:val="1"/>
          <w:color w:val="00162F"/>
        </w:rPr>
        <w:t>AMERICAN AIRLINES,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162F"/>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162F"/>
        </w:rPr>
        <w:t>(In millions, except share and par value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400" w:type="dxa"/>
            <w:vAlign w:val="bottom"/>
            <w:tcBorders>
              <w:bottom w:val="single" w:sz="8" w:color="00162F"/>
            </w:tcBorders>
          </w:tcPr>
          <w:p>
            <w:pPr>
              <w:spacing w:after="0"/>
              <w:rPr>
                <w:sz w:val="18"/>
                <w:szCs w:val="18"/>
                <w:color w:val="auto"/>
              </w:rPr>
            </w:pPr>
          </w:p>
        </w:tc>
        <w:tc>
          <w:tcPr>
            <w:tcW w:w="1840" w:type="dxa"/>
            <w:vAlign w:val="bottom"/>
            <w:tcBorders>
              <w:bottom w:val="single" w:sz="8" w:color="00162F"/>
            </w:tcBorders>
            <w:gridSpan w:val="3"/>
          </w:tcPr>
          <w:p>
            <w:pPr>
              <w:jc w:val="right"/>
              <w:spacing w:after="0"/>
              <w:rPr>
                <w:sz w:val="20"/>
                <w:szCs w:val="20"/>
                <w:color w:val="auto"/>
              </w:rPr>
            </w:pPr>
            <w:r>
              <w:rPr>
                <w:rFonts w:ascii="Arial" w:cs="Arial" w:eastAsia="Arial" w:hAnsi="Arial"/>
                <w:sz w:val="16"/>
                <w:szCs w:val="16"/>
                <w:b w:val="1"/>
                <w:bCs w:val="1"/>
                <w:color w:val="00162F"/>
              </w:rPr>
              <w:t>December 31,</w:t>
            </w:r>
          </w:p>
        </w:tc>
        <w:tc>
          <w:tcPr>
            <w:tcW w:w="1040" w:type="dxa"/>
            <w:vAlign w:val="bottom"/>
            <w:tcBorders>
              <w:bottom w:val="single" w:sz="8" w:color="00162F"/>
            </w:tcBorders>
          </w:tcPr>
          <w:p>
            <w:pPr>
              <w:spacing w:after="0"/>
              <w:rPr>
                <w:sz w:val="18"/>
                <w:szCs w:val="18"/>
                <w:color w:val="auto"/>
              </w:rPr>
            </w:pPr>
          </w:p>
        </w:tc>
      </w:tr>
      <w:tr>
        <w:trPr>
          <w:trHeight w:val="218"/>
        </w:trPr>
        <w:tc>
          <w:tcPr>
            <w:tcW w:w="7400" w:type="dxa"/>
            <w:vAlign w:val="bottom"/>
            <w:tcBorders>
              <w:bottom w:val="single" w:sz="8" w:color="EDEDED"/>
            </w:tcBorders>
          </w:tcPr>
          <w:p>
            <w:pPr>
              <w:spacing w:after="0"/>
              <w:rPr>
                <w:sz w:val="18"/>
                <w:szCs w:val="18"/>
                <w:color w:val="auto"/>
              </w:rPr>
            </w:pPr>
          </w:p>
        </w:tc>
        <w:tc>
          <w:tcPr>
            <w:tcW w:w="400" w:type="dxa"/>
            <w:vAlign w:val="bottom"/>
            <w:tcBorders>
              <w:bottom w:val="single" w:sz="8" w:color="00162F"/>
            </w:tcBorders>
          </w:tcPr>
          <w:p>
            <w:pPr>
              <w:spacing w:after="0"/>
              <w:rPr>
                <w:sz w:val="18"/>
                <w:szCs w:val="18"/>
                <w:color w:val="auto"/>
              </w:rPr>
            </w:pPr>
          </w:p>
        </w:tc>
        <w:tc>
          <w:tcPr>
            <w:tcW w:w="1200" w:type="dxa"/>
            <w:vAlign w:val="bottom"/>
            <w:tcBorders>
              <w:bottom w:val="single" w:sz="8" w:color="00162F"/>
            </w:tcBorders>
          </w:tcPr>
          <w:p>
            <w:pPr>
              <w:jc w:val="right"/>
              <w:ind w:right="531"/>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18"/>
                <w:szCs w:val="18"/>
                <w:color w:val="auto"/>
              </w:rPr>
            </w:pPr>
          </w:p>
        </w:tc>
        <w:tc>
          <w:tcPr>
            <w:tcW w:w="560" w:type="dxa"/>
            <w:vAlign w:val="bottom"/>
            <w:tcBorders>
              <w:bottom w:val="single" w:sz="8" w:color="00162F"/>
            </w:tcBorders>
          </w:tcPr>
          <w:p>
            <w:pPr>
              <w:spacing w:after="0"/>
              <w:rPr>
                <w:sz w:val="18"/>
                <w:szCs w:val="18"/>
                <w:color w:val="auto"/>
              </w:rPr>
            </w:pPr>
          </w:p>
        </w:tc>
        <w:tc>
          <w:tcPr>
            <w:tcW w:w="1040" w:type="dxa"/>
            <w:vAlign w:val="bottom"/>
            <w:tcBorders>
              <w:bottom w:val="single" w:sz="8" w:color="00162F"/>
            </w:tcBorders>
          </w:tcPr>
          <w:p>
            <w:pPr>
              <w:jc w:val="right"/>
              <w:ind w:right="531"/>
              <w:spacing w:after="0"/>
              <w:rPr>
                <w:sz w:val="20"/>
                <w:szCs w:val="20"/>
                <w:color w:val="auto"/>
              </w:rPr>
            </w:pPr>
            <w:r>
              <w:rPr>
                <w:rFonts w:ascii="Arial" w:cs="Arial" w:eastAsia="Arial" w:hAnsi="Arial"/>
                <w:sz w:val="16"/>
                <w:szCs w:val="16"/>
                <w:b w:val="1"/>
                <w:bCs w:val="1"/>
                <w:color w:val="00162F"/>
              </w:rPr>
              <w:t>2024</w:t>
            </w:r>
          </w:p>
        </w:tc>
      </w:tr>
      <w:tr>
        <w:trPr>
          <w:trHeight w:val="228"/>
        </w:trPr>
        <w:tc>
          <w:tcPr>
            <w:tcW w:w="7400" w:type="dxa"/>
            <w:vAlign w:val="bottom"/>
            <w:shd w:val="clear" w:color="auto" w:fill="EDEDED"/>
          </w:tcPr>
          <w:p>
            <w:pPr>
              <w:ind w:left="40"/>
              <w:spacing w:after="0"/>
              <w:rPr>
                <w:sz w:val="20"/>
                <w:szCs w:val="20"/>
                <w:color w:val="auto"/>
              </w:rPr>
            </w:pPr>
            <w:r>
              <w:rPr>
                <w:rFonts w:ascii="Arial" w:cs="Arial" w:eastAsia="Arial" w:hAnsi="Arial"/>
                <w:sz w:val="18"/>
                <w:szCs w:val="18"/>
                <w:b w:val="1"/>
                <w:bCs w:val="1"/>
                <w:color w:val="00162F"/>
              </w:rPr>
              <w:t>ASSETS</w:t>
            </w:r>
          </w:p>
        </w:tc>
        <w:tc>
          <w:tcPr>
            <w:tcW w:w="400" w:type="dxa"/>
            <w:vAlign w:val="bottom"/>
            <w:shd w:val="clear" w:color="auto" w:fill="EDEDED"/>
          </w:tcPr>
          <w:p>
            <w:pPr>
              <w:spacing w:after="0"/>
              <w:rPr>
                <w:sz w:val="19"/>
                <w:szCs w:val="19"/>
                <w:color w:val="auto"/>
              </w:rPr>
            </w:pPr>
          </w:p>
        </w:tc>
        <w:tc>
          <w:tcPr>
            <w:tcW w:w="120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560" w:type="dxa"/>
            <w:vAlign w:val="bottom"/>
            <w:shd w:val="clear" w:color="auto" w:fill="EDEDED"/>
          </w:tcPr>
          <w:p>
            <w:pPr>
              <w:spacing w:after="0"/>
              <w:rPr>
                <w:sz w:val="19"/>
                <w:szCs w:val="19"/>
                <w:color w:val="auto"/>
              </w:rPr>
            </w:pPr>
          </w:p>
        </w:tc>
        <w:tc>
          <w:tcPr>
            <w:tcW w:w="1040" w:type="dxa"/>
            <w:vAlign w:val="bottom"/>
            <w:shd w:val="clear" w:color="auto" w:fill="EDEDED"/>
          </w:tcPr>
          <w:p>
            <w:pPr>
              <w:spacing w:after="0"/>
              <w:rPr>
                <w:sz w:val="19"/>
                <w:szCs w:val="19"/>
                <w:color w:val="auto"/>
              </w:rPr>
            </w:pPr>
          </w:p>
        </w:tc>
      </w:tr>
      <w:tr>
        <w:trPr>
          <w:trHeight w:val="238"/>
        </w:trPr>
        <w:tc>
          <w:tcPr>
            <w:tcW w:w="7400" w:type="dxa"/>
            <w:vAlign w:val="bottom"/>
          </w:tcPr>
          <w:p>
            <w:pPr>
              <w:ind w:left="40"/>
              <w:spacing w:after="0"/>
              <w:rPr>
                <w:sz w:val="20"/>
                <w:szCs w:val="20"/>
                <w:color w:val="auto"/>
              </w:rPr>
            </w:pPr>
            <w:r>
              <w:rPr>
                <w:rFonts w:ascii="Arial" w:cs="Arial" w:eastAsia="Arial" w:hAnsi="Arial"/>
                <w:sz w:val="18"/>
                <w:szCs w:val="18"/>
                <w:b w:val="1"/>
                <w:bCs w:val="1"/>
                <w:color w:val="00162F"/>
              </w:rPr>
              <w:t>Current assets</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8"/>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Cash</w:t>
            </w:r>
          </w:p>
        </w:tc>
        <w:tc>
          <w:tcPr>
            <w:tcW w:w="400" w:type="dxa"/>
            <w:vAlign w:val="bottom"/>
            <w:shd w:val="clear" w:color="auto" w:fill="EDEDED"/>
          </w:tcPr>
          <w:p>
            <w:pPr>
              <w:jc w:val="right"/>
              <w:ind w:right="151"/>
              <w:spacing w:after="0"/>
              <w:rPr>
                <w:sz w:val="20"/>
                <w:szCs w:val="20"/>
                <w:color w:val="auto"/>
              </w:rPr>
            </w:pPr>
            <w:r>
              <w:rPr>
                <w:rFonts w:ascii="Arial" w:cs="Arial" w:eastAsia="Arial" w:hAnsi="Arial"/>
                <w:sz w:val="18"/>
                <w:szCs w:val="18"/>
                <w:color w:val="00162F"/>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936</w:t>
            </w:r>
          </w:p>
        </w:tc>
        <w:tc>
          <w:tcPr>
            <w:tcW w:w="640" w:type="dxa"/>
            <w:vAlign w:val="bottom"/>
            <w:gridSpan w:val="2"/>
            <w:shd w:val="clear" w:color="auto" w:fill="EDEDED"/>
          </w:tcPr>
          <w:p>
            <w:pPr>
              <w:jc w:val="right"/>
              <w:ind w:right="311"/>
              <w:spacing w:after="0"/>
              <w:rPr>
                <w:sz w:val="20"/>
                <w:szCs w:val="20"/>
                <w:color w:val="auto"/>
              </w:rPr>
            </w:pPr>
            <w:r>
              <w:rPr>
                <w:rFonts w:ascii="Arial" w:cs="Arial" w:eastAsia="Arial" w:hAnsi="Arial"/>
                <w:sz w:val="18"/>
                <w:szCs w:val="18"/>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795</w:t>
            </w: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Short-term investments</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4,880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6,177</w:t>
            </w:r>
          </w:p>
        </w:tc>
      </w:tr>
      <w:tr>
        <w:trPr>
          <w:trHeight w:val="239"/>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Restricted cash and short-term investments</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735</w:t>
            </w: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732</w:t>
            </w: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Accounts receivable, net</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2,041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1,977</w:t>
            </w:r>
          </w:p>
        </w:tc>
      </w:tr>
      <w:tr>
        <w:trPr>
          <w:trHeight w:val="239"/>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Receivables from related parties, net</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9,896</w:t>
            </w: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8,187</w:t>
            </w: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Aircraft fuel, spare parts and supplies, net</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2,596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2,476</w:t>
            </w:r>
          </w:p>
        </w:tc>
      </w:tr>
      <w:tr>
        <w:trPr>
          <w:trHeight w:val="249"/>
        </w:trPr>
        <w:tc>
          <w:tcPr>
            <w:tcW w:w="740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18"/>
                <w:szCs w:val="18"/>
                <w:color w:val="00162F"/>
              </w:rPr>
              <w:t>Prepaid expenses and other</w:t>
            </w:r>
          </w:p>
        </w:tc>
        <w:tc>
          <w:tcPr>
            <w:tcW w:w="400" w:type="dxa"/>
            <w:vAlign w:val="bottom"/>
            <w:tcBorders>
              <w:bottom w:val="single" w:sz="8" w:color="00162F"/>
            </w:tcBorders>
            <w:shd w:val="clear" w:color="auto" w:fill="EDEDED"/>
          </w:tcPr>
          <w:p>
            <w:pPr>
              <w:spacing w:after="0"/>
              <w:rPr>
                <w:sz w:val="21"/>
                <w:szCs w:val="21"/>
                <w:color w:val="auto"/>
              </w:rPr>
            </w:pPr>
          </w:p>
        </w:tc>
        <w:tc>
          <w:tcPr>
            <w:tcW w:w="12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645</w:t>
            </w:r>
          </w:p>
        </w:tc>
        <w:tc>
          <w:tcPr>
            <w:tcW w:w="80" w:type="dxa"/>
            <w:vAlign w:val="bottom"/>
            <w:tcBorders>
              <w:bottom w:val="single" w:sz="8" w:color="EDEDED"/>
            </w:tcBorders>
            <w:shd w:val="clear" w:color="auto" w:fill="EDEDED"/>
          </w:tcPr>
          <w:p>
            <w:pPr>
              <w:spacing w:after="0"/>
              <w:rPr>
                <w:sz w:val="21"/>
                <w:szCs w:val="21"/>
                <w:color w:val="auto"/>
              </w:rPr>
            </w:pPr>
          </w:p>
        </w:tc>
        <w:tc>
          <w:tcPr>
            <w:tcW w:w="560" w:type="dxa"/>
            <w:vAlign w:val="bottom"/>
            <w:tcBorders>
              <w:bottom w:val="single" w:sz="8" w:color="00162F"/>
            </w:tcBorders>
            <w:shd w:val="clear" w:color="auto" w:fill="EDEDED"/>
          </w:tcPr>
          <w:p>
            <w:pPr>
              <w:spacing w:after="0"/>
              <w:rPr>
                <w:sz w:val="21"/>
                <w:szCs w:val="21"/>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675</w:t>
            </w:r>
          </w:p>
        </w:tc>
      </w:tr>
      <w:tr>
        <w:trPr>
          <w:trHeight w:val="208"/>
        </w:trPr>
        <w:tc>
          <w:tcPr>
            <w:tcW w:w="7400" w:type="dxa"/>
            <w:vAlign w:val="bottom"/>
          </w:tcPr>
          <w:p>
            <w:pPr>
              <w:ind w:left="540"/>
              <w:spacing w:after="0"/>
              <w:rPr>
                <w:sz w:val="20"/>
                <w:szCs w:val="20"/>
                <w:color w:val="auto"/>
              </w:rPr>
            </w:pPr>
            <w:r>
              <w:rPr>
                <w:rFonts w:ascii="Arial" w:cs="Arial" w:eastAsia="Arial" w:hAnsi="Arial"/>
                <w:sz w:val="18"/>
                <w:szCs w:val="18"/>
                <w:color w:val="00162F"/>
              </w:rPr>
              <w:t>Total current assets</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21,729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21,019</w:t>
            </w:r>
          </w:p>
        </w:tc>
      </w:tr>
      <w:tr>
        <w:trPr>
          <w:trHeight w:val="238"/>
        </w:trPr>
        <w:tc>
          <w:tcPr>
            <w:tcW w:w="7400" w:type="dxa"/>
            <w:vAlign w:val="bottom"/>
            <w:shd w:val="clear" w:color="auto" w:fill="EDEDED"/>
          </w:tcPr>
          <w:p>
            <w:pPr>
              <w:ind w:left="40"/>
              <w:spacing w:after="0"/>
              <w:rPr>
                <w:sz w:val="20"/>
                <w:szCs w:val="20"/>
                <w:color w:val="auto"/>
              </w:rPr>
            </w:pPr>
            <w:r>
              <w:rPr>
                <w:rFonts w:ascii="Arial" w:cs="Arial" w:eastAsia="Arial" w:hAnsi="Arial"/>
                <w:sz w:val="18"/>
                <w:szCs w:val="18"/>
                <w:b w:val="1"/>
                <w:bCs w:val="1"/>
                <w:color w:val="00162F"/>
              </w:rPr>
              <w:t>Operating property and equipment</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spacing w:after="0"/>
              <w:rPr>
                <w:sz w:val="20"/>
                <w:szCs w:val="20"/>
                <w:color w:val="auto"/>
              </w:rPr>
            </w:pP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spacing w:after="0"/>
              <w:rPr>
                <w:sz w:val="20"/>
                <w:szCs w:val="20"/>
                <w:color w:val="auto"/>
              </w:rPr>
            </w:pP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Flight equipment</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46,226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43,158</w:t>
            </w:r>
          </w:p>
        </w:tc>
      </w:tr>
      <w:tr>
        <w:trPr>
          <w:trHeight w:val="239"/>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Ground property and equipment</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9,954</w:t>
            </w: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9,709</w:t>
            </w:r>
          </w:p>
        </w:tc>
      </w:tr>
      <w:tr>
        <w:trPr>
          <w:trHeight w:val="228"/>
        </w:trPr>
        <w:tc>
          <w:tcPr>
            <w:tcW w:w="7400" w:type="dxa"/>
            <w:vAlign w:val="bottom"/>
            <w:tcBorders>
              <w:bottom w:val="single" w:sz="8" w:color="EDEDED"/>
            </w:tcBorders>
          </w:tcPr>
          <w:p>
            <w:pPr>
              <w:ind w:left="260"/>
              <w:spacing w:after="0"/>
              <w:rPr>
                <w:sz w:val="20"/>
                <w:szCs w:val="20"/>
                <w:color w:val="auto"/>
              </w:rPr>
            </w:pPr>
            <w:r>
              <w:rPr>
                <w:rFonts w:ascii="Arial" w:cs="Arial" w:eastAsia="Arial" w:hAnsi="Arial"/>
                <w:sz w:val="18"/>
                <w:szCs w:val="18"/>
                <w:color w:val="00162F"/>
              </w:rPr>
              <w:t>Equipment purchase deposits</w:t>
            </w:r>
          </w:p>
        </w:tc>
        <w:tc>
          <w:tcPr>
            <w:tcW w:w="400" w:type="dxa"/>
            <w:vAlign w:val="bottom"/>
            <w:tcBorders>
              <w:bottom w:val="single" w:sz="8" w:color="00162F"/>
            </w:tcBorders>
          </w:tcPr>
          <w:p>
            <w:pPr>
              <w:spacing w:after="0"/>
              <w:rPr>
                <w:sz w:val="19"/>
                <w:szCs w:val="19"/>
                <w:color w:val="auto"/>
              </w:rPr>
            </w:pPr>
          </w:p>
        </w:tc>
        <w:tc>
          <w:tcPr>
            <w:tcW w:w="120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656</w:t>
            </w:r>
          </w:p>
        </w:tc>
        <w:tc>
          <w:tcPr>
            <w:tcW w:w="80" w:type="dxa"/>
            <w:vAlign w:val="bottom"/>
            <w:tcBorders>
              <w:bottom w:val="single" w:sz="8" w:color="EDEDED"/>
            </w:tcBorders>
          </w:tcPr>
          <w:p>
            <w:pPr>
              <w:spacing w:after="0"/>
              <w:rPr>
                <w:sz w:val="19"/>
                <w:szCs w:val="19"/>
                <w:color w:val="auto"/>
              </w:rPr>
            </w:pPr>
          </w:p>
        </w:tc>
        <w:tc>
          <w:tcPr>
            <w:tcW w:w="560" w:type="dxa"/>
            <w:vAlign w:val="bottom"/>
            <w:tcBorders>
              <w:bottom w:val="single" w:sz="8" w:color="00162F"/>
            </w:tcBorders>
          </w:tcPr>
          <w:p>
            <w:pPr>
              <w:spacing w:after="0"/>
              <w:rPr>
                <w:sz w:val="19"/>
                <w:szCs w:val="19"/>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1,012</w:t>
            </w:r>
          </w:p>
        </w:tc>
      </w:tr>
      <w:tr>
        <w:trPr>
          <w:trHeight w:val="228"/>
        </w:trPr>
        <w:tc>
          <w:tcPr>
            <w:tcW w:w="7400" w:type="dxa"/>
            <w:vAlign w:val="bottom"/>
            <w:shd w:val="clear" w:color="auto" w:fill="EDEDED"/>
          </w:tcPr>
          <w:p>
            <w:pPr>
              <w:ind w:left="540"/>
              <w:spacing w:after="0"/>
              <w:rPr>
                <w:sz w:val="20"/>
                <w:szCs w:val="20"/>
                <w:color w:val="auto"/>
              </w:rPr>
            </w:pPr>
            <w:r>
              <w:rPr>
                <w:rFonts w:ascii="Arial" w:cs="Arial" w:eastAsia="Arial" w:hAnsi="Arial"/>
                <w:sz w:val="18"/>
                <w:szCs w:val="18"/>
                <w:color w:val="00162F"/>
              </w:rPr>
              <w:t>Total property and equipment, at cost</w:t>
            </w:r>
          </w:p>
        </w:tc>
        <w:tc>
          <w:tcPr>
            <w:tcW w:w="40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56,836</w:t>
            </w:r>
          </w:p>
        </w:tc>
        <w:tc>
          <w:tcPr>
            <w:tcW w:w="80" w:type="dxa"/>
            <w:vAlign w:val="bottom"/>
            <w:shd w:val="clear" w:color="auto" w:fill="EDEDED"/>
          </w:tcPr>
          <w:p>
            <w:pPr>
              <w:spacing w:after="0"/>
              <w:rPr>
                <w:sz w:val="19"/>
                <w:szCs w:val="19"/>
                <w:color w:val="auto"/>
              </w:rPr>
            </w:pPr>
          </w:p>
        </w:tc>
        <w:tc>
          <w:tcPr>
            <w:tcW w:w="560" w:type="dxa"/>
            <w:vAlign w:val="bottom"/>
            <w:shd w:val="clear" w:color="auto" w:fill="EDEDED"/>
          </w:tcPr>
          <w:p>
            <w:pPr>
              <w:spacing w:after="0"/>
              <w:rPr>
                <w:sz w:val="19"/>
                <w:szCs w:val="19"/>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53,879</w:t>
            </w:r>
          </w:p>
        </w:tc>
      </w:tr>
      <w:tr>
        <w:trPr>
          <w:trHeight w:val="228"/>
        </w:trPr>
        <w:tc>
          <w:tcPr>
            <w:tcW w:w="7400" w:type="dxa"/>
            <w:vAlign w:val="bottom"/>
            <w:tcBorders>
              <w:bottom w:val="single" w:sz="8" w:color="EDEDED"/>
            </w:tcBorders>
          </w:tcPr>
          <w:p>
            <w:pPr>
              <w:ind w:left="260"/>
              <w:spacing w:after="0"/>
              <w:rPr>
                <w:sz w:val="20"/>
                <w:szCs w:val="20"/>
                <w:color w:val="auto"/>
              </w:rPr>
            </w:pPr>
            <w:r>
              <w:rPr>
                <w:rFonts w:ascii="Arial" w:cs="Arial" w:eastAsia="Arial" w:hAnsi="Arial"/>
                <w:sz w:val="18"/>
                <w:szCs w:val="18"/>
                <w:color w:val="00162F"/>
              </w:rPr>
              <w:t>Less accumulated depreciation and amortization</w:t>
            </w:r>
          </w:p>
        </w:tc>
        <w:tc>
          <w:tcPr>
            <w:tcW w:w="400" w:type="dxa"/>
            <w:vAlign w:val="bottom"/>
            <w:tcBorders>
              <w:bottom w:val="single" w:sz="8" w:color="00162F"/>
            </w:tcBorders>
          </w:tcPr>
          <w:p>
            <w:pPr>
              <w:spacing w:after="0"/>
              <w:rPr>
                <w:sz w:val="19"/>
                <w:szCs w:val="19"/>
                <w:color w:val="auto"/>
              </w:rPr>
            </w:pPr>
          </w:p>
        </w:tc>
        <w:tc>
          <w:tcPr>
            <w:tcW w:w="120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(24,621)</w:t>
            </w:r>
          </w:p>
        </w:tc>
        <w:tc>
          <w:tcPr>
            <w:tcW w:w="80" w:type="dxa"/>
            <w:vAlign w:val="bottom"/>
            <w:tcBorders>
              <w:bottom w:val="single" w:sz="8" w:color="EDEDED"/>
            </w:tcBorders>
          </w:tcPr>
          <w:p>
            <w:pPr>
              <w:spacing w:after="0"/>
              <w:rPr>
                <w:sz w:val="19"/>
                <w:szCs w:val="19"/>
                <w:color w:val="auto"/>
              </w:rPr>
            </w:pPr>
          </w:p>
        </w:tc>
        <w:tc>
          <w:tcPr>
            <w:tcW w:w="560" w:type="dxa"/>
            <w:vAlign w:val="bottom"/>
            <w:tcBorders>
              <w:bottom w:val="single" w:sz="8" w:color="00162F"/>
            </w:tcBorders>
          </w:tcPr>
          <w:p>
            <w:pPr>
              <w:spacing w:after="0"/>
              <w:rPr>
                <w:sz w:val="19"/>
                <w:szCs w:val="19"/>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(23,060)</w:t>
            </w:r>
          </w:p>
        </w:tc>
      </w:tr>
      <w:tr>
        <w:trPr>
          <w:trHeight w:val="228"/>
        </w:trPr>
        <w:tc>
          <w:tcPr>
            <w:tcW w:w="7400" w:type="dxa"/>
            <w:vAlign w:val="bottom"/>
            <w:shd w:val="clear" w:color="auto" w:fill="EDEDED"/>
          </w:tcPr>
          <w:p>
            <w:pPr>
              <w:ind w:left="540"/>
              <w:spacing w:after="0"/>
              <w:rPr>
                <w:sz w:val="20"/>
                <w:szCs w:val="20"/>
                <w:color w:val="auto"/>
              </w:rPr>
            </w:pPr>
            <w:r>
              <w:rPr>
                <w:rFonts w:ascii="Arial" w:cs="Arial" w:eastAsia="Arial" w:hAnsi="Arial"/>
                <w:sz w:val="18"/>
                <w:szCs w:val="18"/>
                <w:color w:val="00162F"/>
              </w:rPr>
              <w:t>Total property and equipment, net</w:t>
            </w:r>
          </w:p>
        </w:tc>
        <w:tc>
          <w:tcPr>
            <w:tcW w:w="40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32,215</w:t>
            </w:r>
          </w:p>
        </w:tc>
        <w:tc>
          <w:tcPr>
            <w:tcW w:w="80" w:type="dxa"/>
            <w:vAlign w:val="bottom"/>
            <w:shd w:val="clear" w:color="auto" w:fill="EDEDED"/>
          </w:tcPr>
          <w:p>
            <w:pPr>
              <w:spacing w:after="0"/>
              <w:rPr>
                <w:sz w:val="19"/>
                <w:szCs w:val="19"/>
                <w:color w:val="auto"/>
              </w:rPr>
            </w:pPr>
          </w:p>
        </w:tc>
        <w:tc>
          <w:tcPr>
            <w:tcW w:w="560" w:type="dxa"/>
            <w:vAlign w:val="bottom"/>
            <w:shd w:val="clear" w:color="auto" w:fill="EDEDED"/>
          </w:tcPr>
          <w:p>
            <w:pPr>
              <w:spacing w:after="0"/>
              <w:rPr>
                <w:sz w:val="19"/>
                <w:szCs w:val="19"/>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30,819</w:t>
            </w:r>
          </w:p>
        </w:tc>
      </w:tr>
      <w:tr>
        <w:trPr>
          <w:trHeight w:val="238"/>
        </w:trPr>
        <w:tc>
          <w:tcPr>
            <w:tcW w:w="7400" w:type="dxa"/>
            <w:vAlign w:val="bottom"/>
          </w:tcPr>
          <w:p>
            <w:pPr>
              <w:ind w:left="40"/>
              <w:spacing w:after="0"/>
              <w:rPr>
                <w:sz w:val="20"/>
                <w:szCs w:val="20"/>
                <w:color w:val="auto"/>
              </w:rPr>
            </w:pPr>
            <w:r>
              <w:rPr>
                <w:rFonts w:ascii="Arial" w:cs="Arial" w:eastAsia="Arial" w:hAnsi="Arial"/>
                <w:sz w:val="18"/>
                <w:szCs w:val="18"/>
                <w:b w:val="1"/>
                <w:bCs w:val="1"/>
                <w:color w:val="00162F"/>
              </w:rPr>
              <w:t>Operating lease right-of-use assets</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7,038</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7,274</w:t>
            </w:r>
          </w:p>
        </w:tc>
      </w:tr>
      <w:tr>
        <w:trPr>
          <w:trHeight w:val="238"/>
        </w:trPr>
        <w:tc>
          <w:tcPr>
            <w:tcW w:w="7400" w:type="dxa"/>
            <w:vAlign w:val="bottom"/>
            <w:shd w:val="clear" w:color="auto" w:fill="EDEDED"/>
          </w:tcPr>
          <w:p>
            <w:pPr>
              <w:ind w:left="40"/>
              <w:spacing w:after="0"/>
              <w:rPr>
                <w:sz w:val="20"/>
                <w:szCs w:val="20"/>
                <w:color w:val="auto"/>
              </w:rPr>
            </w:pPr>
            <w:r>
              <w:rPr>
                <w:rFonts w:ascii="Arial" w:cs="Arial" w:eastAsia="Arial" w:hAnsi="Arial"/>
                <w:sz w:val="18"/>
                <w:szCs w:val="18"/>
                <w:b w:val="1"/>
                <w:bCs w:val="1"/>
                <w:color w:val="00162F"/>
              </w:rPr>
              <w:t>Other assets</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spacing w:after="0"/>
              <w:rPr>
                <w:sz w:val="20"/>
                <w:szCs w:val="20"/>
                <w:color w:val="auto"/>
              </w:rPr>
            </w:pP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spacing w:after="0"/>
              <w:rPr>
                <w:sz w:val="20"/>
                <w:szCs w:val="20"/>
                <w:color w:val="auto"/>
              </w:rPr>
            </w:pP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Goodwill</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4,091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4,091</w:t>
            </w:r>
          </w:p>
        </w:tc>
      </w:tr>
      <w:tr>
        <w:trPr>
          <w:trHeight w:val="239"/>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Intangibles, net of accumulated amortization of $848 and $841, respectively</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2,066</w:t>
            </w: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2,044</w:t>
            </w: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Deferred tax asset</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1,832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2,068</w:t>
            </w:r>
          </w:p>
        </w:tc>
      </w:tr>
      <w:tr>
        <w:trPr>
          <w:trHeight w:val="249"/>
        </w:trPr>
        <w:tc>
          <w:tcPr>
            <w:tcW w:w="740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18"/>
                <w:szCs w:val="18"/>
                <w:color w:val="00162F"/>
              </w:rPr>
              <w:t>Other assets</w:t>
            </w:r>
          </w:p>
        </w:tc>
        <w:tc>
          <w:tcPr>
            <w:tcW w:w="400" w:type="dxa"/>
            <w:vAlign w:val="bottom"/>
            <w:tcBorders>
              <w:bottom w:val="single" w:sz="8" w:color="00162F"/>
            </w:tcBorders>
            <w:shd w:val="clear" w:color="auto" w:fill="EDEDED"/>
          </w:tcPr>
          <w:p>
            <w:pPr>
              <w:spacing w:after="0"/>
              <w:rPr>
                <w:sz w:val="21"/>
                <w:szCs w:val="21"/>
                <w:color w:val="auto"/>
              </w:rPr>
            </w:pPr>
          </w:p>
        </w:tc>
        <w:tc>
          <w:tcPr>
            <w:tcW w:w="12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1,276</w:t>
            </w:r>
          </w:p>
        </w:tc>
        <w:tc>
          <w:tcPr>
            <w:tcW w:w="80" w:type="dxa"/>
            <w:vAlign w:val="bottom"/>
            <w:tcBorders>
              <w:bottom w:val="single" w:sz="8" w:color="EDEDED"/>
            </w:tcBorders>
            <w:shd w:val="clear" w:color="auto" w:fill="EDEDED"/>
          </w:tcPr>
          <w:p>
            <w:pPr>
              <w:spacing w:after="0"/>
              <w:rPr>
                <w:sz w:val="21"/>
                <w:szCs w:val="21"/>
                <w:color w:val="auto"/>
              </w:rPr>
            </w:pPr>
          </w:p>
        </w:tc>
        <w:tc>
          <w:tcPr>
            <w:tcW w:w="560" w:type="dxa"/>
            <w:vAlign w:val="bottom"/>
            <w:tcBorders>
              <w:bottom w:val="single" w:sz="8" w:color="00162F"/>
            </w:tcBorders>
            <w:shd w:val="clear" w:color="auto" w:fill="EDEDED"/>
          </w:tcPr>
          <w:p>
            <w:pPr>
              <w:spacing w:after="0"/>
              <w:rPr>
                <w:sz w:val="21"/>
                <w:szCs w:val="21"/>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1,440</w:t>
            </w:r>
          </w:p>
        </w:tc>
      </w:tr>
      <w:tr>
        <w:trPr>
          <w:trHeight w:val="198"/>
        </w:trPr>
        <w:tc>
          <w:tcPr>
            <w:tcW w:w="7400" w:type="dxa"/>
            <w:vAlign w:val="bottom"/>
            <w:tcBorders>
              <w:bottom w:val="single" w:sz="8" w:color="EDEDED"/>
            </w:tcBorders>
          </w:tcPr>
          <w:p>
            <w:pPr>
              <w:ind w:left="540"/>
              <w:spacing w:after="0" w:line="198" w:lineRule="exact"/>
              <w:rPr>
                <w:sz w:val="20"/>
                <w:szCs w:val="20"/>
                <w:color w:val="auto"/>
              </w:rPr>
            </w:pPr>
            <w:r>
              <w:rPr>
                <w:rFonts w:ascii="Arial" w:cs="Arial" w:eastAsia="Arial" w:hAnsi="Arial"/>
                <w:sz w:val="18"/>
                <w:szCs w:val="18"/>
                <w:color w:val="00162F"/>
              </w:rPr>
              <w:t>Total other assets</w:t>
            </w:r>
          </w:p>
        </w:tc>
        <w:tc>
          <w:tcPr>
            <w:tcW w:w="400" w:type="dxa"/>
            <w:vAlign w:val="bottom"/>
            <w:tcBorders>
              <w:bottom w:val="single" w:sz="8" w:color="00162F"/>
            </w:tcBorders>
          </w:tcPr>
          <w:p>
            <w:pPr>
              <w:spacing w:after="0"/>
              <w:rPr>
                <w:sz w:val="17"/>
                <w:szCs w:val="17"/>
                <w:color w:val="auto"/>
              </w:rPr>
            </w:pPr>
          </w:p>
        </w:tc>
        <w:tc>
          <w:tcPr>
            <w:tcW w:w="1200" w:type="dxa"/>
            <w:vAlign w:val="bottom"/>
            <w:tcBorders>
              <w:bottom w:val="single" w:sz="8" w:color="00162F"/>
            </w:tcBorders>
          </w:tcPr>
          <w:p>
            <w:pPr>
              <w:jc w:val="right"/>
              <w:spacing w:after="0" w:line="198" w:lineRule="exact"/>
              <w:rPr>
                <w:sz w:val="20"/>
                <w:szCs w:val="20"/>
                <w:color w:val="auto"/>
              </w:rPr>
            </w:pPr>
            <w:r>
              <w:rPr>
                <w:rFonts w:ascii="Arial" w:cs="Arial" w:eastAsia="Arial" w:hAnsi="Arial"/>
                <w:sz w:val="18"/>
                <w:szCs w:val="18"/>
                <w:color w:val="00162F"/>
              </w:rPr>
              <w:t>9,265</w:t>
            </w:r>
          </w:p>
        </w:tc>
        <w:tc>
          <w:tcPr>
            <w:tcW w:w="80" w:type="dxa"/>
            <w:vAlign w:val="bottom"/>
            <w:tcBorders>
              <w:bottom w:val="single" w:sz="8" w:color="EDEDED"/>
            </w:tcBorders>
          </w:tcPr>
          <w:p>
            <w:pPr>
              <w:spacing w:after="0"/>
              <w:rPr>
                <w:sz w:val="17"/>
                <w:szCs w:val="17"/>
                <w:color w:val="auto"/>
              </w:rPr>
            </w:pPr>
          </w:p>
        </w:tc>
        <w:tc>
          <w:tcPr>
            <w:tcW w:w="560" w:type="dxa"/>
            <w:vAlign w:val="bottom"/>
            <w:tcBorders>
              <w:bottom w:val="single" w:sz="8" w:color="00162F"/>
            </w:tcBorders>
          </w:tcPr>
          <w:p>
            <w:pPr>
              <w:spacing w:after="0"/>
              <w:rPr>
                <w:sz w:val="17"/>
                <w:szCs w:val="17"/>
                <w:color w:val="auto"/>
              </w:rPr>
            </w:pPr>
          </w:p>
        </w:tc>
        <w:tc>
          <w:tcPr>
            <w:tcW w:w="1040" w:type="dxa"/>
            <w:vAlign w:val="bottom"/>
            <w:tcBorders>
              <w:bottom w:val="single" w:sz="8" w:color="00162F"/>
            </w:tcBorders>
          </w:tcPr>
          <w:p>
            <w:pPr>
              <w:jc w:val="right"/>
              <w:spacing w:after="0" w:line="198" w:lineRule="exact"/>
              <w:rPr>
                <w:sz w:val="20"/>
                <w:szCs w:val="20"/>
                <w:color w:val="auto"/>
              </w:rPr>
            </w:pPr>
            <w:r>
              <w:rPr>
                <w:rFonts w:ascii="Arial" w:cs="Arial" w:eastAsia="Arial" w:hAnsi="Arial"/>
                <w:sz w:val="18"/>
                <w:szCs w:val="18"/>
                <w:color w:val="00162F"/>
              </w:rPr>
              <w:t>9,643</w:t>
            </w:r>
          </w:p>
        </w:tc>
      </w:tr>
      <w:tr>
        <w:trPr>
          <w:trHeight w:val="237"/>
        </w:trPr>
        <w:tc>
          <w:tcPr>
            <w:tcW w:w="7400" w:type="dxa"/>
            <w:vAlign w:val="bottom"/>
            <w:tcBorders>
              <w:bottom w:val="single" w:sz="8" w:color="EDEDED"/>
            </w:tcBorders>
            <w:shd w:val="clear" w:color="auto" w:fill="EDEDED"/>
          </w:tcPr>
          <w:p>
            <w:pPr>
              <w:ind w:left="760"/>
              <w:spacing w:after="0" w:line="198" w:lineRule="exact"/>
              <w:rPr>
                <w:sz w:val="20"/>
                <w:szCs w:val="20"/>
                <w:color w:val="auto"/>
              </w:rPr>
            </w:pPr>
            <w:r>
              <w:rPr>
                <w:rFonts w:ascii="Arial" w:cs="Arial" w:eastAsia="Arial" w:hAnsi="Arial"/>
                <w:sz w:val="18"/>
                <w:szCs w:val="18"/>
                <w:b w:val="1"/>
                <w:bCs w:val="1"/>
                <w:color w:val="00162F"/>
              </w:rPr>
              <w:t>Total assets</w:t>
            </w:r>
          </w:p>
        </w:tc>
        <w:tc>
          <w:tcPr>
            <w:tcW w:w="400" w:type="dxa"/>
            <w:vAlign w:val="bottom"/>
            <w:tcBorders>
              <w:bottom w:val="single" w:sz="8" w:color="00162F"/>
            </w:tcBorders>
            <w:shd w:val="clear" w:color="auto" w:fill="EDEDED"/>
          </w:tcPr>
          <w:p>
            <w:pPr>
              <w:jc w:val="right"/>
              <w:ind w:right="151"/>
              <w:spacing w:after="0" w:line="198" w:lineRule="exact"/>
              <w:rPr>
                <w:sz w:val="20"/>
                <w:szCs w:val="20"/>
                <w:color w:val="auto"/>
              </w:rPr>
            </w:pPr>
            <w:r>
              <w:rPr>
                <w:rFonts w:ascii="Arial" w:cs="Arial" w:eastAsia="Arial" w:hAnsi="Arial"/>
                <w:sz w:val="18"/>
                <w:szCs w:val="18"/>
                <w:color w:val="00162F"/>
              </w:rPr>
              <w:t>$</w:t>
            </w:r>
          </w:p>
        </w:tc>
        <w:tc>
          <w:tcPr>
            <w:tcW w:w="1200" w:type="dxa"/>
            <w:vAlign w:val="bottom"/>
            <w:tcBorders>
              <w:bottom w:val="single" w:sz="8" w:color="00162F"/>
            </w:tcBorders>
            <w:shd w:val="clear" w:color="auto" w:fill="EDEDED"/>
          </w:tcPr>
          <w:p>
            <w:pPr>
              <w:jc w:val="right"/>
              <w:spacing w:after="0" w:line="198" w:lineRule="exact"/>
              <w:rPr>
                <w:sz w:val="20"/>
                <w:szCs w:val="20"/>
                <w:color w:val="auto"/>
              </w:rPr>
            </w:pPr>
            <w:r>
              <w:rPr>
                <w:rFonts w:ascii="Arial" w:cs="Arial" w:eastAsia="Arial" w:hAnsi="Arial"/>
                <w:sz w:val="18"/>
                <w:szCs w:val="18"/>
                <w:color w:val="00162F"/>
              </w:rPr>
              <w:t>70,247</w:t>
            </w:r>
          </w:p>
        </w:tc>
        <w:tc>
          <w:tcPr>
            <w:tcW w:w="80" w:type="dxa"/>
            <w:vAlign w:val="bottom"/>
            <w:tcBorders>
              <w:bottom w:val="single" w:sz="8" w:color="EDEDED"/>
            </w:tcBorders>
            <w:shd w:val="clear" w:color="auto" w:fill="EDEDED"/>
          </w:tcPr>
          <w:p>
            <w:pPr>
              <w:spacing w:after="0"/>
              <w:rPr>
                <w:sz w:val="20"/>
                <w:szCs w:val="20"/>
                <w:color w:val="auto"/>
              </w:rPr>
            </w:pPr>
          </w:p>
        </w:tc>
        <w:tc>
          <w:tcPr>
            <w:tcW w:w="560" w:type="dxa"/>
            <w:vAlign w:val="bottom"/>
            <w:tcBorders>
              <w:bottom w:val="single" w:sz="8" w:color="00162F"/>
            </w:tcBorders>
            <w:shd w:val="clear" w:color="auto" w:fill="EDEDED"/>
          </w:tcPr>
          <w:p>
            <w:pPr>
              <w:jc w:val="right"/>
              <w:ind w:right="311"/>
              <w:spacing w:after="0" w:line="198" w:lineRule="exact"/>
              <w:rPr>
                <w:sz w:val="20"/>
                <w:szCs w:val="20"/>
                <w:color w:val="auto"/>
              </w:rPr>
            </w:pPr>
            <w:r>
              <w:rPr>
                <w:rFonts w:ascii="Arial" w:cs="Arial" w:eastAsia="Arial" w:hAnsi="Arial"/>
                <w:sz w:val="18"/>
                <w:szCs w:val="18"/>
                <w:color w:val="00162F"/>
              </w:rPr>
              <w:t>$</w:t>
            </w:r>
          </w:p>
        </w:tc>
        <w:tc>
          <w:tcPr>
            <w:tcW w:w="1040" w:type="dxa"/>
            <w:vAlign w:val="bottom"/>
            <w:tcBorders>
              <w:bottom w:val="single" w:sz="8" w:color="00162F"/>
            </w:tcBorders>
            <w:shd w:val="clear" w:color="auto" w:fill="EDEDED"/>
          </w:tcPr>
          <w:p>
            <w:pPr>
              <w:jc w:val="right"/>
              <w:spacing w:after="0" w:line="198" w:lineRule="exact"/>
              <w:rPr>
                <w:sz w:val="20"/>
                <w:szCs w:val="20"/>
                <w:color w:val="auto"/>
              </w:rPr>
            </w:pPr>
            <w:r>
              <w:rPr>
                <w:rFonts w:ascii="Arial" w:cs="Arial" w:eastAsia="Arial" w:hAnsi="Arial"/>
                <w:sz w:val="18"/>
                <w:szCs w:val="18"/>
                <w:color w:val="00162F"/>
              </w:rPr>
              <w:t>68,755</w:t>
            </w:r>
          </w:p>
        </w:tc>
      </w:tr>
      <w:tr>
        <w:trPr>
          <w:trHeight w:val="208"/>
        </w:trPr>
        <w:tc>
          <w:tcPr>
            <w:tcW w:w="7400" w:type="dxa"/>
            <w:vAlign w:val="bottom"/>
          </w:tcPr>
          <w:p>
            <w:pPr>
              <w:ind w:left="40"/>
              <w:spacing w:after="0"/>
              <w:rPr>
                <w:sz w:val="20"/>
                <w:szCs w:val="20"/>
                <w:color w:val="auto"/>
              </w:rPr>
            </w:pPr>
            <w:r>
              <w:rPr>
                <w:rFonts w:ascii="Arial" w:cs="Arial" w:eastAsia="Arial" w:hAnsi="Arial"/>
                <w:sz w:val="18"/>
                <w:szCs w:val="18"/>
                <w:b w:val="1"/>
                <w:bCs w:val="1"/>
                <w:color w:val="00162F"/>
              </w:rPr>
              <w:t>LIABILITIES AND STOCKHOLDER’S EQUITY</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7400" w:type="dxa"/>
            <w:vAlign w:val="bottom"/>
            <w:shd w:val="clear" w:color="auto" w:fill="EDEDED"/>
          </w:tcPr>
          <w:p>
            <w:pPr>
              <w:ind w:left="40"/>
              <w:spacing w:after="0"/>
              <w:rPr>
                <w:sz w:val="20"/>
                <w:szCs w:val="20"/>
                <w:color w:val="auto"/>
              </w:rPr>
            </w:pPr>
            <w:r>
              <w:rPr>
                <w:rFonts w:ascii="Arial" w:cs="Arial" w:eastAsia="Arial" w:hAnsi="Arial"/>
                <w:sz w:val="18"/>
                <w:szCs w:val="18"/>
                <w:b w:val="1"/>
                <w:bCs w:val="1"/>
                <w:color w:val="00162F"/>
              </w:rPr>
              <w:t>Current liabilities</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spacing w:after="0"/>
              <w:rPr>
                <w:sz w:val="20"/>
                <w:szCs w:val="20"/>
                <w:color w:val="auto"/>
              </w:rPr>
            </w:pP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spacing w:after="0"/>
              <w:rPr>
                <w:sz w:val="20"/>
                <w:szCs w:val="20"/>
                <w:color w:val="auto"/>
              </w:rPr>
            </w:pP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Current maturities of long-term debt and finance leases</w:t>
            </w:r>
          </w:p>
        </w:tc>
        <w:tc>
          <w:tcPr>
            <w:tcW w:w="400" w:type="dxa"/>
            <w:vAlign w:val="bottom"/>
          </w:tcPr>
          <w:p>
            <w:pPr>
              <w:jc w:val="right"/>
              <w:ind w:right="151"/>
              <w:spacing w:after="0"/>
              <w:rPr>
                <w:sz w:val="20"/>
                <w:szCs w:val="20"/>
                <w:color w:val="auto"/>
              </w:rPr>
            </w:pPr>
            <w:r>
              <w:rPr>
                <w:rFonts w:ascii="Arial" w:cs="Arial" w:eastAsia="Arial" w:hAnsi="Arial"/>
                <w:sz w:val="18"/>
                <w:szCs w:val="18"/>
                <w:color w:val="00162F"/>
              </w:rPr>
              <w:t>$</w:t>
            </w:r>
          </w:p>
        </w:tc>
        <w:tc>
          <w:tcPr>
            <w:tcW w:w="1200" w:type="dxa"/>
            <w:vAlign w:val="bottom"/>
          </w:tcPr>
          <w:p>
            <w:pPr>
              <w:jc w:val="right"/>
              <w:spacing w:after="0"/>
              <w:rPr>
                <w:sz w:val="20"/>
                <w:szCs w:val="20"/>
                <w:color w:val="auto"/>
              </w:rPr>
            </w:pPr>
            <w:r>
              <w:rPr>
                <w:rFonts w:ascii="Arial" w:cs="Arial" w:eastAsia="Arial" w:hAnsi="Arial"/>
                <w:sz w:val="18"/>
                <w:szCs w:val="18"/>
                <w:color w:val="00162F"/>
              </w:rPr>
              <w:t>3,750</w:t>
            </w:r>
          </w:p>
        </w:tc>
        <w:tc>
          <w:tcPr>
            <w:tcW w:w="640" w:type="dxa"/>
            <w:vAlign w:val="bottom"/>
            <w:gridSpan w:val="2"/>
          </w:tcPr>
          <w:p>
            <w:pPr>
              <w:jc w:val="right"/>
              <w:ind w:right="311"/>
              <w:spacing w:after="0"/>
              <w:rPr>
                <w:sz w:val="20"/>
                <w:szCs w:val="20"/>
                <w:color w:val="auto"/>
              </w:rPr>
            </w:pPr>
            <w:r>
              <w:rPr>
                <w:rFonts w:ascii="Arial" w:cs="Arial" w:eastAsia="Arial" w:hAnsi="Arial"/>
                <w:sz w:val="18"/>
                <w:szCs w:val="18"/>
                <w:color w:val="00162F"/>
              </w:rPr>
              <w:t>$</w:t>
            </w:r>
          </w:p>
        </w:tc>
        <w:tc>
          <w:tcPr>
            <w:tcW w:w="1040" w:type="dxa"/>
            <w:vAlign w:val="bottom"/>
          </w:tcPr>
          <w:p>
            <w:pPr>
              <w:jc w:val="right"/>
              <w:spacing w:after="0"/>
              <w:rPr>
                <w:sz w:val="20"/>
                <w:szCs w:val="20"/>
                <w:color w:val="auto"/>
              </w:rPr>
            </w:pPr>
            <w:r>
              <w:rPr>
                <w:rFonts w:ascii="Arial" w:cs="Arial" w:eastAsia="Arial" w:hAnsi="Arial"/>
                <w:sz w:val="18"/>
                <w:szCs w:val="18"/>
                <w:color w:val="00162F"/>
              </w:rPr>
              <w:t>4,326</w:t>
            </w:r>
          </w:p>
        </w:tc>
      </w:tr>
      <w:tr>
        <w:trPr>
          <w:trHeight w:val="239"/>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Accounts payable</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2,717</w:t>
            </w: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2,372</w:t>
            </w: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Accrued salaries and wages</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1,957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1,995</w:t>
            </w:r>
          </w:p>
        </w:tc>
      </w:tr>
      <w:tr>
        <w:trPr>
          <w:trHeight w:val="239"/>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Air traffic liability</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7,158</w:t>
            </w: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6,759</w:t>
            </w: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Loyalty program liability</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3,725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3,556</w:t>
            </w:r>
          </w:p>
        </w:tc>
      </w:tr>
      <w:tr>
        <w:trPr>
          <w:trHeight w:val="239"/>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Operating lease liabilities</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1,048</w:t>
            </w: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1,082</w:t>
            </w: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Fuel financing</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914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74</w:t>
            </w:r>
          </w:p>
        </w:tc>
      </w:tr>
      <w:tr>
        <w:trPr>
          <w:trHeight w:val="249"/>
        </w:trPr>
        <w:tc>
          <w:tcPr>
            <w:tcW w:w="740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18"/>
                <w:szCs w:val="18"/>
                <w:color w:val="00162F"/>
              </w:rPr>
              <w:t>Other accrued liabilities</w:t>
            </w:r>
          </w:p>
        </w:tc>
        <w:tc>
          <w:tcPr>
            <w:tcW w:w="400" w:type="dxa"/>
            <w:vAlign w:val="bottom"/>
            <w:tcBorders>
              <w:bottom w:val="single" w:sz="8" w:color="00162F"/>
            </w:tcBorders>
            <w:shd w:val="clear" w:color="auto" w:fill="EDEDED"/>
          </w:tcPr>
          <w:p>
            <w:pPr>
              <w:spacing w:after="0"/>
              <w:rPr>
                <w:sz w:val="21"/>
                <w:szCs w:val="21"/>
                <w:color w:val="auto"/>
              </w:rPr>
            </w:pPr>
          </w:p>
        </w:tc>
        <w:tc>
          <w:tcPr>
            <w:tcW w:w="12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2,768</w:t>
            </w:r>
          </w:p>
        </w:tc>
        <w:tc>
          <w:tcPr>
            <w:tcW w:w="80" w:type="dxa"/>
            <w:vAlign w:val="bottom"/>
            <w:tcBorders>
              <w:bottom w:val="single" w:sz="8" w:color="EDEDED"/>
            </w:tcBorders>
            <w:shd w:val="clear" w:color="auto" w:fill="EDEDED"/>
          </w:tcPr>
          <w:p>
            <w:pPr>
              <w:spacing w:after="0"/>
              <w:rPr>
                <w:sz w:val="21"/>
                <w:szCs w:val="21"/>
                <w:color w:val="auto"/>
              </w:rPr>
            </w:pPr>
          </w:p>
        </w:tc>
        <w:tc>
          <w:tcPr>
            <w:tcW w:w="560" w:type="dxa"/>
            <w:vAlign w:val="bottom"/>
            <w:tcBorders>
              <w:bottom w:val="single" w:sz="8" w:color="00162F"/>
            </w:tcBorders>
            <w:shd w:val="clear" w:color="auto" w:fill="EDEDED"/>
          </w:tcPr>
          <w:p>
            <w:pPr>
              <w:spacing w:after="0"/>
              <w:rPr>
                <w:sz w:val="21"/>
                <w:szCs w:val="21"/>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2,738</w:t>
            </w:r>
          </w:p>
        </w:tc>
      </w:tr>
      <w:tr>
        <w:trPr>
          <w:trHeight w:val="208"/>
        </w:trPr>
        <w:tc>
          <w:tcPr>
            <w:tcW w:w="7400" w:type="dxa"/>
            <w:vAlign w:val="bottom"/>
          </w:tcPr>
          <w:p>
            <w:pPr>
              <w:ind w:left="540"/>
              <w:spacing w:after="0"/>
              <w:rPr>
                <w:sz w:val="20"/>
                <w:szCs w:val="20"/>
                <w:color w:val="auto"/>
              </w:rPr>
            </w:pPr>
            <w:r>
              <w:rPr>
                <w:rFonts w:ascii="Arial" w:cs="Arial" w:eastAsia="Arial" w:hAnsi="Arial"/>
                <w:sz w:val="18"/>
                <w:szCs w:val="18"/>
                <w:color w:val="00162F"/>
              </w:rPr>
              <w:t>Total current liabilities</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24,037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22,902</w:t>
            </w:r>
          </w:p>
        </w:tc>
      </w:tr>
      <w:tr>
        <w:trPr>
          <w:trHeight w:val="238"/>
        </w:trPr>
        <w:tc>
          <w:tcPr>
            <w:tcW w:w="7400" w:type="dxa"/>
            <w:vAlign w:val="bottom"/>
            <w:shd w:val="clear" w:color="auto" w:fill="EDEDED"/>
          </w:tcPr>
          <w:p>
            <w:pPr>
              <w:ind w:left="40"/>
              <w:spacing w:after="0"/>
              <w:rPr>
                <w:sz w:val="20"/>
                <w:szCs w:val="20"/>
                <w:color w:val="auto"/>
              </w:rPr>
            </w:pPr>
            <w:r>
              <w:rPr>
                <w:rFonts w:ascii="Arial" w:cs="Arial" w:eastAsia="Arial" w:hAnsi="Arial"/>
                <w:sz w:val="18"/>
                <w:szCs w:val="18"/>
                <w:b w:val="1"/>
                <w:bCs w:val="1"/>
                <w:color w:val="00162F"/>
              </w:rPr>
              <w:t>Noncurrent liabilities</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spacing w:after="0"/>
              <w:rPr>
                <w:sz w:val="20"/>
                <w:szCs w:val="20"/>
                <w:color w:val="auto"/>
              </w:rPr>
            </w:pP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spacing w:after="0"/>
              <w:rPr>
                <w:sz w:val="20"/>
                <w:szCs w:val="20"/>
                <w:color w:val="auto"/>
              </w:rPr>
            </w:pP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Long-term debt and finance leases, net of current maturities</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21,509</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21,410</w:t>
            </w:r>
          </w:p>
        </w:tc>
      </w:tr>
      <w:tr>
        <w:trPr>
          <w:trHeight w:val="239"/>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Pension and postretirement benefits</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1,566</w:t>
            </w: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2,115</w:t>
            </w: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Loyalty program liability</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6,839</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6,498</w:t>
            </w:r>
          </w:p>
        </w:tc>
      </w:tr>
      <w:tr>
        <w:trPr>
          <w:trHeight w:val="239"/>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Operating lease liabilities</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5,860</w:t>
            </w: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5,926</w:t>
            </w:r>
          </w:p>
        </w:tc>
      </w:tr>
      <w:tr>
        <w:trPr>
          <w:trHeight w:val="228"/>
        </w:trPr>
        <w:tc>
          <w:tcPr>
            <w:tcW w:w="7400" w:type="dxa"/>
            <w:vAlign w:val="bottom"/>
            <w:tcBorders>
              <w:bottom w:val="single" w:sz="8" w:color="EDEDED"/>
            </w:tcBorders>
          </w:tcPr>
          <w:p>
            <w:pPr>
              <w:ind w:left="260"/>
              <w:spacing w:after="0"/>
              <w:rPr>
                <w:sz w:val="20"/>
                <w:szCs w:val="20"/>
                <w:color w:val="auto"/>
              </w:rPr>
            </w:pPr>
            <w:r>
              <w:rPr>
                <w:rFonts w:ascii="Arial" w:cs="Arial" w:eastAsia="Arial" w:hAnsi="Arial"/>
                <w:sz w:val="18"/>
                <w:szCs w:val="18"/>
                <w:color w:val="00162F"/>
              </w:rPr>
              <w:t>Other liabilities</w:t>
            </w:r>
          </w:p>
        </w:tc>
        <w:tc>
          <w:tcPr>
            <w:tcW w:w="400" w:type="dxa"/>
            <w:vAlign w:val="bottom"/>
            <w:tcBorders>
              <w:bottom w:val="single" w:sz="8" w:color="00162F"/>
            </w:tcBorders>
          </w:tcPr>
          <w:p>
            <w:pPr>
              <w:spacing w:after="0"/>
              <w:rPr>
                <w:sz w:val="19"/>
                <w:szCs w:val="19"/>
                <w:color w:val="auto"/>
              </w:rPr>
            </w:pPr>
          </w:p>
        </w:tc>
        <w:tc>
          <w:tcPr>
            <w:tcW w:w="120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1,408</w:t>
            </w:r>
          </w:p>
        </w:tc>
        <w:tc>
          <w:tcPr>
            <w:tcW w:w="80" w:type="dxa"/>
            <w:vAlign w:val="bottom"/>
            <w:tcBorders>
              <w:bottom w:val="single" w:sz="8" w:color="EDEDED"/>
            </w:tcBorders>
          </w:tcPr>
          <w:p>
            <w:pPr>
              <w:spacing w:after="0"/>
              <w:rPr>
                <w:sz w:val="19"/>
                <w:szCs w:val="19"/>
                <w:color w:val="auto"/>
              </w:rPr>
            </w:pPr>
          </w:p>
        </w:tc>
        <w:tc>
          <w:tcPr>
            <w:tcW w:w="560" w:type="dxa"/>
            <w:vAlign w:val="bottom"/>
            <w:tcBorders>
              <w:bottom w:val="single" w:sz="8" w:color="00162F"/>
            </w:tcBorders>
          </w:tcPr>
          <w:p>
            <w:pPr>
              <w:spacing w:after="0"/>
              <w:rPr>
                <w:sz w:val="19"/>
                <w:szCs w:val="19"/>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18"/>
                <w:szCs w:val="18"/>
                <w:color w:val="00162F"/>
              </w:rPr>
              <w:t>1,670</w:t>
            </w:r>
          </w:p>
        </w:tc>
      </w:tr>
      <w:tr>
        <w:trPr>
          <w:trHeight w:val="228"/>
        </w:trPr>
        <w:tc>
          <w:tcPr>
            <w:tcW w:w="7400" w:type="dxa"/>
            <w:vAlign w:val="bottom"/>
            <w:shd w:val="clear" w:color="auto" w:fill="EDEDED"/>
          </w:tcPr>
          <w:p>
            <w:pPr>
              <w:ind w:left="540"/>
              <w:spacing w:after="0"/>
              <w:rPr>
                <w:sz w:val="20"/>
                <w:szCs w:val="20"/>
                <w:color w:val="auto"/>
              </w:rPr>
            </w:pPr>
            <w:r>
              <w:rPr>
                <w:rFonts w:ascii="Arial" w:cs="Arial" w:eastAsia="Arial" w:hAnsi="Arial"/>
                <w:sz w:val="18"/>
                <w:szCs w:val="18"/>
                <w:color w:val="00162F"/>
              </w:rPr>
              <w:t>Total noncurrent liabilities</w:t>
            </w:r>
          </w:p>
        </w:tc>
        <w:tc>
          <w:tcPr>
            <w:tcW w:w="40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37,182</w:t>
            </w:r>
          </w:p>
        </w:tc>
        <w:tc>
          <w:tcPr>
            <w:tcW w:w="80" w:type="dxa"/>
            <w:vAlign w:val="bottom"/>
            <w:shd w:val="clear" w:color="auto" w:fill="EDEDED"/>
          </w:tcPr>
          <w:p>
            <w:pPr>
              <w:spacing w:after="0"/>
              <w:rPr>
                <w:sz w:val="19"/>
                <w:szCs w:val="19"/>
                <w:color w:val="auto"/>
              </w:rPr>
            </w:pPr>
          </w:p>
        </w:tc>
        <w:tc>
          <w:tcPr>
            <w:tcW w:w="560" w:type="dxa"/>
            <w:vAlign w:val="bottom"/>
            <w:shd w:val="clear" w:color="auto" w:fill="EDEDED"/>
          </w:tcPr>
          <w:p>
            <w:pPr>
              <w:spacing w:after="0"/>
              <w:rPr>
                <w:sz w:val="19"/>
                <w:szCs w:val="19"/>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37,619</w:t>
            </w:r>
          </w:p>
        </w:tc>
      </w:tr>
      <w:tr>
        <w:trPr>
          <w:trHeight w:val="238"/>
        </w:trPr>
        <w:tc>
          <w:tcPr>
            <w:tcW w:w="7400" w:type="dxa"/>
            <w:vAlign w:val="bottom"/>
          </w:tcPr>
          <w:p>
            <w:pPr>
              <w:ind w:left="40"/>
              <w:spacing w:after="0"/>
              <w:rPr>
                <w:sz w:val="20"/>
                <w:szCs w:val="20"/>
                <w:color w:val="auto"/>
              </w:rPr>
            </w:pPr>
            <w:r>
              <w:rPr>
                <w:rFonts w:ascii="Arial" w:cs="Arial" w:eastAsia="Arial" w:hAnsi="Arial"/>
                <w:sz w:val="18"/>
                <w:szCs w:val="18"/>
                <w:b w:val="1"/>
                <w:bCs w:val="1"/>
                <w:color w:val="00162F"/>
              </w:rPr>
              <w:t>Commitments and contingencies (Note 10)</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8"/>
        </w:trPr>
        <w:tc>
          <w:tcPr>
            <w:tcW w:w="7400" w:type="dxa"/>
            <w:vAlign w:val="bottom"/>
            <w:shd w:val="clear" w:color="auto" w:fill="EDEDED"/>
          </w:tcPr>
          <w:p>
            <w:pPr>
              <w:ind w:left="40"/>
              <w:spacing w:after="0"/>
              <w:rPr>
                <w:sz w:val="20"/>
                <w:szCs w:val="20"/>
                <w:color w:val="auto"/>
              </w:rPr>
            </w:pPr>
            <w:r>
              <w:rPr>
                <w:rFonts w:ascii="Arial" w:cs="Arial" w:eastAsia="Arial" w:hAnsi="Arial"/>
                <w:sz w:val="18"/>
                <w:szCs w:val="18"/>
                <w:b w:val="1"/>
                <w:bCs w:val="1"/>
                <w:color w:val="00162F"/>
              </w:rPr>
              <w:t>Stockholder’s equity</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spacing w:after="0"/>
              <w:rPr>
                <w:sz w:val="20"/>
                <w:szCs w:val="20"/>
                <w:color w:val="auto"/>
              </w:rPr>
            </w:pP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spacing w:after="0"/>
              <w:rPr>
                <w:sz w:val="20"/>
                <w:szCs w:val="20"/>
                <w:color w:val="auto"/>
              </w:rPr>
            </w:pP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Common stock, $1.00 par value; 1,000 shares authorized, issued and outstanding</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w:t>
            </w:r>
          </w:p>
        </w:tc>
      </w:tr>
      <w:tr>
        <w:trPr>
          <w:trHeight w:val="239"/>
        </w:trPr>
        <w:tc>
          <w:tcPr>
            <w:tcW w:w="7400" w:type="dxa"/>
            <w:vAlign w:val="bottom"/>
            <w:shd w:val="clear" w:color="auto" w:fill="EDEDED"/>
          </w:tcPr>
          <w:p>
            <w:pPr>
              <w:ind w:left="260"/>
              <w:spacing w:after="0"/>
              <w:rPr>
                <w:sz w:val="20"/>
                <w:szCs w:val="20"/>
                <w:color w:val="auto"/>
              </w:rPr>
            </w:pPr>
            <w:r>
              <w:rPr>
                <w:rFonts w:ascii="Arial" w:cs="Arial" w:eastAsia="Arial" w:hAnsi="Arial"/>
                <w:sz w:val="18"/>
                <w:szCs w:val="18"/>
                <w:color w:val="00162F"/>
              </w:rPr>
              <w:t>Additional paid-in capital</w:t>
            </w:r>
          </w:p>
        </w:tc>
        <w:tc>
          <w:tcPr>
            <w:tcW w:w="400" w:type="dxa"/>
            <w:vAlign w:val="bottom"/>
            <w:shd w:val="clear" w:color="auto" w:fill="EDEDED"/>
          </w:tcPr>
          <w:p>
            <w:pPr>
              <w:spacing w:after="0"/>
              <w:rPr>
                <w:sz w:val="20"/>
                <w:szCs w:val="20"/>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17,468</w:t>
            </w:r>
          </w:p>
        </w:tc>
        <w:tc>
          <w:tcPr>
            <w:tcW w:w="80" w:type="dxa"/>
            <w:vAlign w:val="bottom"/>
            <w:shd w:val="clear" w:color="auto" w:fill="EDEDED"/>
          </w:tcPr>
          <w:p>
            <w:pPr>
              <w:spacing w:after="0"/>
              <w:rPr>
                <w:sz w:val="20"/>
                <w:szCs w:val="20"/>
                <w:color w:val="auto"/>
              </w:rPr>
            </w:pPr>
          </w:p>
        </w:tc>
        <w:tc>
          <w:tcPr>
            <w:tcW w:w="560" w:type="dxa"/>
            <w:vAlign w:val="bottom"/>
            <w:shd w:val="clear" w:color="auto" w:fill="EDEDED"/>
          </w:tcPr>
          <w:p>
            <w:pPr>
              <w:spacing w:after="0"/>
              <w:rPr>
                <w:sz w:val="20"/>
                <w:szCs w:val="20"/>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00162F"/>
              </w:rPr>
              <w:t>17,408</w:t>
            </w:r>
          </w:p>
        </w:tc>
      </w:tr>
      <w:tr>
        <w:trPr>
          <w:trHeight w:val="236"/>
        </w:trPr>
        <w:tc>
          <w:tcPr>
            <w:tcW w:w="7400" w:type="dxa"/>
            <w:vAlign w:val="bottom"/>
          </w:tcPr>
          <w:p>
            <w:pPr>
              <w:ind w:left="260"/>
              <w:spacing w:after="0"/>
              <w:rPr>
                <w:sz w:val="20"/>
                <w:szCs w:val="20"/>
                <w:color w:val="auto"/>
              </w:rPr>
            </w:pPr>
            <w:r>
              <w:rPr>
                <w:rFonts w:ascii="Arial" w:cs="Arial" w:eastAsia="Arial" w:hAnsi="Arial"/>
                <w:sz w:val="18"/>
                <w:szCs w:val="18"/>
                <w:color w:val="00162F"/>
              </w:rPr>
              <w:t>Accumulated other comprehensive loss</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162F"/>
              </w:rPr>
              <w:t>(4,507)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162F"/>
              </w:rPr>
              <w:t>(4,677)</w:t>
            </w:r>
          </w:p>
        </w:tc>
      </w:tr>
      <w:tr>
        <w:trPr>
          <w:trHeight w:val="249"/>
        </w:trPr>
        <w:tc>
          <w:tcPr>
            <w:tcW w:w="740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18"/>
                <w:szCs w:val="18"/>
                <w:color w:val="00162F"/>
              </w:rPr>
              <w:t>Retained deficit</w:t>
            </w:r>
          </w:p>
        </w:tc>
        <w:tc>
          <w:tcPr>
            <w:tcW w:w="400" w:type="dxa"/>
            <w:vAlign w:val="bottom"/>
            <w:tcBorders>
              <w:bottom w:val="single" w:sz="8" w:color="00162F"/>
            </w:tcBorders>
            <w:shd w:val="clear" w:color="auto" w:fill="EDEDED"/>
          </w:tcPr>
          <w:p>
            <w:pPr>
              <w:spacing w:after="0"/>
              <w:rPr>
                <w:sz w:val="21"/>
                <w:szCs w:val="21"/>
                <w:color w:val="auto"/>
              </w:rPr>
            </w:pPr>
          </w:p>
        </w:tc>
        <w:tc>
          <w:tcPr>
            <w:tcW w:w="12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(3,933)</w:t>
            </w:r>
          </w:p>
        </w:tc>
        <w:tc>
          <w:tcPr>
            <w:tcW w:w="80" w:type="dxa"/>
            <w:vAlign w:val="bottom"/>
            <w:tcBorders>
              <w:bottom w:val="single" w:sz="8" w:color="EDEDED"/>
            </w:tcBorders>
            <w:shd w:val="clear" w:color="auto" w:fill="EDEDED"/>
          </w:tcPr>
          <w:p>
            <w:pPr>
              <w:spacing w:after="0"/>
              <w:rPr>
                <w:sz w:val="21"/>
                <w:szCs w:val="21"/>
                <w:color w:val="auto"/>
              </w:rPr>
            </w:pPr>
          </w:p>
        </w:tc>
        <w:tc>
          <w:tcPr>
            <w:tcW w:w="560" w:type="dxa"/>
            <w:vAlign w:val="bottom"/>
            <w:tcBorders>
              <w:bottom w:val="single" w:sz="8" w:color="00162F"/>
            </w:tcBorders>
            <w:shd w:val="clear" w:color="auto" w:fill="EDEDED"/>
          </w:tcPr>
          <w:p>
            <w:pPr>
              <w:spacing w:after="0"/>
              <w:rPr>
                <w:sz w:val="21"/>
                <w:szCs w:val="21"/>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8"/>
                <w:szCs w:val="18"/>
                <w:color w:val="00162F"/>
              </w:rPr>
              <w:t>(4,497)</w:t>
            </w:r>
          </w:p>
        </w:tc>
      </w:tr>
      <w:tr>
        <w:trPr>
          <w:trHeight w:val="198"/>
        </w:trPr>
        <w:tc>
          <w:tcPr>
            <w:tcW w:w="7400" w:type="dxa"/>
            <w:vAlign w:val="bottom"/>
            <w:tcBorders>
              <w:bottom w:val="single" w:sz="8" w:color="EDEDED"/>
            </w:tcBorders>
          </w:tcPr>
          <w:p>
            <w:pPr>
              <w:ind w:left="540"/>
              <w:spacing w:after="0" w:line="198" w:lineRule="exact"/>
              <w:rPr>
                <w:sz w:val="20"/>
                <w:szCs w:val="20"/>
                <w:color w:val="auto"/>
              </w:rPr>
            </w:pPr>
            <w:r>
              <w:rPr>
                <w:rFonts w:ascii="Arial" w:cs="Arial" w:eastAsia="Arial" w:hAnsi="Arial"/>
                <w:sz w:val="18"/>
                <w:szCs w:val="18"/>
                <w:color w:val="00162F"/>
              </w:rPr>
              <w:t>Total stockholder’s equity</w:t>
            </w:r>
          </w:p>
        </w:tc>
        <w:tc>
          <w:tcPr>
            <w:tcW w:w="400" w:type="dxa"/>
            <w:vAlign w:val="bottom"/>
            <w:tcBorders>
              <w:bottom w:val="single" w:sz="8" w:color="00162F"/>
            </w:tcBorders>
          </w:tcPr>
          <w:p>
            <w:pPr>
              <w:spacing w:after="0"/>
              <w:rPr>
                <w:sz w:val="17"/>
                <w:szCs w:val="17"/>
                <w:color w:val="auto"/>
              </w:rPr>
            </w:pPr>
          </w:p>
        </w:tc>
        <w:tc>
          <w:tcPr>
            <w:tcW w:w="1200" w:type="dxa"/>
            <w:vAlign w:val="bottom"/>
            <w:tcBorders>
              <w:bottom w:val="single" w:sz="8" w:color="00162F"/>
            </w:tcBorders>
          </w:tcPr>
          <w:p>
            <w:pPr>
              <w:jc w:val="right"/>
              <w:spacing w:after="0" w:line="198" w:lineRule="exact"/>
              <w:rPr>
                <w:sz w:val="20"/>
                <w:szCs w:val="20"/>
                <w:color w:val="auto"/>
              </w:rPr>
            </w:pPr>
            <w:r>
              <w:rPr>
                <w:rFonts w:ascii="Arial" w:cs="Arial" w:eastAsia="Arial" w:hAnsi="Arial"/>
                <w:sz w:val="18"/>
                <w:szCs w:val="18"/>
                <w:color w:val="00162F"/>
              </w:rPr>
              <w:t>9,028</w:t>
            </w:r>
          </w:p>
        </w:tc>
        <w:tc>
          <w:tcPr>
            <w:tcW w:w="80" w:type="dxa"/>
            <w:vAlign w:val="bottom"/>
            <w:tcBorders>
              <w:bottom w:val="single" w:sz="8" w:color="EDEDED"/>
            </w:tcBorders>
          </w:tcPr>
          <w:p>
            <w:pPr>
              <w:spacing w:after="0"/>
              <w:rPr>
                <w:sz w:val="17"/>
                <w:szCs w:val="17"/>
                <w:color w:val="auto"/>
              </w:rPr>
            </w:pPr>
          </w:p>
        </w:tc>
        <w:tc>
          <w:tcPr>
            <w:tcW w:w="560" w:type="dxa"/>
            <w:vAlign w:val="bottom"/>
            <w:tcBorders>
              <w:bottom w:val="single" w:sz="8" w:color="00162F"/>
            </w:tcBorders>
          </w:tcPr>
          <w:p>
            <w:pPr>
              <w:spacing w:after="0"/>
              <w:rPr>
                <w:sz w:val="17"/>
                <w:szCs w:val="17"/>
                <w:color w:val="auto"/>
              </w:rPr>
            </w:pPr>
          </w:p>
        </w:tc>
        <w:tc>
          <w:tcPr>
            <w:tcW w:w="1040" w:type="dxa"/>
            <w:vAlign w:val="bottom"/>
            <w:tcBorders>
              <w:bottom w:val="single" w:sz="8" w:color="00162F"/>
            </w:tcBorders>
          </w:tcPr>
          <w:p>
            <w:pPr>
              <w:jc w:val="right"/>
              <w:spacing w:after="0" w:line="198" w:lineRule="exact"/>
              <w:rPr>
                <w:sz w:val="20"/>
                <w:szCs w:val="20"/>
                <w:color w:val="auto"/>
              </w:rPr>
            </w:pPr>
            <w:r>
              <w:rPr>
                <w:rFonts w:ascii="Arial" w:cs="Arial" w:eastAsia="Arial" w:hAnsi="Arial"/>
                <w:sz w:val="18"/>
                <w:szCs w:val="18"/>
                <w:color w:val="00162F"/>
              </w:rPr>
              <w:t>8,234</w:t>
            </w:r>
          </w:p>
        </w:tc>
      </w:tr>
      <w:tr>
        <w:trPr>
          <w:trHeight w:val="237"/>
        </w:trPr>
        <w:tc>
          <w:tcPr>
            <w:tcW w:w="7400" w:type="dxa"/>
            <w:vAlign w:val="bottom"/>
            <w:tcBorders>
              <w:bottom w:val="single" w:sz="8" w:color="EDEDED"/>
            </w:tcBorders>
            <w:shd w:val="clear" w:color="auto" w:fill="EDEDED"/>
          </w:tcPr>
          <w:p>
            <w:pPr>
              <w:ind w:left="760"/>
              <w:spacing w:after="0" w:line="198" w:lineRule="exact"/>
              <w:rPr>
                <w:sz w:val="20"/>
                <w:szCs w:val="20"/>
                <w:color w:val="auto"/>
              </w:rPr>
            </w:pPr>
            <w:r>
              <w:rPr>
                <w:rFonts w:ascii="Arial" w:cs="Arial" w:eastAsia="Arial" w:hAnsi="Arial"/>
                <w:sz w:val="18"/>
                <w:szCs w:val="18"/>
                <w:b w:val="1"/>
                <w:bCs w:val="1"/>
                <w:color w:val="00162F"/>
              </w:rPr>
              <w:t>Total liabilities and stockholder’s equity</w:t>
            </w:r>
          </w:p>
        </w:tc>
        <w:tc>
          <w:tcPr>
            <w:tcW w:w="400" w:type="dxa"/>
            <w:vAlign w:val="bottom"/>
            <w:tcBorders>
              <w:bottom w:val="single" w:sz="8" w:color="00162F"/>
            </w:tcBorders>
            <w:shd w:val="clear" w:color="auto" w:fill="EDEDED"/>
          </w:tcPr>
          <w:p>
            <w:pPr>
              <w:jc w:val="right"/>
              <w:ind w:right="151"/>
              <w:spacing w:after="0" w:line="198" w:lineRule="exact"/>
              <w:rPr>
                <w:sz w:val="20"/>
                <w:szCs w:val="20"/>
                <w:color w:val="auto"/>
              </w:rPr>
            </w:pPr>
            <w:r>
              <w:rPr>
                <w:rFonts w:ascii="Arial" w:cs="Arial" w:eastAsia="Arial" w:hAnsi="Arial"/>
                <w:sz w:val="18"/>
                <w:szCs w:val="18"/>
                <w:color w:val="00162F"/>
              </w:rPr>
              <w:t>$</w:t>
            </w:r>
          </w:p>
        </w:tc>
        <w:tc>
          <w:tcPr>
            <w:tcW w:w="1200" w:type="dxa"/>
            <w:vAlign w:val="bottom"/>
            <w:tcBorders>
              <w:bottom w:val="single" w:sz="8" w:color="00162F"/>
            </w:tcBorders>
            <w:shd w:val="clear" w:color="auto" w:fill="EDEDED"/>
          </w:tcPr>
          <w:p>
            <w:pPr>
              <w:jc w:val="right"/>
              <w:spacing w:after="0" w:line="198" w:lineRule="exact"/>
              <w:rPr>
                <w:sz w:val="20"/>
                <w:szCs w:val="20"/>
                <w:color w:val="auto"/>
              </w:rPr>
            </w:pPr>
            <w:r>
              <w:rPr>
                <w:rFonts w:ascii="Arial" w:cs="Arial" w:eastAsia="Arial" w:hAnsi="Arial"/>
                <w:sz w:val="18"/>
                <w:szCs w:val="18"/>
                <w:color w:val="00162F"/>
              </w:rPr>
              <w:t>70,247</w:t>
            </w:r>
          </w:p>
        </w:tc>
        <w:tc>
          <w:tcPr>
            <w:tcW w:w="80" w:type="dxa"/>
            <w:vAlign w:val="bottom"/>
            <w:tcBorders>
              <w:bottom w:val="single" w:sz="8" w:color="EDEDED"/>
            </w:tcBorders>
            <w:shd w:val="clear" w:color="auto" w:fill="EDEDED"/>
          </w:tcPr>
          <w:p>
            <w:pPr>
              <w:spacing w:after="0"/>
              <w:rPr>
                <w:sz w:val="20"/>
                <w:szCs w:val="20"/>
                <w:color w:val="auto"/>
              </w:rPr>
            </w:pPr>
          </w:p>
        </w:tc>
        <w:tc>
          <w:tcPr>
            <w:tcW w:w="560" w:type="dxa"/>
            <w:vAlign w:val="bottom"/>
            <w:tcBorders>
              <w:bottom w:val="single" w:sz="8" w:color="00162F"/>
            </w:tcBorders>
            <w:shd w:val="clear" w:color="auto" w:fill="EDEDED"/>
          </w:tcPr>
          <w:p>
            <w:pPr>
              <w:jc w:val="right"/>
              <w:ind w:right="311"/>
              <w:spacing w:after="0" w:line="198" w:lineRule="exact"/>
              <w:rPr>
                <w:sz w:val="20"/>
                <w:szCs w:val="20"/>
                <w:color w:val="auto"/>
              </w:rPr>
            </w:pPr>
            <w:r>
              <w:rPr>
                <w:rFonts w:ascii="Arial" w:cs="Arial" w:eastAsia="Arial" w:hAnsi="Arial"/>
                <w:sz w:val="18"/>
                <w:szCs w:val="18"/>
                <w:color w:val="00162F"/>
              </w:rPr>
              <w:t>$</w:t>
            </w:r>
          </w:p>
        </w:tc>
        <w:tc>
          <w:tcPr>
            <w:tcW w:w="1040" w:type="dxa"/>
            <w:vAlign w:val="bottom"/>
            <w:tcBorders>
              <w:bottom w:val="single" w:sz="8" w:color="00162F"/>
            </w:tcBorders>
            <w:shd w:val="clear" w:color="auto" w:fill="EDEDED"/>
          </w:tcPr>
          <w:p>
            <w:pPr>
              <w:jc w:val="right"/>
              <w:spacing w:after="0" w:line="198" w:lineRule="exact"/>
              <w:rPr>
                <w:sz w:val="20"/>
                <w:szCs w:val="20"/>
                <w:color w:val="auto"/>
              </w:rPr>
            </w:pPr>
            <w:r>
              <w:rPr>
                <w:rFonts w:ascii="Arial" w:cs="Arial" w:eastAsia="Arial" w:hAnsi="Arial"/>
                <w:sz w:val="18"/>
                <w:szCs w:val="18"/>
                <w:color w:val="00162F"/>
              </w:rPr>
              <w:t>68,755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-7724140</wp:posOffset>
            </wp:positionV>
            <wp:extent cx="21088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2">
                      <a:extLst>
                        <a:ext uri="{28A0092B-C50C-407E-A947-70E740481C1C}"/>
                      </a:extLst>
                    </a:blip>
                    <a:srcRect/>
                    <a:stretch>
                      <a:fillRect/>
                    </a:stretch>
                  </pic:blipFill>
                  <pic:spPr bwMode="auto">
                    <a:xfrm>
                      <a:off x="0" y="0"/>
                      <a:ext cx="2108835"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-6366510</wp:posOffset>
            </wp:positionV>
            <wp:extent cx="107823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3">
                      <a:extLst>
                        <a:ext uri="{28A0092B-C50C-407E-A947-70E740481C1C}"/>
                      </a:extLst>
                    </a:blip>
                    <a:srcRect/>
                    <a:stretch>
                      <a:fillRect/>
                    </a:stretch>
                  </pic:blipFill>
                  <pic:spPr bwMode="auto">
                    <a:xfrm>
                      <a:off x="0" y="0"/>
                      <a:ext cx="107823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-5612130</wp:posOffset>
            </wp:positionV>
            <wp:extent cx="107823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4">
                      <a:extLst>
                        <a:ext uri="{28A0092B-C50C-407E-A947-70E740481C1C}"/>
                      </a:extLst>
                    </a:blip>
                    <a:srcRect/>
                    <a:stretch>
                      <a:fillRect/>
                    </a:stretch>
                  </pic:blipFill>
                  <pic:spPr bwMode="auto">
                    <a:xfrm>
                      <a:off x="0" y="0"/>
                      <a:ext cx="107823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-5310505</wp:posOffset>
            </wp:positionV>
            <wp:extent cx="107823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5">
                      <a:extLst>
                        <a:ext uri="{28A0092B-C50C-407E-A947-70E740481C1C}"/>
                      </a:extLst>
                    </a:blip>
                    <a:srcRect/>
                    <a:stretch>
                      <a:fillRect/>
                    </a:stretch>
                  </pic:blipFill>
                  <pic:spPr bwMode="auto">
                    <a:xfrm>
                      <a:off x="0" y="0"/>
                      <a:ext cx="107823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-4254500</wp:posOffset>
            </wp:positionV>
            <wp:extent cx="107823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6">
                      <a:extLst>
                        <a:ext uri="{28A0092B-C50C-407E-A947-70E740481C1C}"/>
                      </a:extLst>
                    </a:blip>
                    <a:srcRect/>
                    <a:stretch>
                      <a:fillRect/>
                    </a:stretch>
                  </pic:blipFill>
                  <pic:spPr bwMode="auto">
                    <a:xfrm>
                      <a:off x="0" y="0"/>
                      <a:ext cx="107823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-4104005</wp:posOffset>
            </wp:positionV>
            <wp:extent cx="107823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7">
                      <a:extLst>
                        <a:ext uri="{28A0092B-C50C-407E-A947-70E740481C1C}"/>
                      </a:extLst>
                    </a:blip>
                    <a:srcRect/>
                    <a:stretch>
                      <a:fillRect/>
                    </a:stretch>
                  </pic:blipFill>
                  <pic:spPr bwMode="auto">
                    <a:xfrm>
                      <a:off x="0" y="0"/>
                      <a:ext cx="107823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-3965575</wp:posOffset>
            </wp:positionV>
            <wp:extent cx="2108835" cy="50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8">
                      <a:extLst>
                        <a:ext uri="{28A0092B-C50C-407E-A947-70E740481C1C}"/>
                      </a:extLst>
                    </a:blip>
                    <a:srcRect/>
                    <a:stretch>
                      <a:fillRect/>
                    </a:stretch>
                  </pic:blipFill>
                  <pic:spPr bwMode="auto">
                    <a:xfrm>
                      <a:off x="0" y="0"/>
                      <a:ext cx="2108835" cy="508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-2444750</wp:posOffset>
            </wp:positionV>
            <wp:extent cx="107823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9">
                      <a:extLst>
                        <a:ext uri="{28A0092B-C50C-407E-A947-70E740481C1C}"/>
                      </a:extLst>
                    </a:blip>
                    <a:srcRect/>
                    <a:stretch>
                      <a:fillRect/>
                    </a:stretch>
                  </pic:blipFill>
                  <pic:spPr bwMode="auto">
                    <a:xfrm>
                      <a:off x="0" y="0"/>
                      <a:ext cx="107823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-1388745</wp:posOffset>
            </wp:positionV>
            <wp:extent cx="107823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0">
                      <a:extLst>
                        <a:ext uri="{28A0092B-C50C-407E-A947-70E740481C1C}"/>
                      </a:extLst>
                    </a:blip>
                    <a:srcRect/>
                    <a:stretch>
                      <a:fillRect/>
                    </a:stretch>
                  </pic:blipFill>
                  <pic:spPr bwMode="auto">
                    <a:xfrm>
                      <a:off x="0" y="0"/>
                      <a:ext cx="107823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-332740</wp:posOffset>
            </wp:positionV>
            <wp:extent cx="107823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1">
                      <a:extLst>
                        <a:ext uri="{28A0092B-C50C-407E-A947-70E740481C1C}"/>
                      </a:extLst>
                    </a:blip>
                    <a:srcRect/>
                    <a:stretch>
                      <a:fillRect/>
                    </a:stretch>
                  </pic:blipFill>
                  <pic:spPr bwMode="auto">
                    <a:xfrm>
                      <a:off x="0" y="0"/>
                      <a:ext cx="107823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-181610</wp:posOffset>
            </wp:positionV>
            <wp:extent cx="107823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2">
                      <a:extLst>
                        <a:ext uri="{28A0092B-C50C-407E-A947-70E740481C1C}"/>
                      </a:extLst>
                    </a:blip>
                    <a:srcRect/>
                    <a:stretch>
                      <a:fillRect/>
                    </a:stretch>
                  </pic:blipFill>
                  <pic:spPr bwMode="auto">
                    <a:xfrm>
                      <a:off x="0" y="0"/>
                      <a:ext cx="107823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-43815</wp:posOffset>
            </wp:positionV>
            <wp:extent cx="2108835" cy="50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3">
                      <a:extLst>
                        <a:ext uri="{28A0092B-C50C-407E-A947-70E740481C1C}"/>
                      </a:extLst>
                    </a:blip>
                    <a:srcRect/>
                    <a:stretch>
                      <a:fillRect/>
                    </a:stretch>
                  </pic:blipFill>
                  <pic:spPr bwMode="auto">
                    <a:xfrm>
                      <a:off x="0" y="0"/>
                      <a:ext cx="2108835" cy="50800"/>
                    </a:xfrm>
                    <a:prstGeom prst="rect">
                      <a:avLst/>
                    </a:prstGeom>
                    <a:noFill/>
                  </pic:spPr>
                </pic:pic>
              </a:graphicData>
            </a:graphic>
          </wp:anchor>
        </w:drawing>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00162F"/>
        </w:rPr>
        <w:t>See accompanying notes to consolidated financial statements.</w:t>
      </w:r>
    </w:p>
    <w:p>
      <w:pPr>
        <w:sectPr>
          <w:pgSz w:w="11880" w:h="15480" w:orient="portrait"/>
          <w:cols w:equalWidth="0" w:num="1">
            <w:col w:w="10680"/>
          </w:cols>
          <w:pgMar w:left="600" w:top="992" w:right="600" w:bottom="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130</w:t>
      </w:r>
    </w:p>
    <w:p>
      <w:pPr>
        <w:sectPr>
          <w:pgSz w:w="11880" w:h="15480" w:orient="portrait"/>
          <w:cols w:equalWidth="0" w:num="1">
            <w:col w:w="10680"/>
          </w:cols>
          <w:pgMar w:left="600" w:top="992" w:right="600" w:bottom="0" w:gutter="0" w:footer="0" w:header="0"/>
          <w:type w:val="continuous"/>
        </w:sectPr>
      </w:pPr>
    </w:p>
    <w:bookmarkStart w:id="131" w:name="page132"/>
    <w:bookmarkEnd w:id="131"/>
    <w:p>
      <w:pPr>
        <w:jc w:val="center"/>
        <w:ind w:right="-4"/>
        <w:spacing w:after="0"/>
        <w:rPr>
          <w:sz w:val="20"/>
          <w:szCs w:val="20"/>
          <w:color w:val="auto"/>
        </w:rPr>
      </w:pPr>
      <w:r>
        <w:rPr>
          <w:rFonts w:ascii="Arial" w:cs="Arial" w:eastAsia="Arial" w:hAnsi="Arial"/>
          <w:sz w:val="20"/>
          <w:szCs w:val="20"/>
          <w:b w:val="1"/>
          <w:bCs w:val="1"/>
          <w:color w:val="00162F"/>
        </w:rPr>
        <w:t>AMERICAN AIRLINES, INC.</w:t>
      </w:r>
    </w:p>
    <w:p>
      <w:pPr>
        <w:spacing w:after="0" w:line="8"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00162F"/>
        </w:rPr>
        <w:t>CONSOLIDATED STATEMENTS OF CASH FLOWS</w:t>
      </w:r>
    </w:p>
    <w:p>
      <w:pPr>
        <w:spacing w:after="0" w:line="8"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00162F"/>
        </w:rPr>
        <w:t>(In millions)</w:t>
      </w:r>
    </w:p>
    <w:p>
      <w:pPr>
        <w:spacing w:after="0" w:line="27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2700" w:type="dxa"/>
            <w:vAlign w:val="bottom"/>
            <w:tcBorders>
              <w:bottom w:val="single" w:sz="8" w:color="00162F"/>
            </w:tcBorders>
            <w:gridSpan w:val="6"/>
          </w:tcPr>
          <w:p>
            <w:pPr>
              <w:jc w:val="right"/>
              <w:spacing w:after="0"/>
              <w:rPr>
                <w:sz w:val="20"/>
                <w:szCs w:val="20"/>
                <w:color w:val="auto"/>
              </w:rPr>
            </w:pPr>
            <w:r>
              <w:rPr>
                <w:rFonts w:ascii="Arial" w:cs="Arial" w:eastAsia="Arial" w:hAnsi="Arial"/>
                <w:sz w:val="16"/>
                <w:szCs w:val="16"/>
                <w:b w:val="1"/>
                <w:bCs w:val="1"/>
                <w:color w:val="00162F"/>
              </w:rPr>
              <w:t>Year Ended December 31,</w:t>
            </w:r>
          </w:p>
        </w:tc>
        <w:tc>
          <w:tcPr>
            <w:tcW w:w="880" w:type="dxa"/>
            <w:vAlign w:val="bottom"/>
            <w:tcBorders>
              <w:bottom w:val="single" w:sz="8" w:color="00162F"/>
            </w:tcBorders>
          </w:tcPr>
          <w:p>
            <w:pPr>
              <w:spacing w:after="0"/>
              <w:rPr>
                <w:sz w:val="18"/>
                <w:szCs w:val="18"/>
                <w:color w:val="auto"/>
              </w:rPr>
            </w:pPr>
          </w:p>
        </w:tc>
      </w:tr>
      <w:tr>
        <w:trPr>
          <w:trHeight w:val="218"/>
        </w:trPr>
        <w:tc>
          <w:tcPr>
            <w:tcW w:w="1960" w:type="dxa"/>
            <w:vAlign w:val="bottom"/>
            <w:tcBorders>
              <w:bottom w:val="single" w:sz="8" w:color="EDEDED"/>
            </w:tcBorders>
          </w:tcPr>
          <w:p>
            <w:pPr>
              <w:spacing w:after="0"/>
              <w:rPr>
                <w:sz w:val="18"/>
                <w:szCs w:val="18"/>
                <w:color w:val="auto"/>
              </w:rPr>
            </w:pPr>
          </w:p>
        </w:tc>
        <w:tc>
          <w:tcPr>
            <w:tcW w:w="4840" w:type="dxa"/>
            <w:vAlign w:val="bottom"/>
            <w:tcBorders>
              <w:bottom w:val="single" w:sz="8" w:color="EDEDED"/>
            </w:tcBorders>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940" w:type="dxa"/>
            <w:vAlign w:val="bottom"/>
            <w:tcBorders>
              <w:bottom w:val="single" w:sz="8" w:color="00162F"/>
            </w:tcBorders>
          </w:tcPr>
          <w:p>
            <w:pPr>
              <w:jc w:val="right"/>
              <w:ind w:right="356"/>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940" w:type="dxa"/>
            <w:vAlign w:val="bottom"/>
            <w:tcBorders>
              <w:bottom w:val="single" w:sz="8" w:color="00162F"/>
            </w:tcBorders>
          </w:tcPr>
          <w:p>
            <w:pPr>
              <w:jc w:val="right"/>
              <w:ind w:right="356"/>
              <w:spacing w:after="0"/>
              <w:rPr>
                <w:sz w:val="20"/>
                <w:szCs w:val="20"/>
                <w:color w:val="auto"/>
              </w:rPr>
            </w:pPr>
            <w:r>
              <w:rPr>
                <w:rFonts w:ascii="Arial" w:cs="Arial" w:eastAsia="Arial" w:hAnsi="Arial"/>
                <w:sz w:val="16"/>
                <w:szCs w:val="16"/>
                <w:b w:val="1"/>
                <w:bCs w:val="1"/>
                <w:color w:val="00162F"/>
              </w:rPr>
              <w:t>2024</w:t>
            </w:r>
          </w:p>
        </w:tc>
        <w:tc>
          <w:tcPr>
            <w:tcW w:w="80" w:type="dxa"/>
            <w:vAlign w:val="bottom"/>
            <w:tcBorders>
              <w:bottom w:val="single" w:sz="8" w:color="EDEDED"/>
            </w:tcBorders>
          </w:tcPr>
          <w:p>
            <w:pPr>
              <w:spacing w:after="0"/>
              <w:rPr>
                <w:sz w:val="18"/>
                <w:szCs w:val="18"/>
                <w:color w:val="auto"/>
              </w:rPr>
            </w:pPr>
          </w:p>
        </w:tc>
        <w:tc>
          <w:tcPr>
            <w:tcW w:w="360" w:type="dxa"/>
            <w:vAlign w:val="bottom"/>
            <w:tcBorders>
              <w:bottom w:val="single" w:sz="8" w:color="00162F"/>
            </w:tcBorders>
          </w:tcPr>
          <w:p>
            <w:pPr>
              <w:spacing w:after="0"/>
              <w:rPr>
                <w:sz w:val="18"/>
                <w:szCs w:val="18"/>
                <w:color w:val="auto"/>
              </w:rPr>
            </w:pPr>
          </w:p>
        </w:tc>
        <w:tc>
          <w:tcPr>
            <w:tcW w:w="880" w:type="dxa"/>
            <w:vAlign w:val="bottom"/>
            <w:tcBorders>
              <w:bottom w:val="single" w:sz="8" w:color="00162F"/>
            </w:tcBorders>
          </w:tcPr>
          <w:p>
            <w:pPr>
              <w:jc w:val="right"/>
              <w:ind w:right="356"/>
              <w:spacing w:after="0"/>
              <w:rPr>
                <w:sz w:val="20"/>
                <w:szCs w:val="20"/>
                <w:color w:val="auto"/>
              </w:rPr>
            </w:pPr>
            <w:r>
              <w:rPr>
                <w:rFonts w:ascii="Arial" w:cs="Arial" w:eastAsia="Arial" w:hAnsi="Arial"/>
                <w:sz w:val="16"/>
                <w:szCs w:val="16"/>
                <w:b w:val="1"/>
                <w:bCs w:val="1"/>
                <w:color w:val="00162F"/>
              </w:rPr>
              <w:t>2023</w:t>
            </w:r>
          </w:p>
        </w:tc>
      </w:tr>
      <w:tr>
        <w:trPr>
          <w:trHeight w:val="228"/>
        </w:trPr>
        <w:tc>
          <w:tcPr>
            <w:tcW w:w="6800" w:type="dxa"/>
            <w:vAlign w:val="bottom"/>
            <w:gridSpan w:val="2"/>
            <w:shd w:val="clear" w:color="auto" w:fill="EDEDED"/>
          </w:tcPr>
          <w:p>
            <w:pPr>
              <w:ind w:left="40"/>
              <w:spacing w:after="0"/>
              <w:rPr>
                <w:sz w:val="20"/>
                <w:szCs w:val="20"/>
                <w:color w:val="auto"/>
              </w:rPr>
            </w:pPr>
            <w:r>
              <w:rPr>
                <w:rFonts w:ascii="Arial" w:cs="Arial" w:eastAsia="Arial" w:hAnsi="Arial"/>
                <w:sz w:val="17"/>
                <w:szCs w:val="17"/>
                <w:b w:val="1"/>
                <w:bCs w:val="1"/>
                <w:color w:val="00162F"/>
              </w:rPr>
              <w:t>Cash flows from operating activities:</w:t>
            </w:r>
          </w:p>
        </w:tc>
        <w:tc>
          <w:tcPr>
            <w:tcW w:w="300" w:type="dxa"/>
            <w:vAlign w:val="bottom"/>
            <w:shd w:val="clear" w:color="auto" w:fill="EDEDED"/>
          </w:tcPr>
          <w:p>
            <w:pPr>
              <w:spacing w:after="0"/>
              <w:rPr>
                <w:sz w:val="19"/>
                <w:szCs w:val="19"/>
                <w:color w:val="auto"/>
              </w:rPr>
            </w:pPr>
          </w:p>
        </w:tc>
        <w:tc>
          <w:tcPr>
            <w:tcW w:w="94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94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360" w:type="dxa"/>
            <w:vAlign w:val="bottom"/>
            <w:shd w:val="clear" w:color="auto" w:fill="EDEDED"/>
          </w:tcPr>
          <w:p>
            <w:pPr>
              <w:spacing w:after="0"/>
              <w:rPr>
                <w:sz w:val="19"/>
                <w:szCs w:val="19"/>
                <w:color w:val="auto"/>
              </w:rPr>
            </w:pPr>
          </w:p>
        </w:tc>
        <w:tc>
          <w:tcPr>
            <w:tcW w:w="880" w:type="dxa"/>
            <w:vAlign w:val="bottom"/>
            <w:shd w:val="clear" w:color="auto" w:fill="EDEDED"/>
          </w:tcPr>
          <w:p>
            <w:pPr>
              <w:spacing w:after="0"/>
              <w:rPr>
                <w:sz w:val="19"/>
                <w:szCs w:val="19"/>
                <w:color w:val="auto"/>
              </w:rPr>
            </w:pPr>
          </w:p>
        </w:tc>
      </w:tr>
      <w:tr>
        <w:trPr>
          <w:trHeight w:val="232"/>
        </w:trPr>
        <w:tc>
          <w:tcPr>
            <w:tcW w:w="6800" w:type="dxa"/>
            <w:vAlign w:val="bottom"/>
            <w:gridSpan w:val="2"/>
          </w:tcPr>
          <w:p>
            <w:pPr>
              <w:ind w:left="40"/>
              <w:spacing w:after="0"/>
              <w:rPr>
                <w:sz w:val="20"/>
                <w:szCs w:val="20"/>
                <w:color w:val="auto"/>
              </w:rPr>
            </w:pPr>
            <w:r>
              <w:rPr>
                <w:rFonts w:ascii="Arial" w:cs="Arial" w:eastAsia="Arial" w:hAnsi="Arial"/>
                <w:sz w:val="17"/>
                <w:szCs w:val="17"/>
                <w:color w:val="00162F"/>
              </w:rPr>
              <w:t>Net income</w:t>
            </w:r>
          </w:p>
        </w:tc>
        <w:tc>
          <w:tcPr>
            <w:tcW w:w="300" w:type="dxa"/>
            <w:vAlign w:val="bottom"/>
          </w:tcPr>
          <w:p>
            <w:pPr>
              <w:jc w:val="right"/>
              <w:ind w:right="76"/>
              <w:spacing w:after="0"/>
              <w:rPr>
                <w:sz w:val="20"/>
                <w:szCs w:val="20"/>
                <w:color w:val="auto"/>
              </w:rPr>
            </w:pPr>
            <w:r>
              <w:rPr>
                <w:rFonts w:ascii="Arial" w:cs="Arial" w:eastAsia="Arial" w:hAnsi="Arial"/>
                <w:sz w:val="17"/>
                <w:szCs w:val="17"/>
                <w:color w:val="00162F"/>
              </w:rPr>
              <w:t>$</w:t>
            </w:r>
          </w:p>
        </w:tc>
        <w:tc>
          <w:tcPr>
            <w:tcW w:w="940" w:type="dxa"/>
            <w:vAlign w:val="bottom"/>
          </w:tcPr>
          <w:p>
            <w:pPr>
              <w:jc w:val="right"/>
              <w:spacing w:after="0"/>
              <w:rPr>
                <w:sz w:val="20"/>
                <w:szCs w:val="20"/>
                <w:color w:val="auto"/>
              </w:rPr>
            </w:pPr>
            <w:r>
              <w:rPr>
                <w:rFonts w:ascii="Arial" w:cs="Arial" w:eastAsia="Arial" w:hAnsi="Arial"/>
                <w:sz w:val="17"/>
                <w:szCs w:val="17"/>
                <w:color w:val="00162F"/>
              </w:rPr>
              <w:t>564</w:t>
            </w:r>
          </w:p>
        </w:tc>
        <w:tc>
          <w:tcPr>
            <w:tcW w:w="380" w:type="dxa"/>
            <w:vAlign w:val="bottom"/>
            <w:gridSpan w:val="2"/>
          </w:tcPr>
          <w:p>
            <w:pPr>
              <w:jc w:val="right"/>
              <w:ind w:right="76"/>
              <w:spacing w:after="0"/>
              <w:rPr>
                <w:sz w:val="20"/>
                <w:szCs w:val="20"/>
                <w:color w:val="auto"/>
              </w:rPr>
            </w:pPr>
            <w:r>
              <w:rPr>
                <w:rFonts w:ascii="Arial" w:cs="Arial" w:eastAsia="Arial" w:hAnsi="Arial"/>
                <w:sz w:val="17"/>
                <w:szCs w:val="17"/>
                <w:color w:val="00162F"/>
              </w:rPr>
              <w:t>$</w:t>
            </w:r>
          </w:p>
        </w:tc>
        <w:tc>
          <w:tcPr>
            <w:tcW w:w="940" w:type="dxa"/>
            <w:vAlign w:val="bottom"/>
          </w:tcPr>
          <w:p>
            <w:pPr>
              <w:jc w:val="right"/>
              <w:spacing w:after="0"/>
              <w:rPr>
                <w:sz w:val="20"/>
                <w:szCs w:val="20"/>
                <w:color w:val="auto"/>
              </w:rPr>
            </w:pPr>
            <w:r>
              <w:rPr>
                <w:rFonts w:ascii="Arial" w:cs="Arial" w:eastAsia="Arial" w:hAnsi="Arial"/>
                <w:sz w:val="17"/>
                <w:szCs w:val="17"/>
                <w:color w:val="00162F"/>
              </w:rPr>
              <w:t>1,262</w:t>
            </w:r>
          </w:p>
        </w:tc>
        <w:tc>
          <w:tcPr>
            <w:tcW w:w="440" w:type="dxa"/>
            <w:vAlign w:val="bottom"/>
            <w:gridSpan w:val="2"/>
          </w:tcPr>
          <w:p>
            <w:pPr>
              <w:jc w:val="right"/>
              <w:ind w:right="136"/>
              <w:spacing w:after="0"/>
              <w:rPr>
                <w:sz w:val="20"/>
                <w:szCs w:val="20"/>
                <w:color w:val="auto"/>
              </w:rPr>
            </w:pPr>
            <w:r>
              <w:rPr>
                <w:rFonts w:ascii="Arial" w:cs="Arial" w:eastAsia="Arial" w:hAnsi="Arial"/>
                <w:sz w:val="17"/>
                <w:szCs w:val="17"/>
                <w:color w:val="00162F"/>
              </w:rPr>
              <w:t>$</w:t>
            </w:r>
          </w:p>
        </w:tc>
        <w:tc>
          <w:tcPr>
            <w:tcW w:w="880" w:type="dxa"/>
            <w:vAlign w:val="bottom"/>
          </w:tcPr>
          <w:p>
            <w:pPr>
              <w:jc w:val="right"/>
              <w:spacing w:after="0"/>
              <w:rPr>
                <w:sz w:val="20"/>
                <w:szCs w:val="20"/>
                <w:color w:val="auto"/>
              </w:rPr>
            </w:pPr>
            <w:r>
              <w:rPr>
                <w:rFonts w:ascii="Arial" w:cs="Arial" w:eastAsia="Arial" w:hAnsi="Arial"/>
                <w:sz w:val="17"/>
                <w:szCs w:val="17"/>
                <w:color w:val="00162F"/>
              </w:rPr>
              <w:t>1,188</w:t>
            </w:r>
          </w:p>
        </w:tc>
      </w:tr>
      <w:tr>
        <w:trPr>
          <w:trHeight w:val="258"/>
        </w:trPr>
        <w:tc>
          <w:tcPr>
            <w:tcW w:w="6800" w:type="dxa"/>
            <w:vAlign w:val="bottom"/>
            <w:gridSpan w:val="2"/>
            <w:shd w:val="clear" w:color="auto" w:fill="EDEDED"/>
          </w:tcPr>
          <w:p>
            <w:pPr>
              <w:ind w:left="40"/>
              <w:spacing w:after="0"/>
              <w:rPr>
                <w:sz w:val="20"/>
                <w:szCs w:val="20"/>
                <w:color w:val="auto"/>
              </w:rPr>
            </w:pPr>
            <w:r>
              <w:rPr>
                <w:rFonts w:ascii="Arial" w:cs="Arial" w:eastAsia="Arial" w:hAnsi="Arial"/>
                <w:sz w:val="17"/>
                <w:szCs w:val="17"/>
                <w:color w:val="00162F"/>
              </w:rPr>
              <w:t>Adjustments to reconcile net income to net cash provided by operating activities:</w:t>
            </w:r>
          </w:p>
        </w:tc>
        <w:tc>
          <w:tcPr>
            <w:tcW w:w="300" w:type="dxa"/>
            <w:vAlign w:val="bottom"/>
            <w:shd w:val="clear" w:color="auto" w:fill="EDEDED"/>
          </w:tcPr>
          <w:p>
            <w:pPr>
              <w:spacing w:after="0"/>
              <w:rPr>
                <w:sz w:val="22"/>
                <w:szCs w:val="22"/>
                <w:color w:val="auto"/>
              </w:rPr>
            </w:pPr>
          </w:p>
        </w:tc>
        <w:tc>
          <w:tcPr>
            <w:tcW w:w="940" w:type="dxa"/>
            <w:vAlign w:val="bottom"/>
            <w:shd w:val="clear" w:color="auto" w:fill="EDEDED"/>
          </w:tcPr>
          <w:p>
            <w:pPr>
              <w:spacing w:after="0"/>
              <w:rPr>
                <w:sz w:val="22"/>
                <w:szCs w:val="22"/>
                <w:color w:val="auto"/>
              </w:rPr>
            </w:pPr>
          </w:p>
        </w:tc>
        <w:tc>
          <w:tcPr>
            <w:tcW w:w="80" w:type="dxa"/>
            <w:vAlign w:val="bottom"/>
            <w:shd w:val="clear" w:color="auto" w:fill="EDEDED"/>
          </w:tcPr>
          <w:p>
            <w:pPr>
              <w:spacing w:after="0"/>
              <w:rPr>
                <w:sz w:val="22"/>
                <w:szCs w:val="22"/>
                <w:color w:val="auto"/>
              </w:rPr>
            </w:pPr>
          </w:p>
        </w:tc>
        <w:tc>
          <w:tcPr>
            <w:tcW w:w="300" w:type="dxa"/>
            <w:vAlign w:val="bottom"/>
            <w:shd w:val="clear" w:color="auto" w:fill="EDEDED"/>
          </w:tcPr>
          <w:p>
            <w:pPr>
              <w:spacing w:after="0"/>
              <w:rPr>
                <w:sz w:val="22"/>
                <w:szCs w:val="22"/>
                <w:color w:val="auto"/>
              </w:rPr>
            </w:pPr>
          </w:p>
        </w:tc>
        <w:tc>
          <w:tcPr>
            <w:tcW w:w="940" w:type="dxa"/>
            <w:vAlign w:val="bottom"/>
            <w:shd w:val="clear" w:color="auto" w:fill="EDEDED"/>
          </w:tcPr>
          <w:p>
            <w:pPr>
              <w:spacing w:after="0"/>
              <w:rPr>
                <w:sz w:val="22"/>
                <w:szCs w:val="22"/>
                <w:color w:val="auto"/>
              </w:rPr>
            </w:pPr>
          </w:p>
        </w:tc>
        <w:tc>
          <w:tcPr>
            <w:tcW w:w="80" w:type="dxa"/>
            <w:vAlign w:val="bottom"/>
            <w:shd w:val="clear" w:color="auto" w:fill="EDEDED"/>
          </w:tcPr>
          <w:p>
            <w:pPr>
              <w:spacing w:after="0"/>
              <w:rPr>
                <w:sz w:val="22"/>
                <w:szCs w:val="22"/>
                <w:color w:val="auto"/>
              </w:rPr>
            </w:pPr>
          </w:p>
        </w:tc>
        <w:tc>
          <w:tcPr>
            <w:tcW w:w="360" w:type="dxa"/>
            <w:vAlign w:val="bottom"/>
            <w:shd w:val="clear" w:color="auto" w:fill="EDEDED"/>
          </w:tcPr>
          <w:p>
            <w:pPr>
              <w:spacing w:after="0"/>
              <w:rPr>
                <w:sz w:val="22"/>
                <w:szCs w:val="22"/>
                <w:color w:val="auto"/>
              </w:rPr>
            </w:pPr>
          </w:p>
        </w:tc>
        <w:tc>
          <w:tcPr>
            <w:tcW w:w="880" w:type="dxa"/>
            <w:vAlign w:val="bottom"/>
            <w:shd w:val="clear" w:color="auto" w:fill="EDEDED"/>
          </w:tcPr>
          <w:p>
            <w:pPr>
              <w:spacing w:after="0"/>
              <w:rPr>
                <w:sz w:val="22"/>
                <w:szCs w:val="22"/>
                <w:color w:val="auto"/>
              </w:rPr>
            </w:pPr>
          </w:p>
        </w:tc>
      </w:tr>
      <w:tr>
        <w:trPr>
          <w:trHeight w:val="232"/>
        </w:trPr>
        <w:tc>
          <w:tcPr>
            <w:tcW w:w="6800" w:type="dxa"/>
            <w:vAlign w:val="bottom"/>
            <w:gridSpan w:val="2"/>
          </w:tcPr>
          <w:p>
            <w:pPr>
              <w:ind w:left="260"/>
              <w:spacing w:after="0"/>
              <w:rPr>
                <w:sz w:val="20"/>
                <w:szCs w:val="20"/>
                <w:color w:val="auto"/>
              </w:rPr>
            </w:pPr>
            <w:r>
              <w:rPr>
                <w:rFonts w:ascii="Arial" w:cs="Arial" w:eastAsia="Arial" w:hAnsi="Arial"/>
                <w:sz w:val="17"/>
                <w:szCs w:val="17"/>
                <w:color w:val="00162F"/>
              </w:rPr>
              <w:t>Depreciation and amortization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2,177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2,198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2,198</w:t>
            </w:r>
          </w:p>
        </w:tc>
      </w:tr>
      <w:tr>
        <w:trPr>
          <w:trHeight w:val="243"/>
        </w:trPr>
        <w:tc>
          <w:tcPr>
            <w:tcW w:w="6800" w:type="dxa"/>
            <w:vAlign w:val="bottom"/>
            <w:gridSpan w:val="2"/>
            <w:shd w:val="clear" w:color="auto" w:fill="EDEDED"/>
          </w:tcPr>
          <w:p>
            <w:pPr>
              <w:ind w:left="260"/>
              <w:spacing w:after="0"/>
              <w:rPr>
                <w:sz w:val="20"/>
                <w:szCs w:val="20"/>
                <w:color w:val="auto"/>
              </w:rPr>
            </w:pPr>
            <w:r>
              <w:rPr>
                <w:rFonts w:ascii="Arial" w:cs="Arial" w:eastAsia="Arial" w:hAnsi="Arial"/>
                <w:sz w:val="17"/>
                <w:szCs w:val="17"/>
                <w:color w:val="00162F"/>
              </w:rPr>
              <w:t>Debt extinguishment costs</w:t>
            </w: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20</w:t>
            </w:r>
          </w:p>
        </w:tc>
        <w:tc>
          <w:tcPr>
            <w:tcW w:w="8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9</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267</w:t>
            </w:r>
          </w:p>
        </w:tc>
      </w:tr>
      <w:tr>
        <w:trPr>
          <w:trHeight w:val="232"/>
        </w:trPr>
        <w:tc>
          <w:tcPr>
            <w:tcW w:w="6800" w:type="dxa"/>
            <w:vAlign w:val="bottom"/>
            <w:gridSpan w:val="2"/>
          </w:tcPr>
          <w:p>
            <w:pPr>
              <w:ind w:left="260"/>
              <w:spacing w:after="0"/>
              <w:rPr>
                <w:sz w:val="20"/>
                <w:szCs w:val="20"/>
                <w:color w:val="auto"/>
              </w:rPr>
            </w:pPr>
            <w:r>
              <w:rPr>
                <w:rFonts w:ascii="Arial" w:cs="Arial" w:eastAsia="Arial" w:hAnsi="Arial"/>
                <w:sz w:val="17"/>
                <w:szCs w:val="17"/>
                <w:color w:val="00162F"/>
              </w:rPr>
              <w:t>Special items, net non-cash</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(17)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41</w:t>
            </w:r>
          </w:p>
        </w:tc>
      </w:tr>
      <w:tr>
        <w:trPr>
          <w:trHeight w:val="243"/>
        </w:trPr>
        <w:tc>
          <w:tcPr>
            <w:tcW w:w="6800" w:type="dxa"/>
            <w:vAlign w:val="bottom"/>
            <w:gridSpan w:val="2"/>
            <w:shd w:val="clear" w:color="auto" w:fill="EDEDED"/>
          </w:tcPr>
          <w:p>
            <w:pPr>
              <w:ind w:left="260"/>
              <w:spacing w:after="0"/>
              <w:rPr>
                <w:sz w:val="20"/>
                <w:szCs w:val="20"/>
                <w:color w:val="auto"/>
              </w:rPr>
            </w:pPr>
            <w:r>
              <w:rPr>
                <w:rFonts w:ascii="Arial" w:cs="Arial" w:eastAsia="Arial" w:hAnsi="Arial"/>
                <w:sz w:val="17"/>
                <w:szCs w:val="17"/>
                <w:color w:val="00162F"/>
              </w:rPr>
              <w:t>Pension and postretirement</w:t>
            </w: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(31)</w:t>
            </w:r>
          </w:p>
        </w:tc>
        <w:tc>
          <w:tcPr>
            <w:tcW w:w="8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(82)</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(14)</w:t>
            </w:r>
          </w:p>
        </w:tc>
      </w:tr>
      <w:tr>
        <w:trPr>
          <w:trHeight w:val="232"/>
        </w:trPr>
        <w:tc>
          <w:tcPr>
            <w:tcW w:w="6800" w:type="dxa"/>
            <w:vAlign w:val="bottom"/>
            <w:gridSpan w:val="2"/>
          </w:tcPr>
          <w:p>
            <w:pPr>
              <w:ind w:left="260"/>
              <w:spacing w:after="0"/>
              <w:rPr>
                <w:sz w:val="20"/>
                <w:szCs w:val="20"/>
                <w:color w:val="auto"/>
              </w:rPr>
            </w:pPr>
            <w:r>
              <w:rPr>
                <w:rFonts w:ascii="Arial" w:cs="Arial" w:eastAsia="Arial" w:hAnsi="Arial"/>
                <w:sz w:val="17"/>
                <w:szCs w:val="17"/>
                <w:color w:val="00162F"/>
              </w:rPr>
              <w:t>Deferred income tax provision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197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426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394</w:t>
            </w:r>
          </w:p>
        </w:tc>
      </w:tr>
      <w:tr>
        <w:trPr>
          <w:trHeight w:val="243"/>
        </w:trPr>
        <w:tc>
          <w:tcPr>
            <w:tcW w:w="6800" w:type="dxa"/>
            <w:vAlign w:val="bottom"/>
            <w:gridSpan w:val="2"/>
            <w:shd w:val="clear" w:color="auto" w:fill="EDEDED"/>
          </w:tcPr>
          <w:p>
            <w:pPr>
              <w:ind w:left="260"/>
              <w:spacing w:after="0"/>
              <w:rPr>
                <w:sz w:val="20"/>
                <w:szCs w:val="20"/>
                <w:color w:val="auto"/>
              </w:rPr>
            </w:pPr>
            <w:r>
              <w:rPr>
                <w:rFonts w:ascii="Arial" w:cs="Arial" w:eastAsia="Arial" w:hAnsi="Arial"/>
                <w:sz w:val="17"/>
                <w:szCs w:val="17"/>
                <w:color w:val="00162F"/>
              </w:rPr>
              <w:t>Share-based compensation, non-cash</w:t>
            </w: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55</w:t>
            </w:r>
          </w:p>
        </w:tc>
        <w:tc>
          <w:tcPr>
            <w:tcW w:w="8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89</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97</w:t>
            </w:r>
          </w:p>
        </w:tc>
      </w:tr>
      <w:tr>
        <w:trPr>
          <w:trHeight w:val="232"/>
        </w:trPr>
        <w:tc>
          <w:tcPr>
            <w:tcW w:w="6800" w:type="dxa"/>
            <w:vAlign w:val="bottom"/>
            <w:gridSpan w:val="2"/>
          </w:tcPr>
          <w:p>
            <w:pPr>
              <w:ind w:left="260"/>
              <w:spacing w:after="0"/>
              <w:rPr>
                <w:sz w:val="20"/>
                <w:szCs w:val="20"/>
                <w:color w:val="auto"/>
              </w:rPr>
            </w:pPr>
            <w:r>
              <w:rPr>
                <w:rFonts w:ascii="Arial" w:cs="Arial" w:eastAsia="Arial" w:hAnsi="Arial"/>
                <w:sz w:val="17"/>
                <w:szCs w:val="17"/>
                <w:color w:val="00162F"/>
              </w:rPr>
              <w:t>Other,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(260)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(216)</w:t>
            </w:r>
          </w:p>
        </w:tc>
      </w:tr>
      <w:tr>
        <w:trPr>
          <w:trHeight w:val="243"/>
        </w:trPr>
        <w:tc>
          <w:tcPr>
            <w:tcW w:w="6800" w:type="dxa"/>
            <w:vAlign w:val="bottom"/>
            <w:gridSpan w:val="2"/>
            <w:shd w:val="clear" w:color="auto" w:fill="EDEDED"/>
          </w:tcPr>
          <w:p>
            <w:pPr>
              <w:ind w:left="260"/>
              <w:spacing w:after="0"/>
              <w:rPr>
                <w:sz w:val="20"/>
                <w:szCs w:val="20"/>
                <w:color w:val="auto"/>
              </w:rPr>
            </w:pPr>
            <w:r>
              <w:rPr>
                <w:rFonts w:ascii="Arial" w:cs="Arial" w:eastAsia="Arial" w:hAnsi="Arial"/>
                <w:sz w:val="17"/>
                <w:szCs w:val="17"/>
                <w:b w:val="1"/>
                <w:bCs w:val="1"/>
                <w:color w:val="00162F"/>
              </w:rPr>
              <w:t>Changes in operating assets and liabilities:</w:t>
            </w: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880" w:type="dxa"/>
            <w:vAlign w:val="bottom"/>
            <w:shd w:val="clear" w:color="auto" w:fill="EDEDED"/>
          </w:tcPr>
          <w:p>
            <w:pPr>
              <w:spacing w:after="0"/>
              <w:rPr>
                <w:sz w:val="21"/>
                <w:szCs w:val="21"/>
                <w:color w:val="auto"/>
              </w:rPr>
            </w:pPr>
          </w:p>
        </w:tc>
      </w:tr>
      <w:tr>
        <w:trPr>
          <w:trHeight w:val="232"/>
        </w:trPr>
        <w:tc>
          <w:tcPr>
            <w:tcW w:w="6800" w:type="dxa"/>
            <w:vAlign w:val="bottom"/>
            <w:gridSpan w:val="2"/>
          </w:tcPr>
          <w:p>
            <w:pPr>
              <w:ind w:left="400"/>
              <w:spacing w:after="0"/>
              <w:rPr>
                <w:sz w:val="20"/>
                <w:szCs w:val="20"/>
                <w:color w:val="auto"/>
              </w:rPr>
            </w:pPr>
            <w:r>
              <w:rPr>
                <w:rFonts w:ascii="Arial" w:cs="Arial" w:eastAsia="Arial" w:hAnsi="Arial"/>
                <w:sz w:val="17"/>
                <w:szCs w:val="17"/>
                <w:color w:val="00162F"/>
              </w:rPr>
              <w:t>Decrease (increase) in accounts receivable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(69)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33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104</w:t>
            </w:r>
          </w:p>
        </w:tc>
      </w:tr>
      <w:tr>
        <w:trPr>
          <w:trHeight w:val="243"/>
        </w:trPr>
        <w:tc>
          <w:tcPr>
            <w:tcW w:w="6800" w:type="dxa"/>
            <w:vAlign w:val="bottom"/>
            <w:gridSpan w:val="2"/>
            <w:shd w:val="clear" w:color="auto" w:fill="EDEDED"/>
          </w:tcPr>
          <w:p>
            <w:pPr>
              <w:ind w:left="400"/>
              <w:spacing w:after="0"/>
              <w:rPr>
                <w:sz w:val="20"/>
                <w:szCs w:val="20"/>
                <w:color w:val="auto"/>
              </w:rPr>
            </w:pPr>
            <w:r>
              <w:rPr>
                <w:rFonts w:ascii="Arial" w:cs="Arial" w:eastAsia="Arial" w:hAnsi="Arial"/>
                <w:sz w:val="17"/>
                <w:szCs w:val="17"/>
                <w:color w:val="00162F"/>
              </w:rPr>
              <w:t>Increase in other assets</w:t>
            </w: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(144)</w:t>
            </w:r>
          </w:p>
        </w:tc>
        <w:tc>
          <w:tcPr>
            <w:tcW w:w="8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(287)</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(2)</w:t>
            </w:r>
          </w:p>
        </w:tc>
      </w:tr>
      <w:tr>
        <w:trPr>
          <w:trHeight w:val="232"/>
        </w:trPr>
        <w:tc>
          <w:tcPr>
            <w:tcW w:w="6800" w:type="dxa"/>
            <w:vAlign w:val="bottom"/>
            <w:gridSpan w:val="2"/>
          </w:tcPr>
          <w:p>
            <w:pPr>
              <w:ind w:left="400"/>
              <w:spacing w:after="0"/>
              <w:rPr>
                <w:sz w:val="20"/>
                <w:szCs w:val="20"/>
                <w:color w:val="auto"/>
              </w:rPr>
            </w:pPr>
            <w:r>
              <w:rPr>
                <w:rFonts w:ascii="Arial" w:cs="Arial" w:eastAsia="Arial" w:hAnsi="Arial"/>
                <w:sz w:val="17"/>
                <w:szCs w:val="17"/>
                <w:color w:val="00162F"/>
              </w:rPr>
              <w:t>Increase in accounts payable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274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284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147</w:t>
            </w:r>
          </w:p>
        </w:tc>
      </w:tr>
      <w:tr>
        <w:trPr>
          <w:trHeight w:val="243"/>
        </w:trPr>
        <w:tc>
          <w:tcPr>
            <w:tcW w:w="6800" w:type="dxa"/>
            <w:vAlign w:val="bottom"/>
            <w:gridSpan w:val="2"/>
            <w:shd w:val="clear" w:color="auto" w:fill="EDEDED"/>
          </w:tcPr>
          <w:p>
            <w:pPr>
              <w:ind w:left="400"/>
              <w:spacing w:after="0"/>
              <w:rPr>
                <w:sz w:val="20"/>
                <w:szCs w:val="20"/>
                <w:color w:val="auto"/>
              </w:rPr>
            </w:pPr>
            <w:r>
              <w:rPr>
                <w:rFonts w:ascii="Arial" w:cs="Arial" w:eastAsia="Arial" w:hAnsi="Arial"/>
                <w:sz w:val="17"/>
                <w:szCs w:val="17"/>
                <w:color w:val="00162F"/>
              </w:rPr>
              <w:t>Increase (decrease) in air traffic liability</w:t>
            </w: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399</w:t>
            </w:r>
          </w:p>
        </w:tc>
        <w:tc>
          <w:tcPr>
            <w:tcW w:w="8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559</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(545)</w:t>
            </w:r>
          </w:p>
        </w:tc>
      </w:tr>
      <w:tr>
        <w:trPr>
          <w:trHeight w:val="232"/>
        </w:trPr>
        <w:tc>
          <w:tcPr>
            <w:tcW w:w="6800" w:type="dxa"/>
            <w:vAlign w:val="bottom"/>
            <w:gridSpan w:val="2"/>
          </w:tcPr>
          <w:p>
            <w:pPr>
              <w:ind w:left="400"/>
              <w:spacing w:after="0"/>
              <w:rPr>
                <w:sz w:val="20"/>
                <w:szCs w:val="20"/>
                <w:color w:val="auto"/>
              </w:rPr>
            </w:pPr>
            <w:r>
              <w:rPr>
                <w:rFonts w:ascii="Arial" w:cs="Arial" w:eastAsia="Arial" w:hAnsi="Arial"/>
                <w:sz w:val="17"/>
                <w:szCs w:val="17"/>
                <w:color w:val="00162F"/>
              </w:rPr>
              <w:t>Increase in receivables from related parties,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(1,701)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(1,099)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(482)</w:t>
            </w:r>
          </w:p>
        </w:tc>
      </w:tr>
      <w:tr>
        <w:trPr>
          <w:trHeight w:val="243"/>
        </w:trPr>
        <w:tc>
          <w:tcPr>
            <w:tcW w:w="6800" w:type="dxa"/>
            <w:vAlign w:val="bottom"/>
            <w:gridSpan w:val="2"/>
            <w:shd w:val="clear" w:color="auto" w:fill="EDEDED"/>
          </w:tcPr>
          <w:p>
            <w:pPr>
              <w:ind w:left="400"/>
              <w:spacing w:after="0"/>
              <w:rPr>
                <w:sz w:val="20"/>
                <w:szCs w:val="20"/>
                <w:color w:val="auto"/>
              </w:rPr>
            </w:pPr>
            <w:r>
              <w:rPr>
                <w:rFonts w:ascii="Arial" w:cs="Arial" w:eastAsia="Arial" w:hAnsi="Arial"/>
                <w:sz w:val="17"/>
                <w:szCs w:val="17"/>
                <w:color w:val="00162F"/>
              </w:rPr>
              <w:t>Increase in loyalty program liability</w:t>
            </w: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510</w:t>
            </w:r>
          </w:p>
        </w:tc>
        <w:tc>
          <w:tcPr>
            <w:tcW w:w="8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727</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182</w:t>
            </w:r>
          </w:p>
        </w:tc>
      </w:tr>
      <w:tr>
        <w:trPr>
          <w:trHeight w:val="232"/>
        </w:trPr>
        <w:tc>
          <w:tcPr>
            <w:tcW w:w="6800" w:type="dxa"/>
            <w:vAlign w:val="bottom"/>
            <w:gridSpan w:val="2"/>
          </w:tcPr>
          <w:p>
            <w:pPr>
              <w:ind w:left="400"/>
              <w:spacing w:after="0"/>
              <w:rPr>
                <w:sz w:val="20"/>
                <w:szCs w:val="20"/>
                <w:color w:val="auto"/>
              </w:rPr>
            </w:pPr>
            <w:r>
              <w:rPr>
                <w:rFonts w:ascii="Arial" w:cs="Arial" w:eastAsia="Arial" w:hAnsi="Arial"/>
                <w:sz w:val="17"/>
                <w:szCs w:val="17"/>
                <w:color w:val="00162F"/>
              </w:rPr>
              <w:t>Contributions to pension plans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(225)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(295)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(71)</w:t>
            </w:r>
          </w:p>
        </w:tc>
      </w:tr>
      <w:tr>
        <w:trPr>
          <w:trHeight w:val="253"/>
        </w:trPr>
        <w:tc>
          <w:tcPr>
            <w:tcW w:w="6800" w:type="dxa"/>
            <w:vAlign w:val="bottom"/>
            <w:tcBorders>
              <w:bottom w:val="single" w:sz="8" w:color="EDEDED"/>
            </w:tcBorders>
            <w:gridSpan w:val="2"/>
            <w:shd w:val="clear" w:color="auto" w:fill="EDEDED"/>
          </w:tcPr>
          <w:p>
            <w:pPr>
              <w:ind w:left="400"/>
              <w:spacing w:after="0"/>
              <w:rPr>
                <w:sz w:val="20"/>
                <w:szCs w:val="20"/>
                <w:color w:val="auto"/>
              </w:rPr>
            </w:pPr>
            <w:r>
              <w:rPr>
                <w:rFonts w:ascii="Arial" w:cs="Arial" w:eastAsia="Arial" w:hAnsi="Arial"/>
                <w:sz w:val="17"/>
                <w:szCs w:val="17"/>
                <w:color w:val="00162F"/>
              </w:rPr>
              <w:t>Increase (decrease) in other liabilities</w:t>
            </w:r>
          </w:p>
        </w:tc>
        <w:tc>
          <w:tcPr>
            <w:tcW w:w="300" w:type="dxa"/>
            <w:vAlign w:val="bottom"/>
            <w:tcBorders>
              <w:bottom w:val="single" w:sz="8" w:color="00162F"/>
            </w:tcBorders>
            <w:shd w:val="clear" w:color="auto" w:fill="EDEDED"/>
          </w:tcPr>
          <w:p>
            <w:pPr>
              <w:spacing w:after="0"/>
              <w:rPr>
                <w:sz w:val="21"/>
                <w:szCs w:val="21"/>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12</w:t>
            </w:r>
          </w:p>
        </w:tc>
        <w:tc>
          <w:tcPr>
            <w:tcW w:w="80" w:type="dxa"/>
            <w:vAlign w:val="bottom"/>
            <w:tcBorders>
              <w:bottom w:val="single" w:sz="8" w:color="EDEDED"/>
            </w:tcBorders>
            <w:shd w:val="clear" w:color="auto" w:fill="EDEDED"/>
          </w:tcPr>
          <w:p>
            <w:pPr>
              <w:spacing w:after="0"/>
              <w:rPr>
                <w:sz w:val="21"/>
                <w:szCs w:val="21"/>
                <w:color w:val="auto"/>
              </w:rPr>
            </w:pPr>
          </w:p>
        </w:tc>
        <w:tc>
          <w:tcPr>
            <w:tcW w:w="300" w:type="dxa"/>
            <w:vAlign w:val="bottom"/>
            <w:tcBorders>
              <w:bottom w:val="single" w:sz="8" w:color="00162F"/>
            </w:tcBorders>
            <w:shd w:val="clear" w:color="auto" w:fill="EDEDED"/>
          </w:tcPr>
          <w:p>
            <w:pPr>
              <w:spacing w:after="0"/>
              <w:rPr>
                <w:sz w:val="21"/>
                <w:szCs w:val="21"/>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(154)</w:t>
            </w:r>
          </w:p>
        </w:tc>
        <w:tc>
          <w:tcPr>
            <w:tcW w:w="80" w:type="dxa"/>
            <w:vAlign w:val="bottom"/>
            <w:tcBorders>
              <w:bottom w:val="single" w:sz="8" w:color="EDEDED"/>
            </w:tcBorders>
            <w:shd w:val="clear" w:color="auto" w:fill="EDEDED"/>
          </w:tcPr>
          <w:p>
            <w:pPr>
              <w:spacing w:after="0"/>
              <w:rPr>
                <w:sz w:val="21"/>
                <w:szCs w:val="21"/>
                <w:color w:val="auto"/>
              </w:rPr>
            </w:pPr>
          </w:p>
        </w:tc>
        <w:tc>
          <w:tcPr>
            <w:tcW w:w="360" w:type="dxa"/>
            <w:vAlign w:val="bottom"/>
            <w:tcBorders>
              <w:bottom w:val="single" w:sz="8" w:color="00162F"/>
            </w:tcBorders>
            <w:shd w:val="clear" w:color="auto" w:fill="EDEDED"/>
          </w:tcPr>
          <w:p>
            <w:pPr>
              <w:spacing w:after="0"/>
              <w:rPr>
                <w:sz w:val="21"/>
                <w:szCs w:val="21"/>
                <w:color w:val="auto"/>
              </w:rPr>
            </w:pPr>
          </w:p>
        </w:tc>
        <w:tc>
          <w:tcPr>
            <w:tcW w:w="8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418</w:t>
            </w:r>
          </w:p>
        </w:tc>
      </w:tr>
      <w:tr>
        <w:trPr>
          <w:trHeight w:val="206"/>
        </w:trPr>
        <w:tc>
          <w:tcPr>
            <w:tcW w:w="6800" w:type="dxa"/>
            <w:vAlign w:val="bottom"/>
            <w:gridSpan w:val="2"/>
          </w:tcPr>
          <w:p>
            <w:pPr>
              <w:ind w:left="540"/>
              <w:spacing w:after="0"/>
              <w:rPr>
                <w:sz w:val="20"/>
                <w:szCs w:val="20"/>
                <w:color w:val="auto"/>
              </w:rPr>
            </w:pPr>
            <w:r>
              <w:rPr>
                <w:rFonts w:ascii="Arial" w:cs="Arial" w:eastAsia="Arial" w:hAnsi="Arial"/>
                <w:sz w:val="17"/>
                <w:szCs w:val="17"/>
                <w:color w:val="00162F"/>
              </w:rPr>
              <w:t>Net cash provided by operating activities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1,930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3,409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3,706</w:t>
            </w:r>
          </w:p>
        </w:tc>
      </w:tr>
      <w:tr>
        <w:trPr>
          <w:trHeight w:val="240"/>
        </w:trPr>
        <w:tc>
          <w:tcPr>
            <w:tcW w:w="6800" w:type="dxa"/>
            <w:vAlign w:val="bottom"/>
            <w:gridSpan w:val="2"/>
            <w:shd w:val="clear" w:color="auto" w:fill="EDEDED"/>
          </w:tcPr>
          <w:p>
            <w:pPr>
              <w:ind w:left="40"/>
              <w:spacing w:after="0"/>
              <w:rPr>
                <w:sz w:val="20"/>
                <w:szCs w:val="20"/>
                <w:color w:val="auto"/>
              </w:rPr>
            </w:pPr>
            <w:r>
              <w:rPr>
                <w:rFonts w:ascii="Arial" w:cs="Arial" w:eastAsia="Arial" w:hAnsi="Arial"/>
                <w:sz w:val="17"/>
                <w:szCs w:val="17"/>
                <w:b w:val="1"/>
                <w:bCs w:val="1"/>
                <w:color w:val="00162F"/>
              </w:rPr>
              <w:t>Cash flows from investing activities:</w:t>
            </w:r>
          </w:p>
        </w:tc>
        <w:tc>
          <w:tcPr>
            <w:tcW w:w="300" w:type="dxa"/>
            <w:vAlign w:val="bottom"/>
            <w:shd w:val="clear" w:color="auto" w:fill="EDEDED"/>
          </w:tcPr>
          <w:p>
            <w:pPr>
              <w:spacing w:after="0"/>
              <w:rPr>
                <w:sz w:val="20"/>
                <w:szCs w:val="20"/>
                <w:color w:val="auto"/>
              </w:rPr>
            </w:pPr>
          </w:p>
        </w:tc>
        <w:tc>
          <w:tcPr>
            <w:tcW w:w="940" w:type="dxa"/>
            <w:vAlign w:val="bottom"/>
            <w:shd w:val="clear" w:color="auto" w:fill="EDEDED"/>
          </w:tcPr>
          <w:p>
            <w:pPr>
              <w:spacing w:after="0"/>
              <w:rPr>
                <w:sz w:val="20"/>
                <w:szCs w:val="20"/>
                <w:color w:val="auto"/>
              </w:rPr>
            </w:pPr>
          </w:p>
        </w:tc>
        <w:tc>
          <w:tcPr>
            <w:tcW w:w="80" w:type="dxa"/>
            <w:vAlign w:val="bottom"/>
            <w:shd w:val="clear" w:color="auto" w:fill="EDEDED"/>
          </w:tcPr>
          <w:p>
            <w:pPr>
              <w:spacing w:after="0"/>
              <w:rPr>
                <w:sz w:val="20"/>
                <w:szCs w:val="20"/>
                <w:color w:val="auto"/>
              </w:rPr>
            </w:pPr>
          </w:p>
        </w:tc>
        <w:tc>
          <w:tcPr>
            <w:tcW w:w="300" w:type="dxa"/>
            <w:vAlign w:val="bottom"/>
            <w:shd w:val="clear" w:color="auto" w:fill="EDEDED"/>
          </w:tcPr>
          <w:p>
            <w:pPr>
              <w:spacing w:after="0"/>
              <w:rPr>
                <w:sz w:val="20"/>
                <w:szCs w:val="20"/>
                <w:color w:val="auto"/>
              </w:rPr>
            </w:pPr>
          </w:p>
        </w:tc>
        <w:tc>
          <w:tcPr>
            <w:tcW w:w="940" w:type="dxa"/>
            <w:vAlign w:val="bottom"/>
            <w:shd w:val="clear" w:color="auto" w:fill="EDEDED"/>
          </w:tcPr>
          <w:p>
            <w:pPr>
              <w:spacing w:after="0"/>
              <w:rPr>
                <w:sz w:val="20"/>
                <w:szCs w:val="20"/>
                <w:color w:val="auto"/>
              </w:rPr>
            </w:pPr>
          </w:p>
        </w:tc>
        <w:tc>
          <w:tcPr>
            <w:tcW w:w="80" w:type="dxa"/>
            <w:vAlign w:val="bottom"/>
            <w:shd w:val="clear" w:color="auto" w:fill="EDEDED"/>
          </w:tcPr>
          <w:p>
            <w:pPr>
              <w:spacing w:after="0"/>
              <w:rPr>
                <w:sz w:val="20"/>
                <w:szCs w:val="20"/>
                <w:color w:val="auto"/>
              </w:rPr>
            </w:pPr>
          </w:p>
        </w:tc>
        <w:tc>
          <w:tcPr>
            <w:tcW w:w="360" w:type="dxa"/>
            <w:vAlign w:val="bottom"/>
            <w:shd w:val="clear" w:color="auto" w:fill="EDEDED"/>
          </w:tcPr>
          <w:p>
            <w:pPr>
              <w:spacing w:after="0"/>
              <w:rPr>
                <w:sz w:val="20"/>
                <w:szCs w:val="20"/>
                <w:color w:val="auto"/>
              </w:rPr>
            </w:pPr>
          </w:p>
        </w:tc>
        <w:tc>
          <w:tcPr>
            <w:tcW w:w="880" w:type="dxa"/>
            <w:vAlign w:val="bottom"/>
            <w:shd w:val="clear" w:color="auto" w:fill="EDEDED"/>
          </w:tcPr>
          <w:p>
            <w:pPr>
              <w:spacing w:after="0"/>
              <w:rPr>
                <w:sz w:val="20"/>
                <w:szCs w:val="20"/>
                <w:color w:val="auto"/>
              </w:rPr>
            </w:pPr>
          </w:p>
        </w:tc>
      </w:tr>
      <w:tr>
        <w:trPr>
          <w:trHeight w:val="232"/>
        </w:trPr>
        <w:tc>
          <w:tcPr>
            <w:tcW w:w="6800" w:type="dxa"/>
            <w:vAlign w:val="bottom"/>
            <w:gridSpan w:val="2"/>
          </w:tcPr>
          <w:p>
            <w:pPr>
              <w:ind w:left="260"/>
              <w:spacing w:after="0"/>
              <w:rPr>
                <w:sz w:val="20"/>
                <w:szCs w:val="20"/>
                <w:color w:val="auto"/>
              </w:rPr>
            </w:pPr>
            <w:r>
              <w:rPr>
                <w:rFonts w:ascii="Arial" w:cs="Arial" w:eastAsia="Arial" w:hAnsi="Arial"/>
                <w:sz w:val="17"/>
                <w:szCs w:val="17"/>
                <w:color w:val="00162F"/>
              </w:rPr>
              <w:t>Capital expenditures and aircraft purchase deposits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(3,716)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(2,624)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(2,542)</w:t>
            </w:r>
          </w:p>
        </w:tc>
      </w:tr>
      <w:tr>
        <w:trPr>
          <w:trHeight w:val="243"/>
        </w:trPr>
        <w:tc>
          <w:tcPr>
            <w:tcW w:w="6800" w:type="dxa"/>
            <w:vAlign w:val="bottom"/>
            <w:gridSpan w:val="2"/>
            <w:shd w:val="clear" w:color="auto" w:fill="EDEDED"/>
          </w:tcPr>
          <w:p>
            <w:pPr>
              <w:ind w:left="280"/>
              <w:spacing w:after="0"/>
              <w:rPr>
                <w:sz w:val="20"/>
                <w:szCs w:val="20"/>
                <w:color w:val="auto"/>
              </w:rPr>
            </w:pPr>
            <w:r>
              <w:rPr>
                <w:rFonts w:ascii="Arial" w:cs="Arial" w:eastAsia="Arial" w:hAnsi="Arial"/>
                <w:sz w:val="17"/>
                <w:szCs w:val="17"/>
                <w:color w:val="00162F"/>
              </w:rPr>
              <w:t>Proceeds from sale-leaseback transactions and sale of property and equipment</w:t>
            </w: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343</w:t>
            </w:r>
          </w:p>
        </w:tc>
        <w:tc>
          <w:tcPr>
            <w:tcW w:w="8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654</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230</w:t>
            </w:r>
          </w:p>
        </w:tc>
      </w:tr>
      <w:tr>
        <w:trPr>
          <w:trHeight w:val="232"/>
        </w:trPr>
        <w:tc>
          <w:tcPr>
            <w:tcW w:w="6800" w:type="dxa"/>
            <w:vAlign w:val="bottom"/>
            <w:gridSpan w:val="2"/>
          </w:tcPr>
          <w:p>
            <w:pPr>
              <w:ind w:left="260"/>
              <w:spacing w:after="0"/>
              <w:rPr>
                <w:sz w:val="20"/>
                <w:szCs w:val="20"/>
                <w:color w:val="auto"/>
              </w:rPr>
            </w:pPr>
            <w:r>
              <w:rPr>
                <w:rFonts w:ascii="Arial" w:cs="Arial" w:eastAsia="Arial" w:hAnsi="Arial"/>
                <w:sz w:val="17"/>
                <w:szCs w:val="17"/>
                <w:color w:val="00162F"/>
              </w:rPr>
              <w:t>Sales of short-term investments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6,189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8,013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8,861</w:t>
            </w:r>
          </w:p>
        </w:tc>
      </w:tr>
      <w:tr>
        <w:trPr>
          <w:trHeight w:val="243"/>
        </w:trPr>
        <w:tc>
          <w:tcPr>
            <w:tcW w:w="6800" w:type="dxa"/>
            <w:vAlign w:val="bottom"/>
            <w:gridSpan w:val="2"/>
            <w:shd w:val="clear" w:color="auto" w:fill="EDEDED"/>
          </w:tcPr>
          <w:p>
            <w:pPr>
              <w:ind w:left="260"/>
              <w:spacing w:after="0"/>
              <w:rPr>
                <w:sz w:val="20"/>
                <w:szCs w:val="20"/>
                <w:color w:val="auto"/>
              </w:rPr>
            </w:pPr>
            <w:r>
              <w:rPr>
                <w:rFonts w:ascii="Arial" w:cs="Arial" w:eastAsia="Arial" w:hAnsi="Arial"/>
                <w:sz w:val="17"/>
                <w:szCs w:val="17"/>
                <w:color w:val="00162F"/>
              </w:rPr>
              <w:t>Purchases of short-term investments</w:t>
            </w: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(4,905)</w:t>
            </w:r>
          </w:p>
        </w:tc>
        <w:tc>
          <w:tcPr>
            <w:tcW w:w="8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(7,194)</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(7,324)</w:t>
            </w:r>
          </w:p>
        </w:tc>
      </w:tr>
      <w:tr>
        <w:trPr>
          <w:trHeight w:val="232"/>
        </w:trPr>
        <w:tc>
          <w:tcPr>
            <w:tcW w:w="6800" w:type="dxa"/>
            <w:vAlign w:val="bottom"/>
            <w:gridSpan w:val="2"/>
          </w:tcPr>
          <w:p>
            <w:pPr>
              <w:ind w:left="260"/>
              <w:spacing w:after="0"/>
              <w:rPr>
                <w:sz w:val="20"/>
                <w:szCs w:val="20"/>
                <w:color w:val="auto"/>
              </w:rPr>
            </w:pPr>
            <w:r>
              <w:rPr>
                <w:rFonts w:ascii="Arial" w:cs="Arial" w:eastAsia="Arial" w:hAnsi="Arial"/>
                <w:sz w:val="17"/>
                <w:szCs w:val="17"/>
                <w:color w:val="00162F"/>
              </w:rPr>
              <w:t>Decrease in restricted short-term investments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177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51</w:t>
            </w:r>
          </w:p>
        </w:tc>
      </w:tr>
      <w:tr>
        <w:trPr>
          <w:trHeight w:val="253"/>
        </w:trPr>
        <w:tc>
          <w:tcPr>
            <w:tcW w:w="680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17"/>
                <w:szCs w:val="17"/>
                <w:color w:val="00162F"/>
              </w:rPr>
              <w:t>Other investing activities</w:t>
            </w:r>
          </w:p>
        </w:tc>
        <w:tc>
          <w:tcPr>
            <w:tcW w:w="300" w:type="dxa"/>
            <w:vAlign w:val="bottom"/>
            <w:tcBorders>
              <w:bottom w:val="single" w:sz="8" w:color="00162F"/>
            </w:tcBorders>
            <w:shd w:val="clear" w:color="auto" w:fill="EDEDED"/>
          </w:tcPr>
          <w:p>
            <w:pPr>
              <w:spacing w:after="0"/>
              <w:rPr>
                <w:sz w:val="21"/>
                <w:szCs w:val="21"/>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254</w:t>
            </w:r>
          </w:p>
        </w:tc>
        <w:tc>
          <w:tcPr>
            <w:tcW w:w="80" w:type="dxa"/>
            <w:vAlign w:val="bottom"/>
            <w:tcBorders>
              <w:bottom w:val="single" w:sz="8" w:color="EDEDED"/>
            </w:tcBorders>
            <w:shd w:val="clear" w:color="auto" w:fill="EDEDED"/>
          </w:tcPr>
          <w:p>
            <w:pPr>
              <w:spacing w:after="0"/>
              <w:rPr>
                <w:sz w:val="21"/>
                <w:szCs w:val="21"/>
                <w:color w:val="auto"/>
              </w:rPr>
            </w:pPr>
          </w:p>
        </w:tc>
        <w:tc>
          <w:tcPr>
            <w:tcW w:w="300" w:type="dxa"/>
            <w:vAlign w:val="bottom"/>
            <w:tcBorders>
              <w:bottom w:val="single" w:sz="8" w:color="00162F"/>
            </w:tcBorders>
            <w:shd w:val="clear" w:color="auto" w:fill="EDEDED"/>
          </w:tcPr>
          <w:p>
            <w:pPr>
              <w:spacing w:after="0"/>
              <w:rPr>
                <w:sz w:val="21"/>
                <w:szCs w:val="21"/>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65</w:t>
            </w:r>
          </w:p>
        </w:tc>
        <w:tc>
          <w:tcPr>
            <w:tcW w:w="80" w:type="dxa"/>
            <w:vAlign w:val="bottom"/>
            <w:tcBorders>
              <w:bottom w:val="single" w:sz="8" w:color="EDEDED"/>
            </w:tcBorders>
            <w:shd w:val="clear" w:color="auto" w:fill="EDEDED"/>
          </w:tcPr>
          <w:p>
            <w:pPr>
              <w:spacing w:after="0"/>
              <w:rPr>
                <w:sz w:val="21"/>
                <w:szCs w:val="21"/>
                <w:color w:val="auto"/>
              </w:rPr>
            </w:pPr>
          </w:p>
        </w:tc>
        <w:tc>
          <w:tcPr>
            <w:tcW w:w="360" w:type="dxa"/>
            <w:vAlign w:val="bottom"/>
            <w:tcBorders>
              <w:bottom w:val="single" w:sz="8" w:color="00162F"/>
            </w:tcBorders>
            <w:shd w:val="clear" w:color="auto" w:fill="EDEDED"/>
          </w:tcPr>
          <w:p>
            <w:pPr>
              <w:spacing w:after="0"/>
              <w:rPr>
                <w:sz w:val="21"/>
                <w:szCs w:val="21"/>
                <w:color w:val="auto"/>
              </w:rPr>
            </w:pPr>
          </w:p>
        </w:tc>
        <w:tc>
          <w:tcPr>
            <w:tcW w:w="8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275</w:t>
            </w:r>
          </w:p>
        </w:tc>
      </w:tr>
      <w:tr>
        <w:trPr>
          <w:trHeight w:val="206"/>
        </w:trPr>
        <w:tc>
          <w:tcPr>
            <w:tcW w:w="6800" w:type="dxa"/>
            <w:vAlign w:val="bottom"/>
            <w:gridSpan w:val="2"/>
          </w:tcPr>
          <w:p>
            <w:pPr>
              <w:ind w:left="540"/>
              <w:spacing w:after="0"/>
              <w:rPr>
                <w:sz w:val="20"/>
                <w:szCs w:val="20"/>
                <w:color w:val="auto"/>
              </w:rPr>
            </w:pPr>
            <w:r>
              <w:rPr>
                <w:rFonts w:ascii="Arial" w:cs="Arial" w:eastAsia="Arial" w:hAnsi="Arial"/>
                <w:sz w:val="17"/>
                <w:szCs w:val="17"/>
                <w:color w:val="00162F"/>
              </w:rPr>
              <w:t>Net cash used in investing activities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(1,832)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(909)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(449)</w:t>
            </w:r>
          </w:p>
        </w:tc>
      </w:tr>
      <w:tr>
        <w:trPr>
          <w:trHeight w:val="240"/>
        </w:trPr>
        <w:tc>
          <w:tcPr>
            <w:tcW w:w="6800" w:type="dxa"/>
            <w:vAlign w:val="bottom"/>
            <w:gridSpan w:val="2"/>
            <w:shd w:val="clear" w:color="auto" w:fill="EDEDED"/>
          </w:tcPr>
          <w:p>
            <w:pPr>
              <w:ind w:left="40"/>
              <w:spacing w:after="0"/>
              <w:rPr>
                <w:sz w:val="20"/>
                <w:szCs w:val="20"/>
                <w:color w:val="auto"/>
              </w:rPr>
            </w:pPr>
            <w:r>
              <w:rPr>
                <w:rFonts w:ascii="Arial" w:cs="Arial" w:eastAsia="Arial" w:hAnsi="Arial"/>
                <w:sz w:val="17"/>
                <w:szCs w:val="17"/>
                <w:b w:val="1"/>
                <w:bCs w:val="1"/>
                <w:color w:val="00162F"/>
              </w:rPr>
              <w:t>Cash flows from financing activities:</w:t>
            </w:r>
          </w:p>
        </w:tc>
        <w:tc>
          <w:tcPr>
            <w:tcW w:w="300" w:type="dxa"/>
            <w:vAlign w:val="bottom"/>
            <w:shd w:val="clear" w:color="auto" w:fill="EDEDED"/>
          </w:tcPr>
          <w:p>
            <w:pPr>
              <w:spacing w:after="0"/>
              <w:rPr>
                <w:sz w:val="20"/>
                <w:szCs w:val="20"/>
                <w:color w:val="auto"/>
              </w:rPr>
            </w:pPr>
          </w:p>
        </w:tc>
        <w:tc>
          <w:tcPr>
            <w:tcW w:w="940" w:type="dxa"/>
            <w:vAlign w:val="bottom"/>
            <w:shd w:val="clear" w:color="auto" w:fill="EDEDED"/>
          </w:tcPr>
          <w:p>
            <w:pPr>
              <w:spacing w:after="0"/>
              <w:rPr>
                <w:sz w:val="20"/>
                <w:szCs w:val="20"/>
                <w:color w:val="auto"/>
              </w:rPr>
            </w:pPr>
          </w:p>
        </w:tc>
        <w:tc>
          <w:tcPr>
            <w:tcW w:w="80" w:type="dxa"/>
            <w:vAlign w:val="bottom"/>
            <w:shd w:val="clear" w:color="auto" w:fill="EDEDED"/>
          </w:tcPr>
          <w:p>
            <w:pPr>
              <w:spacing w:after="0"/>
              <w:rPr>
                <w:sz w:val="20"/>
                <w:szCs w:val="20"/>
                <w:color w:val="auto"/>
              </w:rPr>
            </w:pPr>
          </w:p>
        </w:tc>
        <w:tc>
          <w:tcPr>
            <w:tcW w:w="300" w:type="dxa"/>
            <w:vAlign w:val="bottom"/>
            <w:shd w:val="clear" w:color="auto" w:fill="EDEDED"/>
          </w:tcPr>
          <w:p>
            <w:pPr>
              <w:spacing w:after="0"/>
              <w:rPr>
                <w:sz w:val="20"/>
                <w:szCs w:val="20"/>
                <w:color w:val="auto"/>
              </w:rPr>
            </w:pPr>
          </w:p>
        </w:tc>
        <w:tc>
          <w:tcPr>
            <w:tcW w:w="940" w:type="dxa"/>
            <w:vAlign w:val="bottom"/>
            <w:shd w:val="clear" w:color="auto" w:fill="EDEDED"/>
          </w:tcPr>
          <w:p>
            <w:pPr>
              <w:spacing w:after="0"/>
              <w:rPr>
                <w:sz w:val="20"/>
                <w:szCs w:val="20"/>
                <w:color w:val="auto"/>
              </w:rPr>
            </w:pPr>
          </w:p>
        </w:tc>
        <w:tc>
          <w:tcPr>
            <w:tcW w:w="80" w:type="dxa"/>
            <w:vAlign w:val="bottom"/>
            <w:shd w:val="clear" w:color="auto" w:fill="EDEDED"/>
          </w:tcPr>
          <w:p>
            <w:pPr>
              <w:spacing w:after="0"/>
              <w:rPr>
                <w:sz w:val="20"/>
                <w:szCs w:val="20"/>
                <w:color w:val="auto"/>
              </w:rPr>
            </w:pPr>
          </w:p>
        </w:tc>
        <w:tc>
          <w:tcPr>
            <w:tcW w:w="360" w:type="dxa"/>
            <w:vAlign w:val="bottom"/>
            <w:shd w:val="clear" w:color="auto" w:fill="EDEDED"/>
          </w:tcPr>
          <w:p>
            <w:pPr>
              <w:spacing w:after="0"/>
              <w:rPr>
                <w:sz w:val="20"/>
                <w:szCs w:val="20"/>
                <w:color w:val="auto"/>
              </w:rPr>
            </w:pPr>
          </w:p>
        </w:tc>
        <w:tc>
          <w:tcPr>
            <w:tcW w:w="880" w:type="dxa"/>
            <w:vAlign w:val="bottom"/>
            <w:shd w:val="clear" w:color="auto" w:fill="EDEDED"/>
          </w:tcPr>
          <w:p>
            <w:pPr>
              <w:spacing w:after="0"/>
              <w:rPr>
                <w:sz w:val="20"/>
                <w:szCs w:val="20"/>
                <w:color w:val="auto"/>
              </w:rPr>
            </w:pPr>
          </w:p>
        </w:tc>
      </w:tr>
      <w:tr>
        <w:trPr>
          <w:trHeight w:val="232"/>
        </w:trPr>
        <w:tc>
          <w:tcPr>
            <w:tcW w:w="6800" w:type="dxa"/>
            <w:vAlign w:val="bottom"/>
            <w:gridSpan w:val="2"/>
          </w:tcPr>
          <w:p>
            <w:pPr>
              <w:ind w:left="260"/>
              <w:spacing w:after="0"/>
              <w:rPr>
                <w:sz w:val="20"/>
                <w:szCs w:val="20"/>
                <w:color w:val="auto"/>
              </w:rPr>
            </w:pPr>
            <w:r>
              <w:rPr>
                <w:rFonts w:ascii="Arial" w:cs="Arial" w:eastAsia="Arial" w:hAnsi="Arial"/>
                <w:sz w:val="17"/>
                <w:szCs w:val="17"/>
                <w:color w:val="00162F"/>
              </w:rPr>
              <w:t>Payments on long-term debt and finance leases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(4,503)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(3,973)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(7,697)</w:t>
            </w:r>
          </w:p>
        </w:tc>
      </w:tr>
      <w:tr>
        <w:trPr>
          <w:trHeight w:val="243"/>
        </w:trPr>
        <w:tc>
          <w:tcPr>
            <w:tcW w:w="6800" w:type="dxa"/>
            <w:vAlign w:val="bottom"/>
            <w:gridSpan w:val="2"/>
            <w:shd w:val="clear" w:color="auto" w:fill="EDEDED"/>
          </w:tcPr>
          <w:p>
            <w:pPr>
              <w:ind w:left="260"/>
              <w:spacing w:after="0"/>
              <w:rPr>
                <w:sz w:val="20"/>
                <w:szCs w:val="20"/>
                <w:color w:val="auto"/>
              </w:rPr>
            </w:pPr>
            <w:r>
              <w:rPr>
                <w:rFonts w:ascii="Arial" w:cs="Arial" w:eastAsia="Arial" w:hAnsi="Arial"/>
                <w:sz w:val="17"/>
                <w:szCs w:val="17"/>
                <w:color w:val="00162F"/>
              </w:rPr>
              <w:t>Proceeds from issuance of long-term debt</w:t>
            </w: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3,773</w:t>
            </w:r>
          </w:p>
        </w:tc>
        <w:tc>
          <w:tcPr>
            <w:tcW w:w="8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1,670</w:t>
            </w:r>
          </w:p>
        </w:tc>
        <w:tc>
          <w:tcPr>
            <w:tcW w:w="8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4,822</w:t>
            </w:r>
          </w:p>
        </w:tc>
      </w:tr>
      <w:tr>
        <w:trPr>
          <w:trHeight w:val="232"/>
        </w:trPr>
        <w:tc>
          <w:tcPr>
            <w:tcW w:w="6800" w:type="dxa"/>
            <w:vAlign w:val="bottom"/>
            <w:gridSpan w:val="2"/>
          </w:tcPr>
          <w:p>
            <w:pPr>
              <w:ind w:left="260"/>
              <w:spacing w:after="0"/>
              <w:rPr>
                <w:sz w:val="20"/>
                <w:szCs w:val="20"/>
                <w:color w:val="auto"/>
              </w:rPr>
            </w:pPr>
            <w:r>
              <w:rPr>
                <w:rFonts w:ascii="Arial" w:cs="Arial" w:eastAsia="Arial" w:hAnsi="Arial"/>
                <w:sz w:val="17"/>
                <w:szCs w:val="17"/>
                <w:color w:val="00162F"/>
              </w:rPr>
              <w:t>Net proceeds from fuel financing</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840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00162F"/>
              </w:rPr>
              <w:t>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162F"/>
              </w:rPr>
              <w:t>—</w:t>
            </w:r>
          </w:p>
        </w:tc>
      </w:tr>
      <w:tr>
        <w:trPr>
          <w:trHeight w:val="253"/>
        </w:trPr>
        <w:tc>
          <w:tcPr>
            <w:tcW w:w="680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17"/>
                <w:szCs w:val="17"/>
                <w:color w:val="00162F"/>
              </w:rPr>
              <w:t>Other financing activities</w:t>
            </w:r>
          </w:p>
        </w:tc>
        <w:tc>
          <w:tcPr>
            <w:tcW w:w="300" w:type="dxa"/>
            <w:vAlign w:val="bottom"/>
            <w:tcBorders>
              <w:bottom w:val="single" w:sz="8" w:color="00162F"/>
            </w:tcBorders>
            <w:shd w:val="clear" w:color="auto" w:fill="EDEDED"/>
          </w:tcPr>
          <w:p>
            <w:pPr>
              <w:spacing w:after="0"/>
              <w:rPr>
                <w:sz w:val="21"/>
                <w:szCs w:val="21"/>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(63)</w:t>
            </w:r>
          </w:p>
        </w:tc>
        <w:tc>
          <w:tcPr>
            <w:tcW w:w="80" w:type="dxa"/>
            <w:vAlign w:val="bottom"/>
            <w:tcBorders>
              <w:bottom w:val="single" w:sz="8" w:color="EDEDED"/>
            </w:tcBorders>
            <w:shd w:val="clear" w:color="auto" w:fill="EDEDED"/>
          </w:tcPr>
          <w:p>
            <w:pPr>
              <w:spacing w:after="0"/>
              <w:rPr>
                <w:sz w:val="21"/>
                <w:szCs w:val="21"/>
                <w:color w:val="auto"/>
              </w:rPr>
            </w:pPr>
          </w:p>
        </w:tc>
        <w:tc>
          <w:tcPr>
            <w:tcW w:w="300" w:type="dxa"/>
            <w:vAlign w:val="bottom"/>
            <w:tcBorders>
              <w:bottom w:val="single" w:sz="8" w:color="00162F"/>
            </w:tcBorders>
            <w:shd w:val="clear" w:color="auto" w:fill="EDEDED"/>
          </w:tcPr>
          <w:p>
            <w:pPr>
              <w:spacing w:after="0"/>
              <w:rPr>
                <w:sz w:val="21"/>
                <w:szCs w:val="21"/>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(48)</w:t>
            </w:r>
          </w:p>
        </w:tc>
        <w:tc>
          <w:tcPr>
            <w:tcW w:w="80" w:type="dxa"/>
            <w:vAlign w:val="bottom"/>
            <w:tcBorders>
              <w:bottom w:val="single" w:sz="8" w:color="EDEDED"/>
            </w:tcBorders>
            <w:shd w:val="clear" w:color="auto" w:fill="EDEDED"/>
          </w:tcPr>
          <w:p>
            <w:pPr>
              <w:spacing w:after="0"/>
              <w:rPr>
                <w:sz w:val="21"/>
                <w:szCs w:val="21"/>
                <w:color w:val="auto"/>
              </w:rPr>
            </w:pPr>
          </w:p>
        </w:tc>
        <w:tc>
          <w:tcPr>
            <w:tcW w:w="360" w:type="dxa"/>
            <w:vAlign w:val="bottom"/>
            <w:tcBorders>
              <w:bottom w:val="single" w:sz="8" w:color="00162F"/>
            </w:tcBorders>
            <w:shd w:val="clear" w:color="auto" w:fill="EDEDED"/>
          </w:tcPr>
          <w:p>
            <w:pPr>
              <w:spacing w:after="0"/>
              <w:rPr>
                <w:sz w:val="21"/>
                <w:szCs w:val="21"/>
                <w:color w:val="auto"/>
              </w:rPr>
            </w:pPr>
          </w:p>
        </w:tc>
        <w:tc>
          <w:tcPr>
            <w:tcW w:w="8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(287)</w:t>
            </w:r>
          </w:p>
        </w:tc>
      </w:tr>
      <w:tr>
        <w:trPr>
          <w:trHeight w:val="198"/>
        </w:trPr>
        <w:tc>
          <w:tcPr>
            <w:tcW w:w="6800" w:type="dxa"/>
            <w:vAlign w:val="bottom"/>
            <w:tcBorders>
              <w:bottom w:val="single" w:sz="8" w:color="EDEDED"/>
            </w:tcBorders>
            <w:gridSpan w:val="2"/>
          </w:tcPr>
          <w:p>
            <w:pPr>
              <w:ind w:left="540"/>
              <w:spacing w:after="0"/>
              <w:rPr>
                <w:sz w:val="20"/>
                <w:szCs w:val="20"/>
                <w:color w:val="auto"/>
              </w:rPr>
            </w:pPr>
            <w:r>
              <w:rPr>
                <w:rFonts w:ascii="Arial" w:cs="Arial" w:eastAsia="Arial" w:hAnsi="Arial"/>
                <w:sz w:val="17"/>
                <w:szCs w:val="17"/>
                <w:color w:val="00162F"/>
              </w:rPr>
              <w:t>Net cash provided by (used in) financing activities</w:t>
            </w:r>
          </w:p>
        </w:tc>
        <w:tc>
          <w:tcPr>
            <w:tcW w:w="300" w:type="dxa"/>
            <w:vAlign w:val="bottom"/>
            <w:tcBorders>
              <w:bottom w:val="single" w:sz="8" w:color="00162F"/>
            </w:tcBorders>
          </w:tcPr>
          <w:p>
            <w:pPr>
              <w:spacing w:after="0"/>
              <w:rPr>
                <w:sz w:val="17"/>
                <w:szCs w:val="17"/>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17"/>
                <w:szCs w:val="17"/>
                <w:color w:val="00162F"/>
              </w:rPr>
              <w:t>47</w:t>
            </w:r>
          </w:p>
        </w:tc>
        <w:tc>
          <w:tcPr>
            <w:tcW w:w="80" w:type="dxa"/>
            <w:vAlign w:val="bottom"/>
            <w:tcBorders>
              <w:bottom w:val="single" w:sz="8" w:color="EDEDED"/>
            </w:tcBorders>
          </w:tcPr>
          <w:p>
            <w:pPr>
              <w:spacing w:after="0"/>
              <w:rPr>
                <w:sz w:val="17"/>
                <w:szCs w:val="17"/>
                <w:color w:val="auto"/>
              </w:rPr>
            </w:pPr>
          </w:p>
        </w:tc>
        <w:tc>
          <w:tcPr>
            <w:tcW w:w="300" w:type="dxa"/>
            <w:vAlign w:val="bottom"/>
            <w:tcBorders>
              <w:bottom w:val="single" w:sz="8" w:color="00162F"/>
            </w:tcBorders>
          </w:tcPr>
          <w:p>
            <w:pPr>
              <w:spacing w:after="0"/>
              <w:rPr>
                <w:sz w:val="17"/>
                <w:szCs w:val="17"/>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17"/>
                <w:szCs w:val="17"/>
                <w:color w:val="00162F"/>
              </w:rPr>
              <w:t>(2,277)</w:t>
            </w:r>
          </w:p>
        </w:tc>
        <w:tc>
          <w:tcPr>
            <w:tcW w:w="80" w:type="dxa"/>
            <w:vAlign w:val="bottom"/>
            <w:tcBorders>
              <w:bottom w:val="single" w:sz="8" w:color="EDEDED"/>
            </w:tcBorders>
          </w:tcPr>
          <w:p>
            <w:pPr>
              <w:spacing w:after="0"/>
              <w:rPr>
                <w:sz w:val="17"/>
                <w:szCs w:val="17"/>
                <w:color w:val="auto"/>
              </w:rPr>
            </w:pPr>
          </w:p>
        </w:tc>
        <w:tc>
          <w:tcPr>
            <w:tcW w:w="360" w:type="dxa"/>
            <w:vAlign w:val="bottom"/>
            <w:tcBorders>
              <w:bottom w:val="single" w:sz="8" w:color="00162F"/>
            </w:tcBorders>
          </w:tcPr>
          <w:p>
            <w:pPr>
              <w:spacing w:after="0"/>
              <w:rPr>
                <w:sz w:val="17"/>
                <w:szCs w:val="17"/>
                <w:color w:val="auto"/>
              </w:rPr>
            </w:pPr>
          </w:p>
        </w:tc>
        <w:tc>
          <w:tcPr>
            <w:tcW w:w="880" w:type="dxa"/>
            <w:vAlign w:val="bottom"/>
            <w:tcBorders>
              <w:bottom w:val="single" w:sz="8" w:color="00162F"/>
            </w:tcBorders>
          </w:tcPr>
          <w:p>
            <w:pPr>
              <w:jc w:val="right"/>
              <w:spacing w:after="0"/>
              <w:rPr>
                <w:sz w:val="20"/>
                <w:szCs w:val="20"/>
                <w:color w:val="auto"/>
              </w:rPr>
            </w:pPr>
            <w:r>
              <w:rPr>
                <w:rFonts w:ascii="Arial" w:cs="Arial" w:eastAsia="Arial" w:hAnsi="Arial"/>
                <w:sz w:val="17"/>
                <w:szCs w:val="17"/>
                <w:color w:val="00162F"/>
              </w:rPr>
              <w:t>(3,162)</w:t>
            </w:r>
          </w:p>
        </w:tc>
      </w:tr>
      <w:tr>
        <w:trPr>
          <w:trHeight w:val="228"/>
        </w:trPr>
        <w:tc>
          <w:tcPr>
            <w:tcW w:w="6800" w:type="dxa"/>
            <w:vAlign w:val="bottom"/>
            <w:gridSpan w:val="2"/>
            <w:shd w:val="clear" w:color="auto" w:fill="EDEDED"/>
          </w:tcPr>
          <w:p>
            <w:pPr>
              <w:ind w:left="40"/>
              <w:spacing w:after="0"/>
              <w:rPr>
                <w:sz w:val="20"/>
                <w:szCs w:val="20"/>
                <w:color w:val="auto"/>
              </w:rPr>
            </w:pPr>
            <w:r>
              <w:rPr>
                <w:rFonts w:ascii="Arial" w:cs="Arial" w:eastAsia="Arial" w:hAnsi="Arial"/>
                <w:sz w:val="17"/>
                <w:szCs w:val="17"/>
                <w:color w:val="00162F"/>
              </w:rPr>
              <w:t>Net increase in cash and restricted cash</w:t>
            </w:r>
          </w:p>
        </w:tc>
        <w:tc>
          <w:tcPr>
            <w:tcW w:w="300" w:type="dxa"/>
            <w:vAlign w:val="bottom"/>
            <w:shd w:val="clear" w:color="auto" w:fill="EDEDED"/>
          </w:tcPr>
          <w:p>
            <w:pPr>
              <w:spacing w:after="0"/>
              <w:rPr>
                <w:sz w:val="19"/>
                <w:szCs w:val="19"/>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145</w:t>
            </w:r>
          </w:p>
        </w:tc>
        <w:tc>
          <w:tcPr>
            <w:tcW w:w="8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223</w:t>
            </w:r>
          </w:p>
        </w:tc>
        <w:tc>
          <w:tcPr>
            <w:tcW w:w="80" w:type="dxa"/>
            <w:vAlign w:val="bottom"/>
            <w:shd w:val="clear" w:color="auto" w:fill="EDEDED"/>
          </w:tcPr>
          <w:p>
            <w:pPr>
              <w:spacing w:after="0"/>
              <w:rPr>
                <w:sz w:val="19"/>
                <w:szCs w:val="19"/>
                <w:color w:val="auto"/>
              </w:rPr>
            </w:pPr>
          </w:p>
        </w:tc>
        <w:tc>
          <w:tcPr>
            <w:tcW w:w="360" w:type="dxa"/>
            <w:vAlign w:val="bottom"/>
            <w:shd w:val="clear" w:color="auto" w:fill="EDEDED"/>
          </w:tcPr>
          <w:p>
            <w:pPr>
              <w:spacing w:after="0"/>
              <w:rPr>
                <w:sz w:val="19"/>
                <w:szCs w:val="19"/>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95</w:t>
            </w:r>
          </w:p>
        </w:tc>
      </w:tr>
      <w:tr>
        <w:trPr>
          <w:trHeight w:val="228"/>
        </w:trPr>
        <w:tc>
          <w:tcPr>
            <w:tcW w:w="6800" w:type="dxa"/>
            <w:vAlign w:val="bottom"/>
            <w:tcBorders>
              <w:bottom w:val="single" w:sz="8" w:color="EDEDED"/>
            </w:tcBorders>
            <w:gridSpan w:val="2"/>
          </w:tcPr>
          <w:p>
            <w:pPr>
              <w:ind w:left="40"/>
              <w:spacing w:after="0"/>
              <w:rPr>
                <w:sz w:val="20"/>
                <w:szCs w:val="20"/>
                <w:color w:val="auto"/>
              </w:rPr>
            </w:pPr>
            <w:r>
              <w:rPr>
                <w:rFonts w:ascii="Arial" w:cs="Arial" w:eastAsia="Arial" w:hAnsi="Arial"/>
                <w:sz w:val="17"/>
                <w:szCs w:val="17"/>
                <w:color w:val="00162F"/>
              </w:rPr>
              <w:t>Cash and restricted cash at beginning of year</w:t>
            </w:r>
          </w:p>
        </w:tc>
        <w:tc>
          <w:tcPr>
            <w:tcW w:w="300" w:type="dxa"/>
            <w:vAlign w:val="bottom"/>
            <w:tcBorders>
              <w:bottom w:val="single" w:sz="8" w:color="00162F"/>
            </w:tcBorders>
          </w:tcPr>
          <w:p>
            <w:pPr>
              <w:spacing w:after="0"/>
              <w:rPr>
                <w:sz w:val="19"/>
                <w:szCs w:val="19"/>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17"/>
                <w:szCs w:val="17"/>
                <w:color w:val="00162F"/>
              </w:rPr>
              <w:t>893</w:t>
            </w:r>
          </w:p>
        </w:tc>
        <w:tc>
          <w:tcPr>
            <w:tcW w:w="80" w:type="dxa"/>
            <w:vAlign w:val="bottom"/>
            <w:tcBorders>
              <w:bottom w:val="single" w:sz="8" w:color="EDEDED"/>
            </w:tcBorders>
          </w:tcPr>
          <w:p>
            <w:pPr>
              <w:spacing w:after="0"/>
              <w:rPr>
                <w:sz w:val="19"/>
                <w:szCs w:val="19"/>
                <w:color w:val="auto"/>
              </w:rPr>
            </w:pPr>
          </w:p>
        </w:tc>
        <w:tc>
          <w:tcPr>
            <w:tcW w:w="300" w:type="dxa"/>
            <w:vAlign w:val="bottom"/>
            <w:tcBorders>
              <w:bottom w:val="single" w:sz="8" w:color="00162F"/>
            </w:tcBorders>
          </w:tcPr>
          <w:p>
            <w:pPr>
              <w:spacing w:after="0"/>
              <w:rPr>
                <w:sz w:val="19"/>
                <w:szCs w:val="19"/>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17"/>
                <w:szCs w:val="17"/>
                <w:color w:val="00162F"/>
              </w:rPr>
              <w:t>670</w:t>
            </w:r>
          </w:p>
        </w:tc>
        <w:tc>
          <w:tcPr>
            <w:tcW w:w="80" w:type="dxa"/>
            <w:vAlign w:val="bottom"/>
            <w:tcBorders>
              <w:bottom w:val="single" w:sz="8" w:color="EDEDED"/>
            </w:tcBorders>
          </w:tcPr>
          <w:p>
            <w:pPr>
              <w:spacing w:after="0"/>
              <w:rPr>
                <w:sz w:val="19"/>
                <w:szCs w:val="19"/>
                <w:color w:val="auto"/>
              </w:rPr>
            </w:pPr>
          </w:p>
        </w:tc>
        <w:tc>
          <w:tcPr>
            <w:tcW w:w="360" w:type="dxa"/>
            <w:vAlign w:val="bottom"/>
            <w:tcBorders>
              <w:bottom w:val="single" w:sz="8" w:color="00162F"/>
            </w:tcBorders>
          </w:tcPr>
          <w:p>
            <w:pPr>
              <w:spacing w:after="0"/>
              <w:rPr>
                <w:sz w:val="19"/>
                <w:szCs w:val="19"/>
                <w:color w:val="auto"/>
              </w:rPr>
            </w:pPr>
          </w:p>
        </w:tc>
        <w:tc>
          <w:tcPr>
            <w:tcW w:w="880" w:type="dxa"/>
            <w:vAlign w:val="bottom"/>
            <w:tcBorders>
              <w:bottom w:val="single" w:sz="8" w:color="00162F"/>
            </w:tcBorders>
          </w:tcPr>
          <w:p>
            <w:pPr>
              <w:jc w:val="right"/>
              <w:spacing w:after="0"/>
              <w:rPr>
                <w:sz w:val="20"/>
                <w:szCs w:val="20"/>
                <w:color w:val="auto"/>
              </w:rPr>
            </w:pPr>
            <w:r>
              <w:rPr>
                <w:rFonts w:ascii="Arial" w:cs="Arial" w:eastAsia="Arial" w:hAnsi="Arial"/>
                <w:sz w:val="17"/>
                <w:szCs w:val="17"/>
                <w:color w:val="00162F"/>
              </w:rPr>
              <w:t>575</w:t>
            </w:r>
          </w:p>
        </w:tc>
      </w:tr>
      <w:tr>
        <w:trPr>
          <w:trHeight w:val="237"/>
        </w:trPr>
        <w:tc>
          <w:tcPr>
            <w:tcW w:w="680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17"/>
                <w:szCs w:val="17"/>
                <w:color w:val="00162F"/>
              </w:rPr>
              <w:t xml:space="preserve">Cash and restricted cash at end of year </w:t>
            </w:r>
            <w:r>
              <w:rPr>
                <w:rFonts w:ascii="Arial" w:cs="Arial" w:eastAsia="Arial" w:hAnsi="Arial"/>
                <w:sz w:val="10"/>
                <w:szCs w:val="10"/>
                <w:color w:val="00162F"/>
              </w:rPr>
              <w:t>(a)</w:t>
            </w:r>
          </w:p>
        </w:tc>
        <w:tc>
          <w:tcPr>
            <w:tcW w:w="300" w:type="dxa"/>
            <w:vAlign w:val="bottom"/>
            <w:tcBorders>
              <w:bottom w:val="single" w:sz="8" w:color="00162F"/>
            </w:tcBorders>
            <w:shd w:val="clear" w:color="auto" w:fill="EDEDED"/>
          </w:tcPr>
          <w:p>
            <w:pPr>
              <w:jc w:val="right"/>
              <w:ind w:right="76"/>
              <w:spacing w:after="0"/>
              <w:rPr>
                <w:sz w:val="20"/>
                <w:szCs w:val="20"/>
                <w:color w:val="auto"/>
              </w:rPr>
            </w:pPr>
            <w:r>
              <w:rPr>
                <w:rFonts w:ascii="Arial" w:cs="Arial" w:eastAsia="Arial" w:hAnsi="Arial"/>
                <w:sz w:val="17"/>
                <w:szCs w:val="17"/>
                <w:color w:val="00162F"/>
              </w:rPr>
              <w:t>$</w:t>
            </w: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1,038</w:t>
            </w:r>
          </w:p>
        </w:tc>
        <w:tc>
          <w:tcPr>
            <w:tcW w:w="80" w:type="dxa"/>
            <w:vAlign w:val="bottom"/>
            <w:tcBorders>
              <w:bottom w:val="single" w:sz="8" w:color="EDEDED"/>
            </w:tcBorders>
            <w:shd w:val="clear" w:color="auto" w:fill="EDEDED"/>
          </w:tcPr>
          <w:p>
            <w:pPr>
              <w:spacing w:after="0"/>
              <w:rPr>
                <w:sz w:val="20"/>
                <w:szCs w:val="20"/>
                <w:color w:val="auto"/>
              </w:rPr>
            </w:pPr>
          </w:p>
        </w:tc>
        <w:tc>
          <w:tcPr>
            <w:tcW w:w="300" w:type="dxa"/>
            <w:vAlign w:val="bottom"/>
            <w:tcBorders>
              <w:bottom w:val="single" w:sz="8" w:color="00162F"/>
            </w:tcBorders>
            <w:shd w:val="clear" w:color="auto" w:fill="EDEDED"/>
          </w:tcPr>
          <w:p>
            <w:pPr>
              <w:jc w:val="right"/>
              <w:ind w:right="76"/>
              <w:spacing w:after="0"/>
              <w:rPr>
                <w:sz w:val="20"/>
                <w:szCs w:val="20"/>
                <w:color w:val="auto"/>
              </w:rPr>
            </w:pPr>
            <w:r>
              <w:rPr>
                <w:rFonts w:ascii="Arial" w:cs="Arial" w:eastAsia="Arial" w:hAnsi="Arial"/>
                <w:sz w:val="17"/>
                <w:szCs w:val="17"/>
                <w:color w:val="00162F"/>
              </w:rPr>
              <w:t>$</w:t>
            </w: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893</w:t>
            </w:r>
          </w:p>
        </w:tc>
        <w:tc>
          <w:tcPr>
            <w:tcW w:w="80" w:type="dxa"/>
            <w:vAlign w:val="bottom"/>
            <w:tcBorders>
              <w:bottom w:val="single" w:sz="8" w:color="EDEDED"/>
            </w:tcBorders>
            <w:shd w:val="clear" w:color="auto" w:fill="EDEDED"/>
          </w:tcPr>
          <w:p>
            <w:pPr>
              <w:spacing w:after="0"/>
              <w:rPr>
                <w:sz w:val="20"/>
                <w:szCs w:val="20"/>
                <w:color w:val="auto"/>
              </w:rPr>
            </w:pPr>
          </w:p>
        </w:tc>
        <w:tc>
          <w:tcPr>
            <w:tcW w:w="360" w:type="dxa"/>
            <w:vAlign w:val="bottom"/>
            <w:tcBorders>
              <w:bottom w:val="single" w:sz="8" w:color="00162F"/>
            </w:tcBorders>
            <w:shd w:val="clear" w:color="auto" w:fill="EDEDED"/>
          </w:tcPr>
          <w:p>
            <w:pPr>
              <w:jc w:val="right"/>
              <w:ind w:right="136"/>
              <w:spacing w:after="0"/>
              <w:rPr>
                <w:sz w:val="20"/>
                <w:szCs w:val="20"/>
                <w:color w:val="auto"/>
              </w:rPr>
            </w:pPr>
            <w:r>
              <w:rPr>
                <w:rFonts w:ascii="Arial" w:cs="Arial" w:eastAsia="Arial" w:hAnsi="Arial"/>
                <w:sz w:val="17"/>
                <w:szCs w:val="17"/>
                <w:color w:val="00162F"/>
              </w:rPr>
              <w:t>$</w:t>
            </w:r>
          </w:p>
        </w:tc>
        <w:tc>
          <w:tcPr>
            <w:tcW w:w="8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670</w:t>
            </w:r>
          </w:p>
        </w:tc>
      </w:tr>
      <w:tr>
        <w:trPr>
          <w:trHeight w:val="133"/>
        </w:trPr>
        <w:tc>
          <w:tcPr>
            <w:tcW w:w="1960" w:type="dxa"/>
            <w:vAlign w:val="bottom"/>
            <w:tcBorders>
              <w:bottom w:val="single" w:sz="8" w:color="00162F"/>
            </w:tcBorders>
          </w:tcPr>
          <w:p>
            <w:pPr>
              <w:spacing w:after="0"/>
              <w:rPr>
                <w:sz w:val="11"/>
                <w:szCs w:val="11"/>
                <w:color w:val="auto"/>
              </w:rPr>
            </w:pPr>
          </w:p>
        </w:tc>
        <w:tc>
          <w:tcPr>
            <w:tcW w:w="4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-5719445</wp:posOffset>
            </wp:positionV>
            <wp:extent cx="249555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4">
                      <a:extLst>
                        <a:ext uri="{28A0092B-C50C-407E-A947-70E740481C1C}"/>
                      </a:extLst>
                    </a:blip>
                    <a:srcRect/>
                    <a:stretch>
                      <a:fillRect/>
                    </a:stretch>
                  </pic:blipFill>
                  <pic:spPr bwMode="auto">
                    <a:xfrm>
                      <a:off x="0" y="0"/>
                      <a:ext cx="2495550" cy="2540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-2843530</wp:posOffset>
            </wp:positionV>
            <wp:extent cx="169100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5">
                      <a:extLst>
                        <a:ext uri="{28A0092B-C50C-407E-A947-70E740481C1C}"/>
                      </a:extLst>
                    </a:blip>
                    <a:srcRect/>
                    <a:stretch>
                      <a:fillRect/>
                    </a:stretch>
                  </pic:blipFill>
                  <pic:spPr bwMode="auto">
                    <a:xfrm>
                      <a:off x="0" y="0"/>
                      <a:ext cx="1691005" cy="2540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-1637030</wp:posOffset>
            </wp:positionV>
            <wp:extent cx="169100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6">
                      <a:extLst>
                        <a:ext uri="{28A0092B-C50C-407E-A947-70E740481C1C}"/>
                      </a:extLst>
                    </a:blip>
                    <a:srcRect/>
                    <a:stretch>
                      <a:fillRect/>
                    </a:stretch>
                  </pic:blipFill>
                  <pic:spPr bwMode="auto">
                    <a:xfrm>
                      <a:off x="0" y="0"/>
                      <a:ext cx="1691005" cy="2540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-732155</wp:posOffset>
            </wp:positionV>
            <wp:extent cx="169100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7">
                      <a:extLst>
                        <a:ext uri="{28A0092B-C50C-407E-A947-70E740481C1C}"/>
                      </a:extLst>
                    </a:blip>
                    <a:srcRect/>
                    <a:stretch>
                      <a:fillRect/>
                    </a:stretch>
                  </pic:blipFill>
                  <pic:spPr bwMode="auto">
                    <a:xfrm>
                      <a:off x="0" y="0"/>
                      <a:ext cx="1691005" cy="2540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-581025</wp:posOffset>
            </wp:positionV>
            <wp:extent cx="169100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8">
                      <a:extLst>
                        <a:ext uri="{28A0092B-C50C-407E-A947-70E740481C1C}"/>
                      </a:extLst>
                    </a:blip>
                    <a:srcRect/>
                    <a:stretch>
                      <a:fillRect/>
                    </a:stretch>
                  </pic:blipFill>
                  <pic:spPr bwMode="auto">
                    <a:xfrm>
                      <a:off x="0" y="0"/>
                      <a:ext cx="1691005" cy="2540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-279400</wp:posOffset>
            </wp:positionV>
            <wp:extent cx="169100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9">
                      <a:extLst>
                        <a:ext uri="{28A0092B-C50C-407E-A947-70E740481C1C}"/>
                      </a:extLst>
                    </a:blip>
                    <a:srcRect/>
                    <a:stretch>
                      <a:fillRect/>
                    </a:stretch>
                  </pic:blipFill>
                  <pic:spPr bwMode="auto">
                    <a:xfrm>
                      <a:off x="0" y="0"/>
                      <a:ext cx="1691005" cy="2540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-140970</wp:posOffset>
            </wp:positionV>
            <wp:extent cx="2495550" cy="508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0">
                      <a:extLst>
                        <a:ext uri="{28A0092B-C50C-407E-A947-70E740481C1C}"/>
                      </a:extLst>
                    </a:blip>
                    <a:srcRect/>
                    <a:stretch>
                      <a:fillRect/>
                    </a:stretch>
                  </pic:blipFill>
                  <pic:spPr bwMode="auto">
                    <a:xfrm>
                      <a:off x="0" y="0"/>
                      <a:ext cx="2495550" cy="50800"/>
                    </a:xfrm>
                    <a:prstGeom prst="rect">
                      <a:avLst/>
                    </a:prstGeom>
                    <a:noFill/>
                  </pic:spPr>
                </pic:pic>
              </a:graphicData>
            </a:graphic>
          </wp:anchor>
        </w:drawing>
      </w:r>
    </w:p>
    <w:p>
      <w:pPr>
        <w:spacing w:after="0" w:line="25" w:lineRule="exact"/>
        <w:rPr>
          <w:sz w:val="20"/>
          <w:szCs w:val="20"/>
          <w:color w:val="auto"/>
        </w:rPr>
      </w:pPr>
    </w:p>
    <w:p>
      <w:pPr>
        <w:ind w:left="145" w:hanging="145"/>
        <w:spacing w:after="0"/>
        <w:tabs>
          <w:tab w:leader="none" w:pos="145" w:val="left"/>
        </w:tabs>
        <w:numPr>
          <w:ilvl w:val="0"/>
          <w:numId w:val="64"/>
        </w:numPr>
        <w:rPr>
          <w:rFonts w:ascii="Arial" w:cs="Arial" w:eastAsia="Arial" w:hAnsi="Arial"/>
          <w:sz w:val="10"/>
          <w:szCs w:val="10"/>
          <w:color w:val="00162F"/>
        </w:rPr>
      </w:pPr>
      <w:r>
        <w:rPr>
          <w:rFonts w:ascii="Arial" w:cs="Arial" w:eastAsia="Arial" w:hAnsi="Arial"/>
          <w:sz w:val="16"/>
          <w:szCs w:val="16"/>
          <w:color w:val="00162F"/>
        </w:rPr>
        <w:t>The following table provides a reconciliation of cash and restricted cash to amounts reported within the consolidated balance sheets:</w:t>
      </w:r>
    </w:p>
    <w:p>
      <w:pPr>
        <w:spacing w:after="0" w:line="149" w:lineRule="exact"/>
        <w:rPr>
          <w:sz w:val="20"/>
          <w:szCs w:val="20"/>
          <w:color w:val="auto"/>
        </w:rPr>
      </w:pPr>
    </w:p>
    <w:tbl>
      <w:tblPr>
        <w:tblLayout w:type="fixed"/>
        <w:tblInd w:w="5" w:type="dxa"/>
        <w:tblCellMar>
          <w:top w:w="0" w:type="dxa"/>
          <w:left w:w="0" w:type="dxa"/>
          <w:bottom w:w="0" w:type="dxa"/>
          <w:right w:w="0" w:type="dxa"/>
        </w:tblCellMar>
      </w:tblPr>
      <w:tr>
        <w:trPr>
          <w:trHeight w:val="238"/>
        </w:trPr>
        <w:tc>
          <w:tcPr>
            <w:tcW w:w="6780" w:type="dxa"/>
            <w:vAlign w:val="bottom"/>
            <w:shd w:val="clear" w:color="auto" w:fill="EDEDED"/>
          </w:tcPr>
          <w:p>
            <w:pPr>
              <w:ind w:left="60"/>
              <w:spacing w:after="0"/>
              <w:rPr>
                <w:sz w:val="20"/>
                <w:szCs w:val="20"/>
                <w:color w:val="auto"/>
              </w:rPr>
            </w:pPr>
            <w:r>
              <w:rPr>
                <w:rFonts w:ascii="Arial" w:cs="Arial" w:eastAsia="Arial" w:hAnsi="Arial"/>
                <w:sz w:val="17"/>
                <w:szCs w:val="17"/>
                <w:color w:val="00162F"/>
              </w:rPr>
              <w:t>Cash</w:t>
            </w:r>
          </w:p>
        </w:tc>
        <w:tc>
          <w:tcPr>
            <w:tcW w:w="460" w:type="dxa"/>
            <w:vAlign w:val="bottom"/>
            <w:shd w:val="clear" w:color="auto" w:fill="EDEDED"/>
          </w:tcPr>
          <w:p>
            <w:pPr>
              <w:jc w:val="right"/>
              <w:ind w:right="216"/>
              <w:spacing w:after="0"/>
              <w:rPr>
                <w:sz w:val="20"/>
                <w:szCs w:val="20"/>
                <w:color w:val="auto"/>
              </w:rPr>
            </w:pPr>
            <w:r>
              <w:rPr>
                <w:rFonts w:ascii="Arial" w:cs="Arial" w:eastAsia="Arial" w:hAnsi="Arial"/>
                <w:sz w:val="17"/>
                <w:szCs w:val="17"/>
                <w:color w:val="00162F"/>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936</w:t>
            </w:r>
          </w:p>
        </w:tc>
        <w:tc>
          <w:tcPr>
            <w:tcW w:w="580" w:type="dxa"/>
            <w:vAlign w:val="bottom"/>
            <w:gridSpan w:val="2"/>
            <w:shd w:val="clear" w:color="auto" w:fill="EDEDED"/>
          </w:tcPr>
          <w:p>
            <w:pPr>
              <w:jc w:val="right"/>
              <w:ind w:right="276"/>
              <w:spacing w:after="0"/>
              <w:rPr>
                <w:sz w:val="20"/>
                <w:szCs w:val="20"/>
                <w:color w:val="auto"/>
              </w:rPr>
            </w:pPr>
            <w:r>
              <w:rPr>
                <w:rFonts w:ascii="Arial" w:cs="Arial" w:eastAsia="Arial" w:hAnsi="Arial"/>
                <w:sz w:val="17"/>
                <w:szCs w:val="17"/>
                <w:color w:val="00162F"/>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795</w:t>
            </w:r>
          </w:p>
        </w:tc>
        <w:tc>
          <w:tcPr>
            <w:tcW w:w="600" w:type="dxa"/>
            <w:vAlign w:val="bottom"/>
            <w:gridSpan w:val="2"/>
            <w:shd w:val="clear" w:color="auto" w:fill="EDEDED"/>
          </w:tcPr>
          <w:p>
            <w:pPr>
              <w:jc w:val="right"/>
              <w:ind w:right="296"/>
              <w:spacing w:after="0"/>
              <w:rPr>
                <w:sz w:val="20"/>
                <w:szCs w:val="20"/>
                <w:color w:val="auto"/>
              </w:rPr>
            </w:pPr>
            <w:r>
              <w:rPr>
                <w:rFonts w:ascii="Arial" w:cs="Arial" w:eastAsia="Arial" w:hAnsi="Arial"/>
                <w:sz w:val="17"/>
                <w:szCs w:val="17"/>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17"/>
                <w:szCs w:val="17"/>
                <w:color w:val="00162F"/>
              </w:rPr>
              <w:t>567</w:t>
            </w:r>
          </w:p>
        </w:tc>
      </w:tr>
      <w:tr>
        <w:trPr>
          <w:trHeight w:val="228"/>
        </w:trPr>
        <w:tc>
          <w:tcPr>
            <w:tcW w:w="6780" w:type="dxa"/>
            <w:vAlign w:val="bottom"/>
            <w:tcBorders>
              <w:bottom w:val="single" w:sz="8" w:color="EDEDED"/>
            </w:tcBorders>
          </w:tcPr>
          <w:p>
            <w:pPr>
              <w:ind w:left="60"/>
              <w:spacing w:after="0"/>
              <w:rPr>
                <w:sz w:val="20"/>
                <w:szCs w:val="20"/>
                <w:color w:val="auto"/>
              </w:rPr>
            </w:pPr>
            <w:r>
              <w:rPr>
                <w:rFonts w:ascii="Arial" w:cs="Arial" w:eastAsia="Arial" w:hAnsi="Arial"/>
                <w:sz w:val="17"/>
                <w:szCs w:val="17"/>
                <w:color w:val="00162F"/>
              </w:rPr>
              <w:t>Restricted cash included in restricted cash and short-term investments</w:t>
            </w:r>
          </w:p>
        </w:tc>
        <w:tc>
          <w:tcPr>
            <w:tcW w:w="460" w:type="dxa"/>
            <w:vAlign w:val="bottom"/>
            <w:tcBorders>
              <w:bottom w:val="single" w:sz="8" w:color="00162F"/>
            </w:tcBorders>
          </w:tcPr>
          <w:p>
            <w:pPr>
              <w:spacing w:after="0"/>
              <w:rPr>
                <w:sz w:val="19"/>
                <w:szCs w:val="19"/>
                <w:color w:val="auto"/>
              </w:rPr>
            </w:pPr>
          </w:p>
        </w:tc>
        <w:tc>
          <w:tcPr>
            <w:tcW w:w="800" w:type="dxa"/>
            <w:vAlign w:val="bottom"/>
            <w:tcBorders>
              <w:bottom w:val="single" w:sz="8" w:color="00162F"/>
            </w:tcBorders>
          </w:tcPr>
          <w:p>
            <w:pPr>
              <w:jc w:val="right"/>
              <w:spacing w:after="0"/>
              <w:rPr>
                <w:sz w:val="20"/>
                <w:szCs w:val="20"/>
                <w:color w:val="auto"/>
              </w:rPr>
            </w:pPr>
            <w:r>
              <w:rPr>
                <w:rFonts w:ascii="Arial" w:cs="Arial" w:eastAsia="Arial" w:hAnsi="Arial"/>
                <w:sz w:val="17"/>
                <w:szCs w:val="17"/>
                <w:color w:val="00162F"/>
              </w:rPr>
              <w:t>102</w:t>
            </w:r>
          </w:p>
        </w:tc>
        <w:tc>
          <w:tcPr>
            <w:tcW w:w="60" w:type="dxa"/>
            <w:vAlign w:val="bottom"/>
            <w:tcBorders>
              <w:bottom w:val="single" w:sz="8" w:color="EDEDED"/>
            </w:tcBorders>
          </w:tcPr>
          <w:p>
            <w:pPr>
              <w:spacing w:after="0"/>
              <w:rPr>
                <w:sz w:val="19"/>
                <w:szCs w:val="19"/>
                <w:color w:val="auto"/>
              </w:rPr>
            </w:pPr>
          </w:p>
        </w:tc>
        <w:tc>
          <w:tcPr>
            <w:tcW w:w="520" w:type="dxa"/>
            <w:vAlign w:val="bottom"/>
            <w:tcBorders>
              <w:bottom w:val="single" w:sz="8" w:color="00162F"/>
            </w:tcBorders>
          </w:tcPr>
          <w:p>
            <w:pPr>
              <w:spacing w:after="0"/>
              <w:rPr>
                <w:sz w:val="19"/>
                <w:szCs w:val="19"/>
                <w:color w:val="auto"/>
              </w:rPr>
            </w:pPr>
          </w:p>
        </w:tc>
        <w:tc>
          <w:tcPr>
            <w:tcW w:w="740" w:type="dxa"/>
            <w:vAlign w:val="bottom"/>
            <w:tcBorders>
              <w:bottom w:val="single" w:sz="8" w:color="00162F"/>
            </w:tcBorders>
          </w:tcPr>
          <w:p>
            <w:pPr>
              <w:jc w:val="right"/>
              <w:spacing w:after="0"/>
              <w:rPr>
                <w:sz w:val="20"/>
                <w:szCs w:val="20"/>
                <w:color w:val="auto"/>
              </w:rPr>
            </w:pPr>
            <w:r>
              <w:rPr>
                <w:rFonts w:ascii="Arial" w:cs="Arial" w:eastAsia="Arial" w:hAnsi="Arial"/>
                <w:sz w:val="17"/>
                <w:szCs w:val="17"/>
                <w:color w:val="00162F"/>
              </w:rPr>
              <w:t>98</w:t>
            </w:r>
          </w:p>
        </w:tc>
        <w:tc>
          <w:tcPr>
            <w:tcW w:w="80" w:type="dxa"/>
            <w:vAlign w:val="bottom"/>
            <w:tcBorders>
              <w:bottom w:val="single" w:sz="8" w:color="EDEDED"/>
            </w:tcBorders>
          </w:tcPr>
          <w:p>
            <w:pPr>
              <w:spacing w:after="0"/>
              <w:rPr>
                <w:sz w:val="19"/>
                <w:szCs w:val="19"/>
                <w:color w:val="auto"/>
              </w:rPr>
            </w:pPr>
          </w:p>
        </w:tc>
        <w:tc>
          <w:tcPr>
            <w:tcW w:w="520" w:type="dxa"/>
            <w:vAlign w:val="bottom"/>
            <w:tcBorders>
              <w:bottom w:val="single" w:sz="8" w:color="00162F"/>
            </w:tcBorders>
          </w:tcPr>
          <w:p>
            <w:pPr>
              <w:spacing w:after="0"/>
              <w:rPr>
                <w:sz w:val="19"/>
                <w:szCs w:val="19"/>
                <w:color w:val="auto"/>
              </w:rPr>
            </w:pPr>
          </w:p>
        </w:tc>
        <w:tc>
          <w:tcPr>
            <w:tcW w:w="720" w:type="dxa"/>
            <w:vAlign w:val="bottom"/>
            <w:tcBorders>
              <w:bottom w:val="single" w:sz="8" w:color="00162F"/>
            </w:tcBorders>
          </w:tcPr>
          <w:p>
            <w:pPr>
              <w:jc w:val="right"/>
              <w:spacing w:after="0"/>
              <w:rPr>
                <w:sz w:val="20"/>
                <w:szCs w:val="20"/>
                <w:color w:val="auto"/>
              </w:rPr>
            </w:pPr>
            <w:r>
              <w:rPr>
                <w:rFonts w:ascii="Arial" w:cs="Arial" w:eastAsia="Arial" w:hAnsi="Arial"/>
                <w:sz w:val="17"/>
                <w:szCs w:val="17"/>
                <w:color w:val="00162F"/>
              </w:rPr>
              <w:t>103</w:t>
            </w:r>
          </w:p>
        </w:tc>
      </w:tr>
      <w:tr>
        <w:trPr>
          <w:trHeight w:val="237"/>
        </w:trPr>
        <w:tc>
          <w:tcPr>
            <w:tcW w:w="6780" w:type="dxa"/>
            <w:vAlign w:val="bottom"/>
            <w:tcBorders>
              <w:bottom w:val="single" w:sz="8" w:color="EDEDED"/>
            </w:tcBorders>
            <w:shd w:val="clear" w:color="auto" w:fill="EDEDED"/>
          </w:tcPr>
          <w:p>
            <w:pPr>
              <w:ind w:left="280"/>
              <w:spacing w:after="0"/>
              <w:rPr>
                <w:sz w:val="20"/>
                <w:szCs w:val="20"/>
                <w:color w:val="auto"/>
              </w:rPr>
            </w:pPr>
            <w:r>
              <w:rPr>
                <w:rFonts w:ascii="Arial" w:cs="Arial" w:eastAsia="Arial" w:hAnsi="Arial"/>
                <w:sz w:val="17"/>
                <w:szCs w:val="17"/>
                <w:color w:val="00162F"/>
              </w:rPr>
              <w:t>Total cash and restricted cash</w:t>
            </w:r>
          </w:p>
        </w:tc>
        <w:tc>
          <w:tcPr>
            <w:tcW w:w="460" w:type="dxa"/>
            <w:vAlign w:val="bottom"/>
            <w:tcBorders>
              <w:bottom w:val="single" w:sz="8" w:color="00162F"/>
            </w:tcBorders>
            <w:shd w:val="clear" w:color="auto" w:fill="EDEDED"/>
          </w:tcPr>
          <w:p>
            <w:pPr>
              <w:jc w:val="right"/>
              <w:ind w:right="216"/>
              <w:spacing w:after="0"/>
              <w:rPr>
                <w:sz w:val="20"/>
                <w:szCs w:val="20"/>
                <w:color w:val="auto"/>
              </w:rPr>
            </w:pPr>
            <w:r>
              <w:rPr>
                <w:rFonts w:ascii="Arial" w:cs="Arial" w:eastAsia="Arial" w:hAnsi="Arial"/>
                <w:sz w:val="17"/>
                <w:szCs w:val="17"/>
                <w:color w:val="00162F"/>
              </w:rPr>
              <w:t>$</w:t>
            </w:r>
          </w:p>
        </w:tc>
        <w:tc>
          <w:tcPr>
            <w:tcW w:w="8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1,038</w:t>
            </w:r>
          </w:p>
        </w:tc>
        <w:tc>
          <w:tcPr>
            <w:tcW w:w="60" w:type="dxa"/>
            <w:vAlign w:val="bottom"/>
            <w:tcBorders>
              <w:bottom w:val="single" w:sz="8" w:color="EDEDED"/>
            </w:tcBorders>
            <w:shd w:val="clear" w:color="auto" w:fill="EDEDED"/>
          </w:tcPr>
          <w:p>
            <w:pPr>
              <w:spacing w:after="0"/>
              <w:rPr>
                <w:sz w:val="20"/>
                <w:szCs w:val="20"/>
                <w:color w:val="auto"/>
              </w:rPr>
            </w:pPr>
          </w:p>
        </w:tc>
        <w:tc>
          <w:tcPr>
            <w:tcW w:w="520" w:type="dxa"/>
            <w:vAlign w:val="bottom"/>
            <w:tcBorders>
              <w:bottom w:val="single" w:sz="8" w:color="00162F"/>
            </w:tcBorders>
            <w:shd w:val="clear" w:color="auto" w:fill="EDEDED"/>
          </w:tcPr>
          <w:p>
            <w:pPr>
              <w:jc w:val="right"/>
              <w:ind w:right="276"/>
              <w:spacing w:after="0"/>
              <w:rPr>
                <w:sz w:val="20"/>
                <w:szCs w:val="20"/>
                <w:color w:val="auto"/>
              </w:rPr>
            </w:pPr>
            <w:r>
              <w:rPr>
                <w:rFonts w:ascii="Arial" w:cs="Arial" w:eastAsia="Arial" w:hAnsi="Arial"/>
                <w:sz w:val="17"/>
                <w:szCs w:val="17"/>
                <w:color w:val="00162F"/>
              </w:rPr>
              <w:t>$</w:t>
            </w:r>
          </w:p>
        </w:tc>
        <w:tc>
          <w:tcPr>
            <w:tcW w:w="7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893</w:t>
            </w:r>
          </w:p>
        </w:tc>
        <w:tc>
          <w:tcPr>
            <w:tcW w:w="80" w:type="dxa"/>
            <w:vAlign w:val="bottom"/>
            <w:tcBorders>
              <w:bottom w:val="single" w:sz="8" w:color="EDEDED"/>
            </w:tcBorders>
            <w:shd w:val="clear" w:color="auto" w:fill="EDEDED"/>
          </w:tcPr>
          <w:p>
            <w:pPr>
              <w:spacing w:after="0"/>
              <w:rPr>
                <w:sz w:val="20"/>
                <w:szCs w:val="20"/>
                <w:color w:val="auto"/>
              </w:rPr>
            </w:pPr>
          </w:p>
        </w:tc>
        <w:tc>
          <w:tcPr>
            <w:tcW w:w="520" w:type="dxa"/>
            <w:vAlign w:val="bottom"/>
            <w:tcBorders>
              <w:bottom w:val="single" w:sz="8" w:color="00162F"/>
            </w:tcBorders>
            <w:shd w:val="clear" w:color="auto" w:fill="EDEDED"/>
          </w:tcPr>
          <w:p>
            <w:pPr>
              <w:jc w:val="right"/>
              <w:ind w:right="296"/>
              <w:spacing w:after="0"/>
              <w:rPr>
                <w:sz w:val="20"/>
                <w:szCs w:val="20"/>
                <w:color w:val="auto"/>
              </w:rPr>
            </w:pPr>
            <w:r>
              <w:rPr>
                <w:rFonts w:ascii="Arial" w:cs="Arial" w:eastAsia="Arial" w:hAnsi="Arial"/>
                <w:sz w:val="17"/>
                <w:szCs w:val="17"/>
                <w:color w:val="00162F"/>
              </w:rPr>
              <w:t>$</w:t>
            </w:r>
          </w:p>
        </w:tc>
        <w:tc>
          <w:tcPr>
            <w:tcW w:w="7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17"/>
                <w:szCs w:val="17"/>
                <w:color w:val="00162F"/>
              </w:rPr>
              <w:t>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-181610</wp:posOffset>
            </wp:positionV>
            <wp:extent cx="169100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1">
                      <a:extLst>
                        <a:ext uri="{28A0092B-C50C-407E-A947-70E740481C1C}"/>
                      </a:extLst>
                    </a:blip>
                    <a:srcRect/>
                    <a:stretch>
                      <a:fillRect/>
                    </a:stretch>
                  </pic:blipFill>
                  <pic:spPr bwMode="auto">
                    <a:xfrm>
                      <a:off x="0" y="0"/>
                      <a:ext cx="1691005" cy="2540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-43815</wp:posOffset>
            </wp:positionV>
            <wp:extent cx="2495550" cy="508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2">
                      <a:extLst>
                        <a:ext uri="{28A0092B-C50C-407E-A947-70E740481C1C}"/>
                      </a:extLst>
                    </a:blip>
                    <a:srcRect/>
                    <a:stretch>
                      <a:fillRect/>
                    </a:stretch>
                  </pic:blipFill>
                  <pic:spPr bwMode="auto">
                    <a:xfrm>
                      <a:off x="0" y="0"/>
                      <a:ext cx="2495550" cy="50800"/>
                    </a:xfrm>
                    <a:prstGeom prst="rect">
                      <a:avLst/>
                    </a:prstGeom>
                    <a:noFill/>
                  </pic:spPr>
                </pic:pic>
              </a:graphicData>
            </a:graphic>
          </wp:anchor>
        </w:drawing>
      </w:r>
    </w:p>
    <w:p>
      <w:pPr>
        <w:spacing w:after="0" w:line="192"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00162F"/>
        </w:rPr>
        <w:t>See accompanying notes to consolidated financial statements.</w:t>
      </w:r>
    </w:p>
    <w:p>
      <w:pPr>
        <w:sectPr>
          <w:pgSz w:w="11880" w:h="15480" w:orient="portrait"/>
          <w:cols w:equalWidth="0" w:num="1">
            <w:col w:w="10685"/>
          </w:cols>
          <w:pgMar w:left="595"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131</w:t>
      </w:r>
    </w:p>
    <w:p>
      <w:pPr>
        <w:sectPr>
          <w:pgSz w:w="11880" w:h="15480" w:orient="portrait"/>
          <w:cols w:equalWidth="0" w:num="1">
            <w:col w:w="10685"/>
          </w:cols>
          <w:pgMar w:left="595" w:top="992" w:right="600" w:bottom="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20"/>
          <w:szCs w:val="20"/>
          <w:b w:val="1"/>
          <w:bCs w:val="1"/>
          <w:color w:val="00162F"/>
        </w:rPr>
        <w:t>AMERICAN AIRLINES,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162F"/>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162F"/>
        </w:rPr>
        <w:t>(In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84"/>
              <w:spacing w:after="0"/>
              <w:rPr>
                <w:sz w:val="20"/>
                <w:szCs w:val="20"/>
                <w:color w:val="auto"/>
              </w:rPr>
            </w:pPr>
            <w:r>
              <w:rPr>
                <w:rFonts w:ascii="Arial" w:cs="Arial" w:eastAsia="Arial" w:hAnsi="Arial"/>
                <w:sz w:val="16"/>
                <w:szCs w:val="16"/>
                <w:b w:val="1"/>
                <w:bCs w:val="1"/>
                <w:color w:val="00162F"/>
                <w:w w:val="97"/>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64"/>
              <w:spacing w:after="0"/>
              <w:rPr>
                <w:sz w:val="20"/>
                <w:szCs w:val="20"/>
                <w:color w:val="auto"/>
              </w:rPr>
            </w:pPr>
            <w:r>
              <w:rPr>
                <w:rFonts w:ascii="Arial" w:cs="Arial" w:eastAsia="Arial" w:hAnsi="Arial"/>
                <w:sz w:val="16"/>
                <w:szCs w:val="16"/>
                <w:b w:val="1"/>
                <w:bCs w:val="1"/>
                <w:color w:val="00162F"/>
                <w:w w:val="99"/>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ind w:left="40"/>
              <w:spacing w:after="0"/>
              <w:rPr>
                <w:sz w:val="20"/>
                <w:szCs w:val="20"/>
                <w:color w:val="auto"/>
              </w:rPr>
            </w:pPr>
            <w:r>
              <w:rPr>
                <w:rFonts w:ascii="Arial" w:cs="Arial" w:eastAsia="Arial" w:hAnsi="Arial"/>
                <w:sz w:val="16"/>
                <w:szCs w:val="16"/>
                <w:b w:val="1"/>
                <w:bCs w:val="1"/>
                <w:color w:val="00162F"/>
              </w:rPr>
              <w:t>Common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64"/>
              <w:spacing w:after="0" w:line="158" w:lineRule="exact"/>
              <w:rPr>
                <w:sz w:val="20"/>
                <w:szCs w:val="20"/>
                <w:color w:val="auto"/>
              </w:rPr>
            </w:pPr>
            <w:r>
              <w:rPr>
                <w:rFonts w:ascii="Arial" w:cs="Arial" w:eastAsia="Arial" w:hAnsi="Arial"/>
                <w:sz w:val="16"/>
                <w:szCs w:val="16"/>
                <w:b w:val="1"/>
                <w:bCs w:val="1"/>
                <w:color w:val="00162F"/>
              </w:rPr>
              <w:t>Other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123"/>
              <w:spacing w:after="0"/>
              <w:rPr>
                <w:sz w:val="20"/>
                <w:szCs w:val="20"/>
                <w:color w:val="auto"/>
              </w:rPr>
            </w:pPr>
            <w:r>
              <w:rPr>
                <w:rFonts w:ascii="Arial" w:cs="Arial" w:eastAsia="Arial" w:hAnsi="Arial"/>
                <w:sz w:val="16"/>
                <w:szCs w:val="16"/>
                <w:b w:val="1"/>
                <w:bCs w:val="1"/>
                <w:color w:val="00162F"/>
              </w:rPr>
              <w:t>Retained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04"/>
              <w:spacing w:after="0" w:line="158" w:lineRule="exact"/>
              <w:rPr>
                <w:sz w:val="20"/>
                <w:szCs w:val="20"/>
                <w:color w:val="auto"/>
              </w:rPr>
            </w:pPr>
            <w:r>
              <w:rPr>
                <w:rFonts w:ascii="Arial" w:cs="Arial" w:eastAsia="Arial" w:hAnsi="Arial"/>
                <w:sz w:val="16"/>
                <w:szCs w:val="16"/>
                <w:b w:val="1"/>
                <w:bCs w:val="1"/>
                <w:color w:val="00162F"/>
              </w:rPr>
              <w:t>Paid-in</w:t>
            </w:r>
          </w:p>
        </w:tc>
        <w:tc>
          <w:tcPr>
            <w:tcW w:w="80" w:type="dxa"/>
            <w:vAlign w:val="bottom"/>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00162F"/>
                <w:w w:val="99"/>
              </w:rPr>
              <w:t>Comprehensive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00162F"/>
              </w:rPr>
              <w:t>Total</w:t>
            </w:r>
          </w:p>
        </w:tc>
        <w:tc>
          <w:tcPr>
            <w:tcW w:w="0" w:type="dxa"/>
            <w:vAlign w:val="bottom"/>
          </w:tcPr>
          <w:p>
            <w:pPr>
              <w:spacing w:after="0"/>
              <w:rPr>
                <w:sz w:val="1"/>
                <w:szCs w:val="1"/>
                <w:color w:val="auto"/>
              </w:rPr>
            </w:pPr>
          </w:p>
        </w:tc>
      </w:tr>
      <w:tr>
        <w:trPr>
          <w:trHeight w:val="211"/>
        </w:trPr>
        <w:tc>
          <w:tcPr>
            <w:tcW w:w="4560" w:type="dxa"/>
            <w:vAlign w:val="bottom"/>
            <w:tcBorders>
              <w:bottom w:val="single" w:sz="8" w:color="EDEDED"/>
            </w:tcBorders>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940" w:type="dxa"/>
            <w:vAlign w:val="bottom"/>
            <w:tcBorders>
              <w:bottom w:val="single" w:sz="8" w:color="00162F"/>
            </w:tcBorders>
          </w:tcPr>
          <w:p>
            <w:pPr>
              <w:ind w:left="160"/>
              <w:spacing w:after="0"/>
              <w:rPr>
                <w:sz w:val="20"/>
                <w:szCs w:val="20"/>
                <w:color w:val="auto"/>
              </w:rPr>
            </w:pPr>
            <w:r>
              <w:rPr>
                <w:rFonts w:ascii="Arial" w:cs="Arial" w:eastAsia="Arial" w:hAnsi="Arial"/>
                <w:sz w:val="16"/>
                <w:szCs w:val="16"/>
                <w:b w:val="1"/>
                <w:bCs w:val="1"/>
                <w:color w:val="00162F"/>
              </w:rPr>
              <w:t>Stock</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960" w:type="dxa"/>
            <w:vAlign w:val="bottom"/>
            <w:tcBorders>
              <w:bottom w:val="single" w:sz="8" w:color="00162F"/>
            </w:tcBorders>
          </w:tcPr>
          <w:p>
            <w:pPr>
              <w:jc w:val="right"/>
              <w:ind w:right="204"/>
              <w:spacing w:after="0"/>
              <w:rPr>
                <w:sz w:val="20"/>
                <w:szCs w:val="20"/>
                <w:color w:val="auto"/>
              </w:rPr>
            </w:pPr>
            <w:r>
              <w:rPr>
                <w:rFonts w:ascii="Arial" w:cs="Arial" w:eastAsia="Arial" w:hAnsi="Arial"/>
                <w:sz w:val="16"/>
                <w:szCs w:val="16"/>
                <w:b w:val="1"/>
                <w:bCs w:val="1"/>
                <w:color w:val="00162F"/>
              </w:rPr>
              <w:t>Capital</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160" w:type="dxa"/>
            <w:vAlign w:val="bottom"/>
            <w:tcBorders>
              <w:bottom w:val="single" w:sz="8" w:color="00162F"/>
            </w:tcBorders>
          </w:tcPr>
          <w:p>
            <w:pPr>
              <w:jc w:val="center"/>
              <w:ind w:right="64"/>
              <w:spacing w:after="0"/>
              <w:rPr>
                <w:sz w:val="20"/>
                <w:szCs w:val="20"/>
                <w:color w:val="auto"/>
              </w:rPr>
            </w:pPr>
            <w:r>
              <w:rPr>
                <w:rFonts w:ascii="Arial" w:cs="Arial" w:eastAsia="Arial" w:hAnsi="Arial"/>
                <w:sz w:val="16"/>
                <w:szCs w:val="16"/>
                <w:b w:val="1"/>
                <w:bCs w:val="1"/>
                <w:color w:val="00162F"/>
                <w:w w:val="96"/>
              </w:rPr>
              <w:t>Loss</w:t>
            </w:r>
          </w:p>
        </w:tc>
        <w:tc>
          <w:tcPr>
            <w:tcW w:w="80" w:type="dxa"/>
            <w:vAlign w:val="bottom"/>
            <w:tcBorders>
              <w:bottom w:val="single" w:sz="8" w:color="EDEDED"/>
            </w:tcBorders>
          </w:tcPr>
          <w:p>
            <w:pPr>
              <w:spacing w:after="0"/>
              <w:rPr>
                <w:sz w:val="18"/>
                <w:szCs w:val="18"/>
                <w:color w:val="auto"/>
              </w:rPr>
            </w:pPr>
          </w:p>
        </w:tc>
        <w:tc>
          <w:tcPr>
            <w:tcW w:w="200" w:type="dxa"/>
            <w:vAlign w:val="bottom"/>
            <w:tcBorders>
              <w:bottom w:val="single" w:sz="8" w:color="00162F"/>
            </w:tcBorders>
          </w:tcPr>
          <w:p>
            <w:pPr>
              <w:spacing w:after="0"/>
              <w:rPr>
                <w:sz w:val="18"/>
                <w:szCs w:val="18"/>
                <w:color w:val="auto"/>
              </w:rPr>
            </w:pPr>
          </w:p>
        </w:tc>
        <w:tc>
          <w:tcPr>
            <w:tcW w:w="920" w:type="dxa"/>
            <w:vAlign w:val="bottom"/>
            <w:tcBorders>
              <w:bottom w:val="single" w:sz="8" w:color="00162F"/>
            </w:tcBorders>
          </w:tcPr>
          <w:p>
            <w:pPr>
              <w:jc w:val="right"/>
              <w:ind w:right="223"/>
              <w:spacing w:after="0"/>
              <w:rPr>
                <w:sz w:val="20"/>
                <w:szCs w:val="20"/>
                <w:color w:val="auto"/>
              </w:rPr>
            </w:pPr>
            <w:r>
              <w:rPr>
                <w:rFonts w:ascii="Arial" w:cs="Arial" w:eastAsia="Arial" w:hAnsi="Arial"/>
                <w:sz w:val="16"/>
                <w:szCs w:val="16"/>
                <w:b w:val="1"/>
                <w:bCs w:val="1"/>
                <w:color w:val="00162F"/>
              </w:rPr>
              <w:t>Deficit</w:t>
            </w:r>
          </w:p>
        </w:tc>
        <w:tc>
          <w:tcPr>
            <w:tcW w:w="80" w:type="dxa"/>
            <w:vAlign w:val="bottom"/>
            <w:tcBorders>
              <w:bottom w:val="single" w:sz="8" w:color="EDEDED"/>
            </w:tcBorders>
          </w:tcPr>
          <w:p>
            <w:pPr>
              <w:spacing w:after="0"/>
              <w:rPr>
                <w:sz w:val="18"/>
                <w:szCs w:val="18"/>
                <w:color w:val="auto"/>
              </w:rPr>
            </w:pPr>
          </w:p>
        </w:tc>
        <w:tc>
          <w:tcPr>
            <w:tcW w:w="260" w:type="dxa"/>
            <w:vAlign w:val="bottom"/>
            <w:tcBorders>
              <w:bottom w:val="single" w:sz="8" w:color="00162F"/>
            </w:tcBorders>
          </w:tcPr>
          <w:p>
            <w:pPr>
              <w:spacing w:after="0"/>
              <w:rPr>
                <w:sz w:val="18"/>
                <w:szCs w:val="18"/>
                <w:color w:val="auto"/>
              </w:rPr>
            </w:pPr>
          </w:p>
        </w:tc>
        <w:tc>
          <w:tcPr>
            <w:tcW w:w="860" w:type="dxa"/>
            <w:vAlign w:val="bottom"/>
            <w:tcBorders>
              <w:bottom w:val="single" w:sz="8" w:color="00162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Balance at December 31, 2022</w:t>
            </w:r>
          </w:p>
        </w:tc>
        <w:tc>
          <w:tcPr>
            <w:tcW w:w="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940" w:type="dxa"/>
            <w:vAlign w:val="bottom"/>
            <w:shd w:val="clear" w:color="auto" w:fill="EDEDED"/>
          </w:tcPr>
          <w:p>
            <w:pPr>
              <w:ind w:left="660"/>
              <w:spacing w:after="0"/>
              <w:rPr>
                <w:sz w:val="20"/>
                <w:szCs w:val="20"/>
                <w:color w:val="auto"/>
              </w:rPr>
            </w:pPr>
            <w:r>
              <w:rPr>
                <w:rFonts w:ascii="Arial" w:cs="Arial" w:eastAsia="Arial" w:hAnsi="Arial"/>
                <w:sz w:val="20"/>
                <w:szCs w:val="20"/>
                <w:color w:val="00162F"/>
              </w:rPr>
              <w:t>—</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9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17,230</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(4,690)</w:t>
            </w:r>
          </w:p>
        </w:tc>
        <w:tc>
          <w:tcPr>
            <w:tcW w:w="28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9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(6,947)</w:t>
            </w:r>
          </w:p>
        </w:tc>
        <w:tc>
          <w:tcPr>
            <w:tcW w:w="34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5,593</w:t>
            </w:r>
          </w:p>
        </w:tc>
        <w:tc>
          <w:tcPr>
            <w:tcW w:w="0" w:type="dxa"/>
            <w:vAlign w:val="bottom"/>
          </w:tcPr>
          <w:p>
            <w:pPr>
              <w:spacing w:after="0"/>
              <w:rPr>
                <w:sz w:val="1"/>
                <w:szCs w:val="1"/>
                <w:color w:val="auto"/>
              </w:rPr>
            </w:pPr>
          </w:p>
        </w:tc>
      </w:tr>
      <w:tr>
        <w:trPr>
          <w:trHeight w:val="293"/>
        </w:trPr>
        <w:tc>
          <w:tcPr>
            <w:tcW w:w="4560" w:type="dxa"/>
            <w:vAlign w:val="bottom"/>
          </w:tcPr>
          <w:p>
            <w:pPr>
              <w:ind w:left="40"/>
              <w:spacing w:after="0"/>
              <w:rPr>
                <w:sz w:val="20"/>
                <w:szCs w:val="20"/>
                <w:color w:val="auto"/>
              </w:rPr>
            </w:pPr>
            <w:r>
              <w:rPr>
                <w:rFonts w:ascii="Arial" w:cs="Arial" w:eastAsia="Arial" w:hAnsi="Arial"/>
                <w:sz w:val="20"/>
                <w:szCs w:val="20"/>
                <w:color w:val="00162F"/>
              </w:rPr>
              <w:t>Net income</w:t>
            </w:r>
          </w:p>
        </w:tc>
        <w:tc>
          <w:tcPr>
            <w:tcW w:w="180" w:type="dxa"/>
            <w:vAlign w:val="bottom"/>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1,188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1,188</w:t>
            </w:r>
          </w:p>
        </w:tc>
        <w:tc>
          <w:tcPr>
            <w:tcW w:w="0" w:type="dxa"/>
            <w:vAlign w:val="bottom"/>
          </w:tcPr>
          <w:p>
            <w:pPr>
              <w:spacing w:after="0"/>
              <w:rPr>
                <w:sz w:val="1"/>
                <w:szCs w:val="1"/>
                <w:color w:val="auto"/>
              </w:rPr>
            </w:pPr>
          </w:p>
        </w:tc>
      </w:tr>
      <w:tr>
        <w:trPr>
          <w:trHeight w:val="301"/>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Other comprehensive loss, net</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ind w:left="660"/>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(309)</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(309)</w:t>
            </w:r>
          </w:p>
        </w:tc>
        <w:tc>
          <w:tcPr>
            <w:tcW w:w="0" w:type="dxa"/>
            <w:vAlign w:val="bottom"/>
          </w:tcPr>
          <w:p>
            <w:pPr>
              <w:spacing w:after="0"/>
              <w:rPr>
                <w:sz w:val="1"/>
                <w:szCs w:val="1"/>
                <w:color w:val="auto"/>
              </w:rPr>
            </w:pPr>
          </w:p>
        </w:tc>
      </w:tr>
      <w:tr>
        <w:trPr>
          <w:trHeight w:val="293"/>
        </w:trPr>
        <w:tc>
          <w:tcPr>
            <w:tcW w:w="4560" w:type="dxa"/>
            <w:vAlign w:val="bottom"/>
          </w:tcPr>
          <w:p>
            <w:pPr>
              <w:ind w:left="40"/>
              <w:spacing w:after="0"/>
              <w:rPr>
                <w:sz w:val="20"/>
                <w:szCs w:val="20"/>
                <w:color w:val="auto"/>
              </w:rPr>
            </w:pPr>
            <w:r>
              <w:rPr>
                <w:rFonts w:ascii="Arial" w:cs="Arial" w:eastAsia="Arial" w:hAnsi="Arial"/>
                <w:sz w:val="20"/>
                <w:szCs w:val="20"/>
                <w:color w:val="00162F"/>
              </w:rPr>
              <w:t>Share-based compensation expense</w:t>
            </w:r>
          </w:p>
        </w:tc>
        <w:tc>
          <w:tcPr>
            <w:tcW w:w="180" w:type="dxa"/>
            <w:vAlign w:val="bottom"/>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00162F"/>
              </w:rPr>
              <w:t>97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97</w:t>
            </w:r>
          </w:p>
        </w:tc>
        <w:tc>
          <w:tcPr>
            <w:tcW w:w="0" w:type="dxa"/>
            <w:vAlign w:val="bottom"/>
          </w:tcPr>
          <w:p>
            <w:pPr>
              <w:spacing w:after="0"/>
              <w:rPr>
                <w:sz w:val="1"/>
                <w:szCs w:val="1"/>
                <w:color w:val="auto"/>
              </w:rPr>
            </w:pPr>
          </w:p>
        </w:tc>
      </w:tr>
      <w:tr>
        <w:trPr>
          <w:trHeight w:val="296"/>
        </w:trPr>
        <w:tc>
          <w:tcPr>
            <w:tcW w:w="45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Intercompany equity transfer</w:t>
            </w:r>
          </w:p>
        </w:tc>
        <w:tc>
          <w:tcPr>
            <w:tcW w:w="180" w:type="dxa"/>
            <w:vAlign w:val="bottom"/>
            <w:tcBorders>
              <w:bottom w:val="single" w:sz="8" w:color="00162F"/>
            </w:tcBorders>
            <w:shd w:val="clear" w:color="auto" w:fill="EDEDED"/>
          </w:tcPr>
          <w:p>
            <w:pPr>
              <w:spacing w:after="0"/>
              <w:rPr>
                <w:sz w:val="24"/>
                <w:szCs w:val="24"/>
                <w:color w:val="auto"/>
              </w:rPr>
            </w:pPr>
          </w:p>
        </w:tc>
        <w:tc>
          <w:tcPr>
            <w:tcW w:w="940" w:type="dxa"/>
            <w:vAlign w:val="bottom"/>
            <w:tcBorders>
              <w:bottom w:val="single" w:sz="8" w:color="00162F"/>
            </w:tcBorders>
            <w:shd w:val="clear" w:color="auto" w:fill="EDEDED"/>
          </w:tcPr>
          <w:p>
            <w:pPr>
              <w:ind w:left="660"/>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spacing w:after="0"/>
              <w:rPr>
                <w:sz w:val="24"/>
                <w:szCs w:val="24"/>
                <w:color w:val="auto"/>
              </w:rPr>
            </w:pPr>
          </w:p>
        </w:tc>
        <w:tc>
          <w:tcPr>
            <w:tcW w:w="9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spacing w:after="0"/>
              <w:rPr>
                <w:sz w:val="24"/>
                <w:szCs w:val="24"/>
                <w:color w:val="auto"/>
              </w:rPr>
            </w:pPr>
          </w:p>
        </w:tc>
        <w:tc>
          <w:tcPr>
            <w:tcW w:w="1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9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spacing w:after="0"/>
              <w:rPr>
                <w:sz w:val="24"/>
                <w:szCs w:val="24"/>
                <w:color w:val="auto"/>
              </w:rPr>
            </w:pPr>
          </w:p>
        </w:tc>
        <w:tc>
          <w:tcPr>
            <w:tcW w:w="8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w:t>
            </w:r>
          </w:p>
        </w:tc>
        <w:tc>
          <w:tcPr>
            <w:tcW w:w="0" w:type="dxa"/>
            <w:vAlign w:val="bottom"/>
          </w:tcPr>
          <w:p>
            <w:pPr>
              <w:spacing w:after="0"/>
              <w:rPr>
                <w:sz w:val="1"/>
                <w:szCs w:val="1"/>
                <w:color w:val="auto"/>
              </w:rPr>
            </w:pPr>
          </w:p>
        </w:tc>
      </w:tr>
      <w:tr>
        <w:trPr>
          <w:trHeight w:val="267"/>
        </w:trPr>
        <w:tc>
          <w:tcPr>
            <w:tcW w:w="4560" w:type="dxa"/>
            <w:vAlign w:val="bottom"/>
          </w:tcPr>
          <w:p>
            <w:pPr>
              <w:ind w:left="40"/>
              <w:spacing w:after="0"/>
              <w:rPr>
                <w:sz w:val="20"/>
                <w:szCs w:val="20"/>
                <w:color w:val="auto"/>
              </w:rPr>
            </w:pPr>
            <w:r>
              <w:rPr>
                <w:rFonts w:ascii="Arial" w:cs="Arial" w:eastAsia="Arial" w:hAnsi="Arial"/>
                <w:sz w:val="20"/>
                <w:szCs w:val="20"/>
                <w:b w:val="1"/>
                <w:bCs w:val="1"/>
                <w:color w:val="00162F"/>
              </w:rPr>
              <w:t>Balance at December 31, 2023</w:t>
            </w:r>
          </w:p>
        </w:tc>
        <w:tc>
          <w:tcPr>
            <w:tcW w:w="180" w:type="dxa"/>
            <w:vAlign w:val="bottom"/>
          </w:tcPr>
          <w:p>
            <w:pPr>
              <w:spacing w:after="0"/>
              <w:rPr>
                <w:sz w:val="23"/>
                <w:szCs w:val="23"/>
                <w:color w:val="auto"/>
              </w:rPr>
            </w:pPr>
          </w:p>
        </w:tc>
        <w:tc>
          <w:tcPr>
            <w:tcW w:w="940" w:type="dxa"/>
            <w:vAlign w:val="bottom"/>
          </w:tcPr>
          <w:p>
            <w:pPr>
              <w:ind w:left="660"/>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00162F"/>
              </w:rPr>
              <w:t>17,335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00162F"/>
              </w:rPr>
              <w:t>(4,999)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(5,759)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6,577</w:t>
            </w:r>
          </w:p>
        </w:tc>
        <w:tc>
          <w:tcPr>
            <w:tcW w:w="0" w:type="dxa"/>
            <w:vAlign w:val="bottom"/>
          </w:tcPr>
          <w:p>
            <w:pPr>
              <w:spacing w:after="0"/>
              <w:rPr>
                <w:sz w:val="1"/>
                <w:szCs w:val="1"/>
                <w:color w:val="auto"/>
              </w:rPr>
            </w:pPr>
          </w:p>
        </w:tc>
      </w:tr>
      <w:tr>
        <w:trPr>
          <w:trHeight w:val="297"/>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Net income</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ind w:left="660"/>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1,262</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1,262</w:t>
            </w:r>
          </w:p>
        </w:tc>
        <w:tc>
          <w:tcPr>
            <w:tcW w:w="0" w:type="dxa"/>
            <w:vAlign w:val="bottom"/>
          </w:tcPr>
          <w:p>
            <w:pPr>
              <w:spacing w:after="0"/>
              <w:rPr>
                <w:sz w:val="1"/>
                <w:szCs w:val="1"/>
                <w:color w:val="auto"/>
              </w:rPr>
            </w:pPr>
          </w:p>
        </w:tc>
      </w:tr>
      <w:tr>
        <w:trPr>
          <w:trHeight w:val="293"/>
        </w:trPr>
        <w:tc>
          <w:tcPr>
            <w:tcW w:w="4560" w:type="dxa"/>
            <w:vAlign w:val="bottom"/>
          </w:tcPr>
          <w:p>
            <w:pPr>
              <w:ind w:left="40"/>
              <w:spacing w:after="0"/>
              <w:rPr>
                <w:sz w:val="20"/>
                <w:szCs w:val="20"/>
                <w:color w:val="auto"/>
              </w:rPr>
            </w:pPr>
            <w:r>
              <w:rPr>
                <w:rFonts w:ascii="Arial" w:cs="Arial" w:eastAsia="Arial" w:hAnsi="Arial"/>
                <w:sz w:val="20"/>
                <w:szCs w:val="20"/>
                <w:color w:val="00162F"/>
              </w:rPr>
              <w:t>Other comprehensive income, net</w:t>
            </w:r>
          </w:p>
        </w:tc>
        <w:tc>
          <w:tcPr>
            <w:tcW w:w="180" w:type="dxa"/>
            <w:vAlign w:val="bottom"/>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00162F"/>
              </w:rPr>
              <w:t>322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322</w:t>
            </w:r>
          </w:p>
        </w:tc>
        <w:tc>
          <w:tcPr>
            <w:tcW w:w="0" w:type="dxa"/>
            <w:vAlign w:val="bottom"/>
          </w:tcPr>
          <w:p>
            <w:pPr>
              <w:spacing w:after="0"/>
              <w:rPr>
                <w:sz w:val="1"/>
                <w:szCs w:val="1"/>
                <w:color w:val="auto"/>
              </w:rPr>
            </w:pPr>
          </w:p>
        </w:tc>
      </w:tr>
      <w:tr>
        <w:trPr>
          <w:trHeight w:val="301"/>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Share-based compensation expense</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ind w:left="660"/>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89</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89</w:t>
            </w:r>
          </w:p>
        </w:tc>
        <w:tc>
          <w:tcPr>
            <w:tcW w:w="0" w:type="dxa"/>
            <w:vAlign w:val="bottom"/>
          </w:tcPr>
          <w:p>
            <w:pPr>
              <w:spacing w:after="0"/>
              <w:rPr>
                <w:sz w:val="1"/>
                <w:szCs w:val="1"/>
                <w:color w:val="auto"/>
              </w:rPr>
            </w:pPr>
          </w:p>
        </w:tc>
      </w:tr>
      <w:tr>
        <w:trPr>
          <w:trHeight w:val="293"/>
        </w:trPr>
        <w:tc>
          <w:tcPr>
            <w:tcW w:w="4560" w:type="dxa"/>
            <w:vAlign w:val="bottom"/>
          </w:tcPr>
          <w:p>
            <w:pPr>
              <w:ind w:left="40"/>
              <w:spacing w:after="0"/>
              <w:rPr>
                <w:sz w:val="20"/>
                <w:szCs w:val="20"/>
                <w:color w:val="auto"/>
              </w:rPr>
            </w:pPr>
            <w:r>
              <w:rPr>
                <w:rFonts w:ascii="Arial" w:cs="Arial" w:eastAsia="Arial" w:hAnsi="Arial"/>
                <w:sz w:val="20"/>
                <w:szCs w:val="20"/>
                <w:color w:val="00162F"/>
              </w:rPr>
              <w:t>Modification of share-based awards</w:t>
            </w:r>
          </w:p>
        </w:tc>
        <w:tc>
          <w:tcPr>
            <w:tcW w:w="180" w:type="dxa"/>
            <w:vAlign w:val="bottom"/>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00162F"/>
              </w:rPr>
              <w:t>(20)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(20)</w:t>
            </w:r>
          </w:p>
        </w:tc>
        <w:tc>
          <w:tcPr>
            <w:tcW w:w="0" w:type="dxa"/>
            <w:vAlign w:val="bottom"/>
          </w:tcPr>
          <w:p>
            <w:pPr>
              <w:spacing w:after="0"/>
              <w:rPr>
                <w:sz w:val="1"/>
                <w:szCs w:val="1"/>
                <w:color w:val="auto"/>
              </w:rPr>
            </w:pPr>
          </w:p>
        </w:tc>
      </w:tr>
      <w:tr>
        <w:trPr>
          <w:trHeight w:val="311"/>
        </w:trPr>
        <w:tc>
          <w:tcPr>
            <w:tcW w:w="45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Intercompany equity transfer</w:t>
            </w:r>
          </w:p>
        </w:tc>
        <w:tc>
          <w:tcPr>
            <w:tcW w:w="180" w:type="dxa"/>
            <w:vAlign w:val="bottom"/>
            <w:tcBorders>
              <w:bottom w:val="single" w:sz="8" w:color="00162F"/>
            </w:tcBorders>
            <w:shd w:val="clear" w:color="auto" w:fill="EDEDED"/>
          </w:tcPr>
          <w:p>
            <w:pPr>
              <w:spacing w:after="0"/>
              <w:rPr>
                <w:sz w:val="24"/>
                <w:szCs w:val="24"/>
                <w:color w:val="auto"/>
              </w:rPr>
            </w:pPr>
          </w:p>
        </w:tc>
        <w:tc>
          <w:tcPr>
            <w:tcW w:w="940" w:type="dxa"/>
            <w:vAlign w:val="bottom"/>
            <w:tcBorders>
              <w:bottom w:val="single" w:sz="8" w:color="00162F"/>
            </w:tcBorders>
            <w:shd w:val="clear" w:color="auto" w:fill="EDEDED"/>
          </w:tcPr>
          <w:p>
            <w:pPr>
              <w:ind w:left="660"/>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spacing w:after="0"/>
              <w:rPr>
                <w:sz w:val="24"/>
                <w:szCs w:val="24"/>
                <w:color w:val="auto"/>
              </w:rPr>
            </w:pPr>
          </w:p>
        </w:tc>
        <w:tc>
          <w:tcPr>
            <w:tcW w:w="9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spacing w:after="0"/>
              <w:rPr>
                <w:sz w:val="24"/>
                <w:szCs w:val="24"/>
                <w:color w:val="auto"/>
              </w:rPr>
            </w:pPr>
          </w:p>
        </w:tc>
        <w:tc>
          <w:tcPr>
            <w:tcW w:w="1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9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spacing w:after="0"/>
              <w:rPr>
                <w:sz w:val="24"/>
                <w:szCs w:val="24"/>
                <w:color w:val="auto"/>
              </w:rPr>
            </w:pPr>
          </w:p>
        </w:tc>
        <w:tc>
          <w:tcPr>
            <w:tcW w:w="8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w:t>
            </w:r>
          </w:p>
        </w:tc>
        <w:tc>
          <w:tcPr>
            <w:tcW w:w="0" w:type="dxa"/>
            <w:vAlign w:val="bottom"/>
          </w:tcPr>
          <w:p>
            <w:pPr>
              <w:spacing w:after="0"/>
              <w:rPr>
                <w:sz w:val="1"/>
                <w:szCs w:val="1"/>
                <w:color w:val="auto"/>
              </w:rPr>
            </w:pPr>
          </w:p>
        </w:tc>
      </w:tr>
      <w:tr>
        <w:trPr>
          <w:trHeight w:val="267"/>
        </w:trPr>
        <w:tc>
          <w:tcPr>
            <w:tcW w:w="4560" w:type="dxa"/>
            <w:vAlign w:val="bottom"/>
          </w:tcPr>
          <w:p>
            <w:pPr>
              <w:ind w:left="40"/>
              <w:spacing w:after="0"/>
              <w:rPr>
                <w:sz w:val="20"/>
                <w:szCs w:val="20"/>
                <w:color w:val="auto"/>
              </w:rPr>
            </w:pPr>
            <w:r>
              <w:rPr>
                <w:rFonts w:ascii="Arial" w:cs="Arial" w:eastAsia="Arial" w:hAnsi="Arial"/>
                <w:sz w:val="20"/>
                <w:szCs w:val="20"/>
                <w:b w:val="1"/>
                <w:bCs w:val="1"/>
                <w:color w:val="00162F"/>
              </w:rPr>
              <w:t>Balance at December 31, 2024</w:t>
            </w:r>
          </w:p>
        </w:tc>
        <w:tc>
          <w:tcPr>
            <w:tcW w:w="180" w:type="dxa"/>
            <w:vAlign w:val="bottom"/>
          </w:tcPr>
          <w:p>
            <w:pPr>
              <w:spacing w:after="0"/>
              <w:rPr>
                <w:sz w:val="23"/>
                <w:szCs w:val="23"/>
                <w:color w:val="auto"/>
              </w:rPr>
            </w:pPr>
          </w:p>
        </w:tc>
        <w:tc>
          <w:tcPr>
            <w:tcW w:w="940" w:type="dxa"/>
            <w:vAlign w:val="bottom"/>
          </w:tcPr>
          <w:p>
            <w:pPr>
              <w:ind w:left="660"/>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00162F"/>
              </w:rPr>
              <w:t>17,408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00162F"/>
              </w:rPr>
              <w:t>(4,677)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(4,497)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8,234</w:t>
            </w:r>
          </w:p>
        </w:tc>
        <w:tc>
          <w:tcPr>
            <w:tcW w:w="0" w:type="dxa"/>
            <w:vAlign w:val="bottom"/>
          </w:tcPr>
          <w:p>
            <w:pPr>
              <w:spacing w:after="0"/>
              <w:rPr>
                <w:sz w:val="1"/>
                <w:szCs w:val="1"/>
                <w:color w:val="auto"/>
              </w:rPr>
            </w:pPr>
          </w:p>
        </w:tc>
      </w:tr>
      <w:tr>
        <w:trPr>
          <w:trHeight w:val="297"/>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Net income</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ind w:left="660"/>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564</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564</w:t>
            </w:r>
          </w:p>
        </w:tc>
        <w:tc>
          <w:tcPr>
            <w:tcW w:w="0" w:type="dxa"/>
            <w:vAlign w:val="bottom"/>
          </w:tcPr>
          <w:p>
            <w:pPr>
              <w:spacing w:after="0"/>
              <w:rPr>
                <w:sz w:val="1"/>
                <w:szCs w:val="1"/>
                <w:color w:val="auto"/>
              </w:rPr>
            </w:pPr>
          </w:p>
        </w:tc>
      </w:tr>
      <w:tr>
        <w:trPr>
          <w:trHeight w:val="293"/>
        </w:trPr>
        <w:tc>
          <w:tcPr>
            <w:tcW w:w="4560" w:type="dxa"/>
            <w:vAlign w:val="bottom"/>
          </w:tcPr>
          <w:p>
            <w:pPr>
              <w:ind w:left="40"/>
              <w:spacing w:after="0"/>
              <w:rPr>
                <w:sz w:val="20"/>
                <w:szCs w:val="20"/>
                <w:color w:val="auto"/>
              </w:rPr>
            </w:pPr>
            <w:r>
              <w:rPr>
                <w:rFonts w:ascii="Arial" w:cs="Arial" w:eastAsia="Arial" w:hAnsi="Arial"/>
                <w:sz w:val="20"/>
                <w:szCs w:val="20"/>
                <w:color w:val="00162F"/>
              </w:rPr>
              <w:t>Other comprehensive income, net</w:t>
            </w:r>
          </w:p>
        </w:tc>
        <w:tc>
          <w:tcPr>
            <w:tcW w:w="180" w:type="dxa"/>
            <w:vAlign w:val="bottom"/>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00162F"/>
              </w:rPr>
              <w:t>170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170</w:t>
            </w:r>
          </w:p>
        </w:tc>
        <w:tc>
          <w:tcPr>
            <w:tcW w:w="0" w:type="dxa"/>
            <w:vAlign w:val="bottom"/>
          </w:tcPr>
          <w:p>
            <w:pPr>
              <w:spacing w:after="0"/>
              <w:rPr>
                <w:sz w:val="1"/>
                <w:szCs w:val="1"/>
                <w:color w:val="auto"/>
              </w:rPr>
            </w:pPr>
          </w:p>
        </w:tc>
      </w:tr>
      <w:tr>
        <w:trPr>
          <w:trHeight w:val="301"/>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Share-based compensation expense</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ind w:left="660"/>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9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58</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58</w:t>
            </w:r>
          </w:p>
        </w:tc>
        <w:tc>
          <w:tcPr>
            <w:tcW w:w="0" w:type="dxa"/>
            <w:vAlign w:val="bottom"/>
          </w:tcPr>
          <w:p>
            <w:pPr>
              <w:spacing w:after="0"/>
              <w:rPr>
                <w:sz w:val="1"/>
                <w:szCs w:val="1"/>
                <w:color w:val="auto"/>
              </w:rPr>
            </w:pPr>
          </w:p>
        </w:tc>
      </w:tr>
      <w:tr>
        <w:trPr>
          <w:trHeight w:val="287"/>
        </w:trPr>
        <w:tc>
          <w:tcPr>
            <w:tcW w:w="456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Intercompany equity transfer</w:t>
            </w:r>
          </w:p>
        </w:tc>
        <w:tc>
          <w:tcPr>
            <w:tcW w:w="180" w:type="dxa"/>
            <w:vAlign w:val="bottom"/>
            <w:tcBorders>
              <w:bottom w:val="single" w:sz="8" w:color="00162F"/>
            </w:tcBorders>
          </w:tcPr>
          <w:p>
            <w:pPr>
              <w:spacing w:after="0"/>
              <w:rPr>
                <w:sz w:val="24"/>
                <w:szCs w:val="24"/>
                <w:color w:val="auto"/>
              </w:rPr>
            </w:pPr>
          </w:p>
        </w:tc>
        <w:tc>
          <w:tcPr>
            <w:tcW w:w="940" w:type="dxa"/>
            <w:vAlign w:val="bottom"/>
            <w:tcBorders>
              <w:bottom w:val="single" w:sz="8" w:color="00162F"/>
            </w:tcBorders>
          </w:tcPr>
          <w:p>
            <w:pPr>
              <w:ind w:left="660"/>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00162F"/>
            </w:tcBorders>
          </w:tcPr>
          <w:p>
            <w:pPr>
              <w:spacing w:after="0"/>
              <w:rPr>
                <w:sz w:val="24"/>
                <w:szCs w:val="24"/>
                <w:color w:val="auto"/>
              </w:rPr>
            </w:pPr>
          </w:p>
        </w:tc>
        <w:tc>
          <w:tcPr>
            <w:tcW w:w="9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00162F"/>
            </w:tcBorders>
          </w:tcPr>
          <w:p>
            <w:pPr>
              <w:spacing w:after="0"/>
              <w:rPr>
                <w:sz w:val="24"/>
                <w:szCs w:val="24"/>
                <w:color w:val="auto"/>
              </w:rPr>
            </w:pPr>
          </w:p>
        </w:tc>
        <w:tc>
          <w:tcPr>
            <w:tcW w:w="11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200" w:type="dxa"/>
            <w:vAlign w:val="bottom"/>
            <w:tcBorders>
              <w:bottom w:val="single" w:sz="8" w:color="00162F"/>
            </w:tcBorders>
          </w:tcPr>
          <w:p>
            <w:pPr>
              <w:spacing w:after="0"/>
              <w:rPr>
                <w:sz w:val="24"/>
                <w:szCs w:val="24"/>
                <w:color w:val="auto"/>
              </w:rPr>
            </w:pPr>
          </w:p>
        </w:tc>
        <w:tc>
          <w:tcPr>
            <w:tcW w:w="9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8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w:t>
            </w:r>
          </w:p>
        </w:tc>
        <w:tc>
          <w:tcPr>
            <w:tcW w:w="0" w:type="dxa"/>
            <w:vAlign w:val="bottom"/>
          </w:tcPr>
          <w:p>
            <w:pPr>
              <w:spacing w:after="0"/>
              <w:rPr>
                <w:sz w:val="1"/>
                <w:szCs w:val="1"/>
                <w:color w:val="auto"/>
              </w:rPr>
            </w:pPr>
          </w:p>
        </w:tc>
      </w:tr>
      <w:tr>
        <w:trPr>
          <w:trHeight w:val="297"/>
        </w:trPr>
        <w:tc>
          <w:tcPr>
            <w:tcW w:w="45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b w:val="1"/>
                <w:bCs w:val="1"/>
                <w:color w:val="00162F"/>
              </w:rPr>
              <w:t>Balance at December 31, 2025</w:t>
            </w:r>
          </w:p>
        </w:tc>
        <w:tc>
          <w:tcPr>
            <w:tcW w:w="1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940" w:type="dxa"/>
            <w:vAlign w:val="bottom"/>
            <w:tcBorders>
              <w:bottom w:val="single" w:sz="8" w:color="00162F"/>
            </w:tcBorders>
            <w:shd w:val="clear" w:color="auto" w:fill="EDEDED"/>
          </w:tcPr>
          <w:p>
            <w:pPr>
              <w:ind w:left="660"/>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9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17,468</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4,507)</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9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3,933)</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9,028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-3227070</wp:posOffset>
            </wp:positionV>
            <wp:extent cx="391922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3">
                      <a:extLst>
                        <a:ext uri="{28A0092B-C50C-407E-A947-70E740481C1C}"/>
                      </a:extLst>
                    </a:blip>
                    <a:srcRect/>
                    <a:stretch>
                      <a:fillRect/>
                    </a:stretch>
                  </pic:blipFill>
                  <pic:spPr bwMode="auto">
                    <a:xfrm>
                      <a:off x="0" y="0"/>
                      <a:ext cx="3919220" cy="2540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-2293620</wp:posOffset>
            </wp:positionV>
            <wp:extent cx="319024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4">
                      <a:extLst>
                        <a:ext uri="{28A0092B-C50C-407E-A947-70E740481C1C}"/>
                      </a:extLst>
                    </a:blip>
                    <a:srcRect/>
                    <a:stretch>
                      <a:fillRect/>
                    </a:stretch>
                  </pic:blipFill>
                  <pic:spPr bwMode="auto">
                    <a:xfrm>
                      <a:off x="0" y="0"/>
                      <a:ext cx="3190240" cy="2540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-1162685</wp:posOffset>
            </wp:positionV>
            <wp:extent cx="319024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5">
                      <a:extLst>
                        <a:ext uri="{28A0092B-C50C-407E-A947-70E740481C1C}"/>
                      </a:extLst>
                    </a:blip>
                    <a:srcRect/>
                    <a:stretch>
                      <a:fillRect/>
                    </a:stretch>
                  </pic:blipFill>
                  <pic:spPr bwMode="auto">
                    <a:xfrm>
                      <a:off x="0" y="0"/>
                      <a:ext cx="3190240" cy="2540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-219710</wp:posOffset>
            </wp:positionV>
            <wp:extent cx="319024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6">
                      <a:extLst>
                        <a:ext uri="{28A0092B-C50C-407E-A947-70E740481C1C}"/>
                      </a:extLst>
                    </a:blip>
                    <a:srcRect/>
                    <a:stretch>
                      <a:fillRect/>
                    </a:stretch>
                  </pic:blipFill>
                  <pic:spPr bwMode="auto">
                    <a:xfrm>
                      <a:off x="0" y="0"/>
                      <a:ext cx="3190240" cy="2540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-43815</wp:posOffset>
            </wp:positionV>
            <wp:extent cx="3919220" cy="508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7">
                      <a:extLst>
                        <a:ext uri="{28A0092B-C50C-407E-A947-70E740481C1C}"/>
                      </a:extLst>
                    </a:blip>
                    <a:srcRect/>
                    <a:stretch>
                      <a:fillRect/>
                    </a:stretch>
                  </pic:blipFill>
                  <pic:spPr bwMode="auto">
                    <a:xfrm>
                      <a:off x="0" y="0"/>
                      <a:ext cx="3919220" cy="5080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00162F"/>
        </w:rPr>
        <w:t>See accompanying notes to consolidated financial statements.</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132</w:t>
      </w:r>
    </w:p>
    <w:p>
      <w:pPr>
        <w:sectPr>
          <w:pgSz w:w="11880" w:h="15480" w:orient="portrait"/>
          <w:cols w:equalWidth="0" w:num="1">
            <w:col w:w="10680"/>
          </w:cols>
          <w:pgMar w:left="600" w:top="992" w:right="600" w:bottom="0" w:gutter="0" w:footer="0" w:header="0"/>
          <w:type w:val="continuous"/>
        </w:sectPr>
      </w:pPr>
    </w:p>
    <w:bookmarkStart w:id="133" w:name="page134"/>
    <w:bookmarkEnd w:id="133"/>
    <w:p>
      <w:pPr>
        <w:jc w:val="center"/>
        <w:ind w:right="15"/>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75" w:lineRule="exact"/>
        <w:rPr>
          <w:sz w:val="20"/>
          <w:szCs w:val="20"/>
          <w:color w:val="auto"/>
        </w:rPr>
      </w:pPr>
    </w:p>
    <w:p>
      <w:pPr>
        <w:ind w:left="225" w:hanging="225"/>
        <w:spacing w:after="0"/>
        <w:tabs>
          <w:tab w:leader="none" w:pos="225" w:val="left"/>
        </w:tabs>
        <w:numPr>
          <w:ilvl w:val="0"/>
          <w:numId w:val="65"/>
        </w:numPr>
        <w:rPr>
          <w:rFonts w:ascii="Arial" w:cs="Arial" w:eastAsia="Arial" w:hAnsi="Arial"/>
          <w:sz w:val="20"/>
          <w:szCs w:val="20"/>
          <w:b w:val="1"/>
          <w:bCs w:val="1"/>
          <w:color w:val="00162F"/>
        </w:rPr>
      </w:pPr>
      <w:r>
        <w:rPr>
          <w:rFonts w:ascii="Arial" w:cs="Arial" w:eastAsia="Arial" w:hAnsi="Arial"/>
          <w:sz w:val="20"/>
          <w:szCs w:val="20"/>
          <w:b w:val="1"/>
          <w:bCs w:val="1"/>
          <w:color w:val="00162F"/>
        </w:rPr>
        <w:t>Basis of Presentation and Summary of Significant Accounting Policies</w:t>
      </w:r>
    </w:p>
    <w:p>
      <w:pPr>
        <w:spacing w:after="0" w:line="98" w:lineRule="exact"/>
        <w:rPr>
          <w:rFonts w:ascii="Arial" w:cs="Arial" w:eastAsia="Arial" w:hAnsi="Arial"/>
          <w:sz w:val="20"/>
          <w:szCs w:val="20"/>
          <w:b w:val="1"/>
          <w:bCs w:val="1"/>
          <w:color w:val="00162F"/>
        </w:rPr>
      </w:pPr>
    </w:p>
    <w:p>
      <w:pPr>
        <w:ind w:left="565" w:hanging="298"/>
        <w:spacing w:after="0"/>
        <w:tabs>
          <w:tab w:leader="none" w:pos="565" w:val="left"/>
        </w:tabs>
        <w:numPr>
          <w:ilvl w:val="1"/>
          <w:numId w:val="65"/>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Basis of Presentation</w:t>
      </w:r>
    </w:p>
    <w:p>
      <w:pPr>
        <w:spacing w:after="0" w:line="95" w:lineRule="exact"/>
        <w:rPr>
          <w:sz w:val="20"/>
          <w:szCs w:val="20"/>
          <w:color w:val="auto"/>
        </w:rPr>
      </w:pPr>
    </w:p>
    <w:p>
      <w:pPr>
        <w:jc w:val="both"/>
        <w:ind w:left="5" w:right="20" w:firstLine="267"/>
        <w:spacing w:after="0" w:line="259" w:lineRule="auto"/>
        <w:rPr>
          <w:sz w:val="20"/>
          <w:szCs w:val="20"/>
          <w:color w:val="auto"/>
        </w:rPr>
      </w:pPr>
      <w:r>
        <w:rPr>
          <w:rFonts w:ascii="Arial" w:cs="Arial" w:eastAsia="Arial" w:hAnsi="Arial"/>
          <w:sz w:val="20"/>
          <w:szCs w:val="20"/>
          <w:color w:val="00162F"/>
        </w:rPr>
        <w:t>American Airlines, Inc. (American) is a Delaware corporation whose primary business activity is the operation of a major network air carrier, providing scheduled air transportation for passengers and cargo. American is the principal wholly-owned subsidiary of American Airlines Group Inc. (AAG), which owns all of American’s outstanding common stock, par value $1.00 per share. All significant intercompany transactions have been eliminated.</w:t>
      </w:r>
    </w:p>
    <w:p>
      <w:pPr>
        <w:spacing w:after="0" w:line="136" w:lineRule="exact"/>
        <w:rPr>
          <w:sz w:val="20"/>
          <w:szCs w:val="20"/>
          <w:color w:val="auto"/>
        </w:rPr>
      </w:pPr>
    </w:p>
    <w:p>
      <w:pPr>
        <w:jc w:val="both"/>
        <w:ind w:left="5" w:right="20" w:firstLine="267"/>
        <w:spacing w:after="0" w:line="254" w:lineRule="auto"/>
        <w:rPr>
          <w:sz w:val="20"/>
          <w:szCs w:val="20"/>
          <w:color w:val="auto"/>
        </w:rPr>
      </w:pPr>
      <w:r>
        <w:rPr>
          <w:rFonts w:ascii="Arial" w:cs="Arial" w:eastAsia="Arial" w:hAnsi="Arial"/>
          <w:sz w:val="20"/>
          <w:szCs w:val="20"/>
          <w:color w:val="00162F"/>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33"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(b) Recent Accounting Pronouncements</w:t>
      </w:r>
    </w:p>
    <w:p>
      <w:pPr>
        <w:spacing w:after="0" w:line="97" w:lineRule="exact"/>
        <w:rPr>
          <w:sz w:val="20"/>
          <w:szCs w:val="20"/>
          <w:color w:val="auto"/>
        </w:rPr>
      </w:pPr>
    </w:p>
    <w:p>
      <w:pPr>
        <w:jc w:val="both"/>
        <w:ind w:left="5" w:right="20" w:firstLine="267"/>
        <w:spacing w:after="0" w:line="280" w:lineRule="auto"/>
        <w:rPr>
          <w:sz w:val="20"/>
          <w:szCs w:val="20"/>
          <w:color w:val="auto"/>
        </w:rPr>
      </w:pPr>
      <w:r>
        <w:rPr>
          <w:rFonts w:ascii="Arial" w:cs="Arial" w:eastAsia="Arial" w:hAnsi="Arial"/>
          <w:sz w:val="20"/>
          <w:szCs w:val="20"/>
          <w:i w:val="1"/>
          <w:iCs w:val="1"/>
          <w:color w:val="00162F"/>
        </w:rPr>
        <w:t>Accounting Standards Update (ASU) 2024-03: Income Statement - Reporting Comprehensive Income - Expense Disaggregation Disclosures (Subtopic 220-04) Disaggregation of Income Statement Expenses</w:t>
      </w:r>
    </w:p>
    <w:p>
      <w:pPr>
        <w:spacing w:after="0" w:line="26" w:lineRule="exact"/>
        <w:rPr>
          <w:sz w:val="20"/>
          <w:szCs w:val="20"/>
          <w:color w:val="auto"/>
        </w:rPr>
      </w:pPr>
    </w:p>
    <w:p>
      <w:pPr>
        <w:jc w:val="both"/>
        <w:ind w:left="5" w:right="20" w:firstLine="267"/>
        <w:spacing w:after="0" w:line="259" w:lineRule="auto"/>
        <w:rPr>
          <w:sz w:val="20"/>
          <w:szCs w:val="20"/>
          <w:color w:val="auto"/>
        </w:rPr>
      </w:pPr>
      <w:r>
        <w:rPr>
          <w:rFonts w:ascii="Arial" w:cs="Arial" w:eastAsia="Arial" w:hAnsi="Arial"/>
          <w:sz w:val="20"/>
          <w:szCs w:val="20"/>
          <w:color w:val="00162F"/>
        </w:rPr>
        <w:t>This standard enhances transparency in reporting by requiring disaggregation of certain costs and expenses in the notes to financial statements. This update is effective for annual periods beginning after December 15, 2026 and interim periods within annual periods beginning after December 15, 2027, and early adoption is permitted. American is currently evaluating how the adoption of this standard may impact its disclosures.</w:t>
      </w:r>
    </w:p>
    <w:p>
      <w:pPr>
        <w:spacing w:after="0" w:line="226" w:lineRule="exact"/>
        <w:rPr>
          <w:sz w:val="20"/>
          <w:szCs w:val="20"/>
          <w:color w:val="auto"/>
        </w:rPr>
      </w:pPr>
    </w:p>
    <w:p>
      <w:pPr>
        <w:jc w:val="both"/>
        <w:ind w:left="5" w:right="20" w:firstLine="267"/>
        <w:spacing w:after="0" w:line="280" w:lineRule="auto"/>
        <w:rPr>
          <w:sz w:val="20"/>
          <w:szCs w:val="20"/>
          <w:color w:val="auto"/>
        </w:rPr>
      </w:pPr>
      <w:r>
        <w:rPr>
          <w:rFonts w:ascii="Arial" w:cs="Arial" w:eastAsia="Arial" w:hAnsi="Arial"/>
          <w:sz w:val="20"/>
          <w:szCs w:val="20"/>
          <w:i w:val="1"/>
          <w:iCs w:val="1"/>
          <w:color w:val="00162F"/>
        </w:rPr>
        <w:t>ASU 2025-06: Intangibles - Goodwill and Other - Internal-Use Software (Subtopic 350-40) Targeted Improvements to the Accounting for Internal-Use Software</w:t>
      </w:r>
    </w:p>
    <w:p>
      <w:pPr>
        <w:spacing w:after="0" w:line="26" w:lineRule="exact"/>
        <w:rPr>
          <w:sz w:val="20"/>
          <w:szCs w:val="20"/>
          <w:color w:val="auto"/>
        </w:rPr>
      </w:pPr>
    </w:p>
    <w:p>
      <w:pPr>
        <w:jc w:val="both"/>
        <w:ind w:left="5" w:right="20" w:firstLine="267"/>
        <w:spacing w:after="0" w:line="259" w:lineRule="auto"/>
        <w:rPr>
          <w:sz w:val="20"/>
          <w:szCs w:val="20"/>
          <w:color w:val="auto"/>
        </w:rPr>
      </w:pPr>
      <w:r>
        <w:rPr>
          <w:rFonts w:ascii="Arial" w:cs="Arial" w:eastAsia="Arial" w:hAnsi="Arial"/>
          <w:sz w:val="20"/>
          <w:szCs w:val="20"/>
          <w:color w:val="00162F"/>
        </w:rPr>
        <w:t>This standard modernizes the accounting for costs related to internal-use software by removing references to project stages and by clarifying the thresholds entities apply to begin capitalizing costs. The amendments in this update are effective for interim and annual periods beginning after December 15, 2027, and early adoption is permitted. American is currently evaluating how the adoption of this standard may impact its consolidated financial statements.</w:t>
      </w:r>
    </w:p>
    <w:p>
      <w:pPr>
        <w:spacing w:after="0" w:line="226"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(c) Investments</w:t>
      </w:r>
    </w:p>
    <w:p>
      <w:pPr>
        <w:spacing w:after="0" w:line="95" w:lineRule="exact"/>
        <w:rPr>
          <w:sz w:val="20"/>
          <w:szCs w:val="20"/>
          <w:color w:val="auto"/>
        </w:rPr>
      </w:pPr>
    </w:p>
    <w:p>
      <w:pPr>
        <w:jc w:val="both"/>
        <w:ind w:left="5" w:right="20" w:firstLine="267"/>
        <w:spacing w:after="0" w:line="270" w:lineRule="auto"/>
        <w:rPr>
          <w:sz w:val="20"/>
          <w:szCs w:val="20"/>
          <w:color w:val="auto"/>
        </w:rPr>
      </w:pPr>
      <w:r>
        <w:rPr>
          <w:rFonts w:ascii="Arial" w:cs="Arial" w:eastAsia="Arial" w:hAnsi="Arial"/>
          <w:sz w:val="19"/>
          <w:szCs w:val="19"/>
          <w:color w:val="00162F"/>
        </w:rPr>
        <w:t>Short-term investments primarily include debt securities and are classified as available-for-sale and stated at fair value. Realized gains and losses are recorded as part of interest income within total nonoperating expense, net on American’s consolidated statements of operations. Unrealized gains and losses are recorded as a component of accumulated other comprehensive loss on American’s consolidated balance sheets. For investments in an unrealized loss position, American determines whether a credit loss exists by considering information about the collectability of the instrument, current market conditions and reasonable and supportable forecasts of economic conditions. There have been no credit losses.</w:t>
      </w:r>
    </w:p>
    <w:p>
      <w:pPr>
        <w:spacing w:after="0" w:line="129" w:lineRule="exact"/>
        <w:rPr>
          <w:sz w:val="20"/>
          <w:szCs w:val="20"/>
          <w:color w:val="auto"/>
        </w:rPr>
      </w:pPr>
    </w:p>
    <w:p>
      <w:pPr>
        <w:jc w:val="both"/>
        <w:ind w:left="5" w:right="20" w:firstLine="267"/>
        <w:spacing w:after="0" w:line="253" w:lineRule="auto"/>
        <w:rPr>
          <w:sz w:val="20"/>
          <w:szCs w:val="20"/>
          <w:color w:val="auto"/>
        </w:rPr>
      </w:pPr>
      <w:r>
        <w:rPr>
          <w:rFonts w:ascii="Arial" w:cs="Arial" w:eastAsia="Arial" w:hAnsi="Arial"/>
          <w:sz w:val="20"/>
          <w:szCs w:val="20"/>
          <w:color w:val="00162F"/>
        </w:rPr>
        <w:t>Equity investments are accounted for under the equity method if American is able to exercise significant influence over an investee. Equity investments for which American does not have significant influence are recorded at fair value or at cost, if fair value is not readily determinable, with adjustments for observable changes in price or impairments (referred to as the measurement alternative). American’s equity investments are reflected in other assets on its consolidated balance sheets. American’s share of equity method investees’ financial results and changes in fair value are recorded in nonoperating other income (expense), net on the consolidated statements of operations. See Note 7 for additional information related to American’s equity investments.</w:t>
      </w:r>
    </w:p>
    <w:p>
      <w:pPr>
        <w:spacing w:after="0" w:line="234"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(d) Restricted Cash and Short-term Investments</w:t>
      </w:r>
    </w:p>
    <w:p>
      <w:pPr>
        <w:spacing w:after="0" w:line="95"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American has restricted cash and short-term investments related primarily to collateral held to support workers’ compensation obligations, collateral associated with the payment of interest for the AAdvantage Financing and money market funds to be used to finance the cost of improvements at the overhaul and maintenance base at Tulsa International Airport (Tulsa Maintenance Base). See Note 3 and Note 10 for further information on the AAdvantage Financing and Tulsa Maintenance Base, respectively.</w:t>
      </w:r>
    </w:p>
    <w:p>
      <w:pPr>
        <w:sectPr>
          <w:pgSz w:w="11880" w:h="15480" w:orient="portrait"/>
          <w:cols w:equalWidth="0" w:num="1">
            <w:col w:w="10705"/>
          </w:cols>
          <w:pgMar w:left="595" w:top="99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5"/>
        <w:spacing w:after="0"/>
        <w:rPr>
          <w:sz w:val="20"/>
          <w:szCs w:val="20"/>
          <w:color w:val="auto"/>
        </w:rPr>
      </w:pPr>
      <w:r>
        <w:rPr>
          <w:rFonts w:ascii="Arial" w:cs="Arial" w:eastAsia="Arial" w:hAnsi="Arial"/>
          <w:sz w:val="19"/>
          <w:szCs w:val="19"/>
          <w:color w:val="00162F"/>
        </w:rPr>
        <w:t>133</w:t>
      </w:r>
    </w:p>
    <w:p>
      <w:pPr>
        <w:sectPr>
          <w:pgSz w:w="11880" w:h="15480" w:orient="portrait"/>
          <w:cols w:equalWidth="0" w:num="1">
            <w:col w:w="10705"/>
          </w:cols>
          <w:pgMar w:left="595" w:top="992" w:right="580" w:bottom="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(e) Accounts Receivable, Net</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Accounts receivable primarily consist of amounts due from credit card processing companies for tickets sold to individual passengers, amounts due from airline and non-airline business partners, including American’s co-branded credit card partner and cargo customers. Receivables from ticket sales are short-term, mostly settled within seven days after sale. Receivables from American’s business partners are typically settled within 30 days. All accounts receivable are reported net of an allowance for credit losses, which was not material as of December 31, 2025 and 2024. American considers past and future financial and qualitative factors, including aging, payment history and other credit monitoring indicators, when establishing the allowance for credit losses.</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(f) Aircraft Fuel, Spare Parts and Supplies, Net</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Aircraft fuel is recorded on a first-in, first-out basis. Spare parts and supplies are recorded at average costs less an allowance for obsolescence, which is recognized over the weighted average remaining useful life of the related fleet. American also provides an allowance for spare parts and supplies identified as excess or obsolete to reduce the carrying cost to the lower of cost or net realizable value. Aircraft fuel, spare parts and supplies are expensed when used.</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(g) Operating Property and Equipment</w:t>
      </w:r>
    </w:p>
    <w:p>
      <w:pPr>
        <w:spacing w:after="0" w:line="95" w:lineRule="exact"/>
        <w:rPr>
          <w:sz w:val="20"/>
          <w:szCs w:val="20"/>
          <w:color w:val="auto"/>
        </w:rPr>
      </w:pPr>
    </w:p>
    <w:p>
      <w:pPr>
        <w:jc w:val="both"/>
        <w:ind w:firstLine="267"/>
        <w:spacing w:after="0" w:line="267" w:lineRule="auto"/>
        <w:rPr>
          <w:sz w:val="20"/>
          <w:szCs w:val="20"/>
          <w:color w:val="auto"/>
        </w:rPr>
      </w:pPr>
      <w:r>
        <w:rPr>
          <w:rFonts w:ascii="Arial" w:cs="Arial" w:eastAsia="Arial" w:hAnsi="Arial"/>
          <w:sz w:val="19"/>
          <w:szCs w:val="19"/>
          <w:color w:val="00162F"/>
        </w:rPr>
        <w:t>Operating property and equipment is recorded at cost and depreciated or amortized to residual values over the asset’s estimated useful life or the lease term, whichever is less, using the straight-line method. Costs of major improvements that enhance the usefulness of the asset are capitalized and depreciated or amortized over the estimated useful life of the asset or the lease term, whichever is less. Effective January 1, 2025, American adjusted the estimated useful lives of its mainline and regional aircraft, engines and related rotable parts by three years to align with the extended lives of aircraft included in American’s long-term fleet plan. In conjunction with this change, American also reduced the salvage values for most of these assets from 10% to 5% of original cost to more closely reflect the estimated value at the end of the useful life. Accordingly, the estimated useful lives for the principal property and equipment classification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320" w:type="dxa"/>
            <w:vAlign w:val="bottom"/>
            <w:gridSpan w:val="2"/>
          </w:tcPr>
          <w:p>
            <w:pPr>
              <w:spacing w:after="0"/>
              <w:rPr>
                <w:sz w:val="20"/>
                <w:szCs w:val="20"/>
                <w:color w:val="auto"/>
              </w:rPr>
            </w:pPr>
            <w:r>
              <w:rPr>
                <w:rFonts w:ascii="Arial" w:cs="Arial" w:eastAsia="Arial" w:hAnsi="Arial"/>
                <w:sz w:val="16"/>
                <w:szCs w:val="16"/>
                <w:b w:val="1"/>
                <w:bCs w:val="1"/>
                <w:color w:val="00162F"/>
              </w:rPr>
              <w:t>Principal Property and Equipment Classification</w:t>
            </w:r>
          </w:p>
        </w:tc>
        <w:tc>
          <w:tcPr>
            <w:tcW w:w="43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0162F"/>
              </w:rPr>
              <w:t>Estimated Useful Life</w:t>
            </w:r>
          </w:p>
        </w:tc>
      </w:tr>
      <w:tr>
        <w:trPr>
          <w:trHeight w:val="30"/>
        </w:trPr>
        <w:tc>
          <w:tcPr>
            <w:tcW w:w="40" w:type="dxa"/>
            <w:vAlign w:val="bottom"/>
          </w:tcPr>
          <w:p>
            <w:pPr>
              <w:spacing w:after="0"/>
              <w:rPr>
                <w:sz w:val="2"/>
                <w:szCs w:val="2"/>
                <w:color w:val="auto"/>
              </w:rPr>
            </w:pPr>
          </w:p>
        </w:tc>
        <w:tc>
          <w:tcPr>
            <w:tcW w:w="3620" w:type="dxa"/>
            <w:vAlign w:val="bottom"/>
            <w:tcBorders>
              <w:top w:val="single" w:sz="8" w:color="00162F"/>
            </w:tcBorders>
          </w:tcPr>
          <w:p>
            <w:pPr>
              <w:spacing w:after="0"/>
              <w:rPr>
                <w:sz w:val="2"/>
                <w:szCs w:val="2"/>
                <w:color w:val="auto"/>
              </w:rPr>
            </w:pPr>
          </w:p>
        </w:tc>
        <w:tc>
          <w:tcPr>
            <w:tcW w:w="2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60" w:type="dxa"/>
            <w:vAlign w:val="bottom"/>
            <w:tcBorders>
              <w:top w:val="single" w:sz="8" w:color="00162F"/>
            </w:tcBorders>
          </w:tcPr>
          <w:p>
            <w:pPr>
              <w:spacing w:after="0"/>
              <w:rPr>
                <w:sz w:val="2"/>
                <w:szCs w:val="2"/>
                <w:color w:val="auto"/>
              </w:rPr>
            </w:pPr>
          </w:p>
        </w:tc>
        <w:tc>
          <w:tcPr>
            <w:tcW w:w="960" w:type="dxa"/>
            <w:vAlign w:val="bottom"/>
            <w:tcBorders>
              <w:top w:val="single" w:sz="8" w:color="00162F"/>
            </w:tcBorders>
          </w:tcPr>
          <w:p>
            <w:pPr>
              <w:spacing w:after="0"/>
              <w:rPr>
                <w:sz w:val="2"/>
                <w:szCs w:val="2"/>
                <w:color w:val="auto"/>
              </w:rPr>
            </w:pPr>
          </w:p>
        </w:tc>
        <w:tc>
          <w:tcPr>
            <w:tcW w:w="40" w:type="dxa"/>
            <w:vAlign w:val="bottom"/>
          </w:tcPr>
          <w:p>
            <w:pPr>
              <w:spacing w:after="0"/>
              <w:rPr>
                <w:sz w:val="2"/>
                <w:szCs w:val="2"/>
                <w:color w:val="auto"/>
              </w:rPr>
            </w:pPr>
          </w:p>
        </w:tc>
      </w:tr>
      <w:tr>
        <w:trPr>
          <w:trHeight w:val="297"/>
        </w:trPr>
        <w:tc>
          <w:tcPr>
            <w:tcW w:w="40" w:type="dxa"/>
            <w:vAlign w:val="bottom"/>
            <w:shd w:val="clear" w:color="auto" w:fill="EDEDED"/>
          </w:tcPr>
          <w:p>
            <w:pPr>
              <w:spacing w:after="0"/>
              <w:rPr>
                <w:sz w:val="24"/>
                <w:szCs w:val="24"/>
                <w:color w:val="auto"/>
              </w:rPr>
            </w:pPr>
          </w:p>
        </w:tc>
        <w:tc>
          <w:tcPr>
            <w:tcW w:w="6320" w:type="dxa"/>
            <w:vAlign w:val="bottom"/>
            <w:gridSpan w:val="2"/>
            <w:shd w:val="clear" w:color="auto" w:fill="EDEDED"/>
          </w:tcPr>
          <w:p>
            <w:pPr>
              <w:spacing w:after="0"/>
              <w:rPr>
                <w:sz w:val="20"/>
                <w:szCs w:val="20"/>
                <w:color w:val="auto"/>
              </w:rPr>
            </w:pPr>
            <w:r>
              <w:rPr>
                <w:rFonts w:ascii="Arial" w:cs="Arial" w:eastAsia="Arial" w:hAnsi="Arial"/>
                <w:sz w:val="20"/>
                <w:szCs w:val="20"/>
                <w:color w:val="00162F"/>
              </w:rPr>
              <w:t>Aircraft, engines and related rotable parts</w:t>
            </w:r>
          </w:p>
        </w:tc>
        <w:tc>
          <w:tcPr>
            <w:tcW w:w="332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20</w:t>
            </w:r>
          </w:p>
        </w:tc>
        <w:tc>
          <w:tcPr>
            <w:tcW w:w="100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 33 years</w:t>
            </w:r>
          </w:p>
        </w:tc>
      </w:tr>
      <w:tr>
        <w:trPr>
          <w:trHeight w:val="293"/>
        </w:trPr>
        <w:tc>
          <w:tcPr>
            <w:tcW w:w="4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00162F"/>
              </w:rPr>
              <w:t>Buildings and improvements</w:t>
            </w:r>
          </w:p>
        </w:tc>
        <w:tc>
          <w:tcPr>
            <w:tcW w:w="3320" w:type="dxa"/>
            <w:vAlign w:val="bottom"/>
            <w:gridSpan w:val="2"/>
          </w:tcPr>
          <w:p>
            <w:pPr>
              <w:jc w:val="right"/>
              <w:ind w:right="20"/>
              <w:spacing w:after="0"/>
              <w:rPr>
                <w:sz w:val="20"/>
                <w:szCs w:val="20"/>
                <w:color w:val="auto"/>
              </w:rPr>
            </w:pPr>
            <w:r>
              <w:rPr>
                <w:rFonts w:ascii="Arial" w:cs="Arial" w:eastAsia="Arial" w:hAnsi="Arial"/>
                <w:sz w:val="20"/>
                <w:szCs w:val="20"/>
                <w:color w:val="00162F"/>
              </w:rPr>
              <w:t>5</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00162F"/>
              </w:rPr>
              <w:t>– 30 years</w:t>
            </w:r>
          </w:p>
        </w:tc>
      </w:tr>
      <w:tr>
        <w:trPr>
          <w:trHeight w:val="301"/>
        </w:trPr>
        <w:tc>
          <w:tcPr>
            <w:tcW w:w="40" w:type="dxa"/>
            <w:vAlign w:val="bottom"/>
            <w:shd w:val="clear" w:color="auto" w:fill="EDEDED"/>
          </w:tcPr>
          <w:p>
            <w:pPr>
              <w:spacing w:after="0"/>
              <w:rPr>
                <w:sz w:val="24"/>
                <w:szCs w:val="24"/>
                <w:color w:val="auto"/>
              </w:rPr>
            </w:pPr>
          </w:p>
        </w:tc>
        <w:tc>
          <w:tcPr>
            <w:tcW w:w="6320" w:type="dxa"/>
            <w:vAlign w:val="bottom"/>
            <w:gridSpan w:val="2"/>
            <w:shd w:val="clear" w:color="auto" w:fill="EDEDED"/>
          </w:tcPr>
          <w:p>
            <w:pPr>
              <w:spacing w:after="0"/>
              <w:rPr>
                <w:sz w:val="20"/>
                <w:szCs w:val="20"/>
                <w:color w:val="auto"/>
              </w:rPr>
            </w:pPr>
            <w:r>
              <w:rPr>
                <w:rFonts w:ascii="Arial" w:cs="Arial" w:eastAsia="Arial" w:hAnsi="Arial"/>
                <w:sz w:val="20"/>
                <w:szCs w:val="20"/>
                <w:color w:val="00162F"/>
              </w:rPr>
              <w:t>Furniture, fixtures and other equipment</w:t>
            </w:r>
          </w:p>
        </w:tc>
        <w:tc>
          <w:tcPr>
            <w:tcW w:w="332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3</w:t>
            </w:r>
          </w:p>
        </w:tc>
        <w:tc>
          <w:tcPr>
            <w:tcW w:w="100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 15 years</w:t>
            </w:r>
          </w:p>
        </w:tc>
      </w:tr>
      <w:tr>
        <w:trPr>
          <w:trHeight w:val="290"/>
        </w:trPr>
        <w:tc>
          <w:tcPr>
            <w:tcW w:w="4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00162F"/>
              </w:rPr>
              <w:t>Capitalized software</w:t>
            </w:r>
          </w:p>
        </w:tc>
        <w:tc>
          <w:tcPr>
            <w:tcW w:w="3320" w:type="dxa"/>
            <w:vAlign w:val="bottom"/>
            <w:gridSpan w:val="2"/>
          </w:tcPr>
          <w:p>
            <w:pPr>
              <w:jc w:val="right"/>
              <w:ind w:right="20"/>
              <w:spacing w:after="0"/>
              <w:rPr>
                <w:sz w:val="20"/>
                <w:szCs w:val="20"/>
                <w:color w:val="auto"/>
              </w:rPr>
            </w:pPr>
            <w:r>
              <w:rPr>
                <w:rFonts w:ascii="Arial" w:cs="Arial" w:eastAsia="Arial" w:hAnsi="Arial"/>
                <w:sz w:val="20"/>
                <w:szCs w:val="20"/>
                <w:color w:val="00162F"/>
              </w:rPr>
              <w:t>5</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00162F"/>
              </w:rPr>
              <w:t>– 10 years</w:t>
            </w:r>
          </w:p>
        </w:tc>
      </w:tr>
    </w:tbl>
    <w:p>
      <w:pPr>
        <w:spacing w:after="0" w:line="2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effect of these changes did not have a material impact to depreciation and amortization expense in the consolidated statement of operations for the year ended December 31, 2025. Total mainline and regional depreciation and amortization expense was $2.2 billion for each of the years ended December 31, 2025, 2024 and 2023.</w:t>
      </w:r>
    </w:p>
    <w:p>
      <w:pPr>
        <w:spacing w:after="0" w:line="129"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American assesses impairment of operating property and equipment when events and circumstances indicate that the assets may be impaired. An impairment of an asset or group of assets exists only when the sum of the estimated undiscounted cash flows expected to be generated directly by the assets are less than the carrying value of the assets. American groups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American’s current fleet plan. If such assets are impaired, the impairment charge recognized is the amount by which the carrying value of the assets exceed their fair value. Fair value reflects management’s best estimate including inputs from published pricing guides and bids from third parties as well as contracted sales agreements when applicable.</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(h) Leases</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American determines if an arrangement is a lease at inception. Operating leases are included in operating lease right-of-use (ROU) assets, current operating lease liabilities and noncurrent operating lease liabilities on American’s consolidated balance sheets. Finance leases are included in property and equipment, current maturities of long-term debt and finance leases and long-term debt and finance leases, net of current maturities, on American’s consolidated balance sheets. See Note 4 for further information on American’s operating and finance leases.</w:t>
      </w:r>
    </w:p>
    <w:p>
      <w:pPr>
        <w:spacing w:after="0" w:line="13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ROU assets represent American’s right to use an underlying asset for the lease term and lease liabilities represent its obligation to make lease payments arising from the lease. ROU assets and lease liabilities are recognized at the lease commencement date based on the estimated present value of lease payments over the lease term.</w:t>
      </w:r>
    </w:p>
    <w:p>
      <w:pPr>
        <w:sectPr>
          <w:pgSz w:w="11880" w:h="15480" w:orient="portrait"/>
          <w:cols w:equalWidth="0" w:num="1">
            <w:col w:w="10680"/>
          </w:cols>
          <w:pgMar w:left="600" w:top="249" w:right="600" w:bottom="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134</w:t>
      </w:r>
    </w:p>
    <w:p>
      <w:pPr>
        <w:sectPr>
          <w:pgSz w:w="11880" w:h="15480" w:orient="portrait"/>
          <w:cols w:equalWidth="0" w:num="1">
            <w:col w:w="10680"/>
          </w:cols>
          <w:pgMar w:left="600" w:top="249" w:right="600" w:bottom="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American uses its estimated incremental borrowing rate, which is derived from information available at the lease commencement date, in determining the present value of lease payments. American gives consideration to its recent debt issuances as well as publicly available data for instruments with similar characteristics when calculating its incremental borrowing rates.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9"/>
          <w:szCs w:val="19"/>
          <w:color w:val="00162F"/>
        </w:rPr>
        <w:t>American’s lease term includes options to extend the lease when it is reasonably certain that it will exercise that option.</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00162F"/>
        </w:rPr>
        <w:t>Leases with a term of 12 months or less are not recorded on its consolidated balance sheets.</w:t>
      </w:r>
    </w:p>
    <w:p>
      <w:pPr>
        <w:spacing w:after="0" w:line="18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Under certain of American’s capacity purchase agreements with third-party regional carriers, American does not own the underlying aircraft. However, since American controls the marketing, scheduling, ticketing, pricing and seat inventories of these aircraft and therefore control the asset, the aircraft is deemed to be leased for accounting purposes. For these capacity purchase agreements, American accounts for the lease and non-lease components separately. The lease component consists of the aircraft and the non-lease components consist of services, such as the crew and maintenance. Where applicable, American allocates the consideration in the capacity purchase agreements to the lease and non-lease components using their estimated relative standalone prices. See Note 10(b) for additional information on its capacity purchase agreements.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For real estate, American accounts for the lease and non-lease components as a single lease component.</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(i) Income Taxes</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on American’s consolidated balance sheets.</w:t>
      </w:r>
    </w:p>
    <w:p>
      <w:pPr>
        <w:spacing w:after="0" w:line="136"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American provides a valuation allowance for its deferred tax assets, which include its net operating losses (NOLs) and other carryforwards,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(j) Goodwill</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Goodwill represents the purchase price in excess of the fair value of the net assets acquired and liabilities assumed in connection with the 2013 merger with US Airways Group, Inc. (US Airways Group). American has one reporting unit. American assesses goodwill for impairment annually or more frequently if events or circumstances indicate that the fair value of goodwill may be lower than the carrying value. American’s annual assessment date is October 1.</w:t>
      </w:r>
    </w:p>
    <w:p>
      <w:pPr>
        <w:spacing w:after="0" w:line="136"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Goodwill is assessed for impairment by initially performing a qualitative assessment. If American determines that it is more likely than not that its goodwill may be impaired, it uses a quantitative approach to assess the asset’s fair value and the amount of the impairment, if any. Based upon American’s annual assessment, there was no goodwill impairment in 2025. The carrying value of American’s goodwill on its consolidated balance sheets was $4.1 billion as of December 31, 2025 and 2024.</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(k) Other Intangibles, Net</w:t>
      </w:r>
    </w:p>
    <w:p>
      <w:pPr>
        <w:spacing w:after="0" w:line="95"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Intangible assets consist of certain domestic airport slots and gate leasehold rights, international slots and route authorities, commercial agreements, marketing agreements, customer relationships and tradenames.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Definite-Lived Intangible Assets</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Definite-lived intangible assets are originally recorded at their acquired fair values, subsequently amortized over their respective estimated useful lives and are assessed for impairment whenever events and circumstances indicate that the assets may be impaired. Certain domestic airport slots and airport gate leasehold rights are amortized on a straight-line basis over 25 years. Certain marketing agreements were identified as intangible assets subject to amortization and are amortized on a straight-line basis over approximately 30 years.</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135</w:t>
      </w:r>
    </w:p>
    <w:p>
      <w:pPr>
        <w:sectPr>
          <w:pgSz w:w="11880" w:h="15480" w:orient="portrait"/>
          <w:cols w:equalWidth="0" w:num="1">
            <w:col w:w="10680"/>
          </w:cols>
          <w:pgMar w:left="600" w:top="249" w:right="600" w:bottom="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American had $124 million and $101 million of definite-lived intangible assets, net of accumulated amortization on its consolidated balance sheets as of December 31, 2025 and 2024, respectively. American expects to record amortization expense related to these assets of approximately $7 million for each of the years in 2026 through 2030, and $88 million of amortization expense in 2031 and thereafter until fully amortized.</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Indefinite-Lived Intangible Assets</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Indefinite-lived intangible assets include certain domestic airport slots, international slots and route authorities and American’s commercial agreement with GOL Linhas Aéreas Inteligentes S.A. (GOL). American assesses indefinite-lived intangible assets for impairment annually or more frequently if events or circumstances indicate that the fair values of indefinite-lived intangible assets may be lower than their carrying values. American’s annual assessment date is October 1.</w:t>
      </w:r>
    </w:p>
    <w:p>
      <w:pPr>
        <w:spacing w:after="0" w:line="139"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Indefinite-lived intangible assets are assessed for impairment by initially performing a qualitative assessment. If American determines that it is more likely than not that its indefinite-lived intangible assets may be impaired, American uses a quantitative approach to assess the asset’s fair value and the amount of the impairment, if any. Based upon American’s annual assessment, there were no indefinite-lived intangible asset impairments in 2025. American had $1.9 billion of indefinite-lived intangible assets on its consolidated balance sheets as of December 31, 2025 and 2024.</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(l) Fuel Financing</w:t>
      </w:r>
    </w:p>
    <w:p>
      <w:pPr>
        <w:spacing w:after="0" w:line="95"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In December 2024, American entered into a fuel financing facility with a bank pursuant to which the bank pays certain fuel invoices on American’s behalf. The agreement contains a maximum allowable outstanding principal balance at any time of $1.0 billion and is required to be repaid at least quarterly. The fuel financing facility bears interest at a base rate equal to one-month Secured Overnight Financing Rate (SOFR), plus a margin of 3.75%. American’s obligations to the counterparty are secured on a second-priority basis by certain intellectual property of American, including the “American Airlines” trademark and the “aa.com” domain name in the United States and certain foreign jurisdictions, as provided in, and subject to the covenants and conditions of, the Second Lien Brand Collateral Security Agreement. Either American or the bank may terminate this agreement at any time and with immediate effect upon sixty days’ prior written notice to the other party. As of December 31, 2025 and 2024, American had $914 million and $74 million, respectively, in fuel financing obligations included on American’s consolidated balance sheets.</w:t>
      </w:r>
    </w:p>
    <w:p>
      <w:pPr>
        <w:spacing w:after="0" w:line="148" w:lineRule="exact"/>
        <w:rPr>
          <w:sz w:val="20"/>
          <w:szCs w:val="20"/>
          <w:color w:val="auto"/>
        </w:rPr>
      </w:pPr>
    </w:p>
    <w:p>
      <w:pPr>
        <w:ind w:firstLine="267"/>
        <w:spacing w:after="0" w:line="282" w:lineRule="auto"/>
        <w:rPr>
          <w:sz w:val="20"/>
          <w:szCs w:val="20"/>
          <w:color w:val="auto"/>
        </w:rPr>
      </w:pPr>
      <w:r>
        <w:rPr>
          <w:rFonts w:ascii="Arial" w:cs="Arial" w:eastAsia="Arial" w:hAnsi="Arial"/>
          <w:sz w:val="20"/>
          <w:szCs w:val="20"/>
          <w:color w:val="00162F"/>
        </w:rPr>
        <w:t>The following is a rollforward of American’s outstanding fuel financing obligation during the years ended December 31, 2025 and 2024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Borders>
              <w:bottom w:val="single" w:sz="8" w:color="EDEDED"/>
            </w:tcBorders>
          </w:tcPr>
          <w:p>
            <w:pPr>
              <w:spacing w:after="0"/>
              <w:rPr>
                <w:sz w:val="18"/>
                <w:szCs w:val="18"/>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2025</w:t>
            </w:r>
          </w:p>
        </w:tc>
        <w:tc>
          <w:tcPr>
            <w:tcW w:w="620" w:type="dxa"/>
            <w:vAlign w:val="bottom"/>
            <w:tcBorders>
              <w:bottom w:val="single" w:sz="8" w:color="00162F"/>
            </w:tcBorders>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420" w:type="dxa"/>
            <w:vAlign w:val="bottom"/>
            <w:tcBorders>
              <w:bottom w:val="single" w:sz="8" w:color="00162F"/>
            </w:tcBorders>
          </w:tcPr>
          <w:p>
            <w:pPr>
              <w:spacing w:after="0"/>
              <w:rPr>
                <w:sz w:val="18"/>
                <w:szCs w:val="18"/>
                <w:color w:val="auto"/>
              </w:rPr>
            </w:pPr>
          </w:p>
        </w:tc>
        <w:tc>
          <w:tcPr>
            <w:tcW w:w="1260" w:type="dxa"/>
            <w:vAlign w:val="bottom"/>
            <w:tcBorders>
              <w:bottom w:val="single" w:sz="8" w:color="00162F"/>
            </w:tcBorders>
          </w:tcPr>
          <w:p>
            <w:pPr>
              <w:jc w:val="right"/>
              <w:ind w:right="565"/>
              <w:spacing w:after="0"/>
              <w:rPr>
                <w:sz w:val="20"/>
                <w:szCs w:val="20"/>
                <w:color w:val="auto"/>
              </w:rPr>
            </w:pPr>
            <w:r>
              <w:rPr>
                <w:rFonts w:ascii="Arial" w:cs="Arial" w:eastAsia="Arial" w:hAnsi="Arial"/>
                <w:sz w:val="16"/>
                <w:szCs w:val="16"/>
                <w:b w:val="1"/>
                <w:bCs w:val="1"/>
                <w:color w:val="00162F"/>
              </w:rPr>
              <w:t>2024</w:t>
            </w:r>
          </w:p>
        </w:tc>
      </w:tr>
      <w:tr>
        <w:trPr>
          <w:trHeight w:val="287"/>
        </w:trPr>
        <w:tc>
          <w:tcPr>
            <w:tcW w:w="72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Balance at beginning of year</w:t>
            </w:r>
          </w:p>
        </w:tc>
        <w:tc>
          <w:tcPr>
            <w:tcW w:w="1060" w:type="dxa"/>
            <w:vAlign w:val="bottom"/>
            <w:shd w:val="clear" w:color="auto" w:fill="EDEDED"/>
          </w:tcPr>
          <w:p>
            <w:pPr>
              <w:jc w:val="right"/>
              <w:ind w:right="808"/>
              <w:spacing w:after="0"/>
              <w:rPr>
                <w:sz w:val="20"/>
                <w:szCs w:val="20"/>
                <w:color w:val="auto"/>
              </w:rPr>
            </w:pPr>
            <w:r>
              <w:rPr>
                <w:rFonts w:ascii="Arial" w:cs="Arial" w:eastAsia="Arial" w:hAnsi="Arial"/>
                <w:sz w:val="20"/>
                <w:szCs w:val="20"/>
                <w:color w:val="00162F"/>
              </w:rPr>
              <w:t>$</w:t>
            </w:r>
          </w:p>
        </w:tc>
        <w:tc>
          <w:tcPr>
            <w:tcW w:w="6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74</w:t>
            </w:r>
          </w:p>
        </w:tc>
        <w:tc>
          <w:tcPr>
            <w:tcW w:w="480" w:type="dxa"/>
            <w:vAlign w:val="bottom"/>
            <w:gridSpan w:val="2"/>
            <w:shd w:val="clear" w:color="auto" w:fill="EDEDED"/>
          </w:tcPr>
          <w:p>
            <w:pPr>
              <w:jc w:val="right"/>
              <w:ind w:right="240"/>
              <w:spacing w:after="0"/>
              <w:rPr>
                <w:sz w:val="20"/>
                <w:szCs w:val="20"/>
                <w:color w:val="auto"/>
              </w:rPr>
            </w:pPr>
            <w:r>
              <w:rPr>
                <w:rFonts w:ascii="Arial" w:cs="Arial" w:eastAsia="Arial" w:hAnsi="Arial"/>
                <w:sz w:val="20"/>
                <w:szCs w:val="20"/>
                <w:color w:val="00162F"/>
              </w:rPr>
              <w:t>$</w:t>
            </w:r>
          </w:p>
        </w:tc>
        <w:tc>
          <w:tcPr>
            <w:tcW w:w="12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93"/>
        </w:trPr>
        <w:tc>
          <w:tcPr>
            <w:tcW w:w="7200" w:type="dxa"/>
            <w:vAlign w:val="bottom"/>
          </w:tcPr>
          <w:p>
            <w:pPr>
              <w:ind w:left="280"/>
              <w:spacing w:after="0"/>
              <w:rPr>
                <w:sz w:val="20"/>
                <w:szCs w:val="20"/>
                <w:color w:val="auto"/>
              </w:rPr>
            </w:pPr>
            <w:r>
              <w:rPr>
                <w:rFonts w:ascii="Arial" w:cs="Arial" w:eastAsia="Arial" w:hAnsi="Arial"/>
                <w:sz w:val="20"/>
                <w:szCs w:val="20"/>
                <w:color w:val="00162F"/>
              </w:rPr>
              <w:t>Proceeds</w:t>
            </w:r>
          </w:p>
        </w:tc>
        <w:tc>
          <w:tcPr>
            <w:tcW w:w="10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00162F"/>
              </w:rPr>
              <w:t>1,217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00162F"/>
              </w:rPr>
              <w:t>74</w:t>
            </w:r>
          </w:p>
        </w:tc>
      </w:tr>
      <w:tr>
        <w:trPr>
          <w:trHeight w:val="311"/>
        </w:trPr>
        <w:tc>
          <w:tcPr>
            <w:tcW w:w="7200" w:type="dxa"/>
            <w:vAlign w:val="bottom"/>
            <w:tcBorders>
              <w:bottom w:val="single" w:sz="8" w:color="EDEDED"/>
            </w:tcBorders>
            <w:shd w:val="clear" w:color="auto" w:fill="EDEDED"/>
          </w:tcPr>
          <w:p>
            <w:pPr>
              <w:ind w:left="280"/>
              <w:spacing w:after="0"/>
              <w:rPr>
                <w:sz w:val="20"/>
                <w:szCs w:val="20"/>
                <w:color w:val="auto"/>
              </w:rPr>
            </w:pPr>
            <w:r>
              <w:rPr>
                <w:rFonts w:ascii="Arial" w:cs="Arial" w:eastAsia="Arial" w:hAnsi="Arial"/>
                <w:sz w:val="20"/>
                <w:szCs w:val="20"/>
                <w:color w:val="00162F"/>
              </w:rPr>
              <w:t>Payments</w:t>
            </w:r>
          </w:p>
        </w:tc>
        <w:tc>
          <w:tcPr>
            <w:tcW w:w="1060" w:type="dxa"/>
            <w:vAlign w:val="bottom"/>
            <w:tcBorders>
              <w:bottom w:val="single" w:sz="8" w:color="00162F"/>
            </w:tcBorders>
            <w:shd w:val="clear" w:color="auto" w:fill="EDEDED"/>
          </w:tcPr>
          <w:p>
            <w:pPr>
              <w:spacing w:after="0"/>
              <w:rPr>
                <w:sz w:val="24"/>
                <w:szCs w:val="24"/>
                <w:color w:val="auto"/>
              </w:rPr>
            </w:pPr>
          </w:p>
        </w:tc>
        <w:tc>
          <w:tcPr>
            <w:tcW w:w="6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(377)</w:t>
            </w:r>
          </w:p>
        </w:tc>
        <w:tc>
          <w:tcPr>
            <w:tcW w:w="6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00162F"/>
            </w:tcBorders>
            <w:shd w:val="clear" w:color="auto" w:fill="EDEDED"/>
          </w:tcPr>
          <w:p>
            <w:pPr>
              <w:spacing w:after="0"/>
              <w:rPr>
                <w:sz w:val="24"/>
                <w:szCs w:val="24"/>
                <w:color w:val="auto"/>
              </w:rPr>
            </w:pPr>
          </w:p>
        </w:tc>
        <w:tc>
          <w:tcPr>
            <w:tcW w:w="12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20"/>
                <w:szCs w:val="20"/>
                <w:color w:val="00162F"/>
              </w:rPr>
              <w:t>Balance at end of year</w:t>
            </w:r>
          </w:p>
        </w:tc>
        <w:tc>
          <w:tcPr>
            <w:tcW w:w="1060" w:type="dxa"/>
            <w:vAlign w:val="bottom"/>
          </w:tcPr>
          <w:p>
            <w:pPr>
              <w:jc w:val="right"/>
              <w:ind w:right="808"/>
              <w:spacing w:after="0"/>
              <w:rPr>
                <w:sz w:val="20"/>
                <w:szCs w:val="20"/>
                <w:color w:val="auto"/>
              </w:rPr>
            </w:pPr>
            <w:r>
              <w:rPr>
                <w:rFonts w:ascii="Arial" w:cs="Arial" w:eastAsia="Arial" w:hAnsi="Arial"/>
                <w:sz w:val="20"/>
                <w:szCs w:val="20"/>
                <w:color w:val="00162F"/>
              </w:rPr>
              <w:t>$</w:t>
            </w:r>
          </w:p>
        </w:tc>
        <w:tc>
          <w:tcPr>
            <w:tcW w:w="620" w:type="dxa"/>
            <w:vAlign w:val="bottom"/>
          </w:tcPr>
          <w:p>
            <w:pPr>
              <w:jc w:val="right"/>
              <w:spacing w:after="0"/>
              <w:rPr>
                <w:sz w:val="20"/>
                <w:szCs w:val="20"/>
                <w:color w:val="auto"/>
              </w:rPr>
            </w:pPr>
            <w:r>
              <w:rPr>
                <w:rFonts w:ascii="Arial" w:cs="Arial" w:eastAsia="Arial" w:hAnsi="Arial"/>
                <w:sz w:val="20"/>
                <w:szCs w:val="20"/>
                <w:color w:val="00162F"/>
              </w:rPr>
              <w:t>914</w:t>
            </w:r>
          </w:p>
        </w:tc>
        <w:tc>
          <w:tcPr>
            <w:tcW w:w="480" w:type="dxa"/>
            <w:vAlign w:val="bottom"/>
            <w:gridSpan w:val="2"/>
          </w:tcPr>
          <w:p>
            <w:pPr>
              <w:jc w:val="right"/>
              <w:ind w:right="240"/>
              <w:spacing w:after="0"/>
              <w:rPr>
                <w:sz w:val="20"/>
                <w:szCs w:val="20"/>
                <w:color w:val="auto"/>
              </w:rPr>
            </w:pPr>
            <w:r>
              <w:rPr>
                <w:rFonts w:ascii="Arial" w:cs="Arial" w:eastAsia="Arial" w:hAnsi="Arial"/>
                <w:sz w:val="20"/>
                <w:szCs w:val="20"/>
                <w:color w:val="00162F"/>
              </w:rPr>
              <w:t>$</w:t>
            </w:r>
          </w:p>
        </w:tc>
        <w:tc>
          <w:tcPr>
            <w:tcW w:w="1260" w:type="dxa"/>
            <w:vAlign w:val="bottom"/>
          </w:tcPr>
          <w:p>
            <w:pPr>
              <w:jc w:val="right"/>
              <w:spacing w:after="0"/>
              <w:rPr>
                <w:sz w:val="20"/>
                <w:szCs w:val="20"/>
                <w:color w:val="auto"/>
              </w:rPr>
            </w:pPr>
            <w:r>
              <w:rPr>
                <w:rFonts w:ascii="Arial" w:cs="Arial" w:eastAsia="Arial" w:hAnsi="Arial"/>
                <w:sz w:val="20"/>
                <w:szCs w:val="20"/>
                <w:color w:val="00162F"/>
              </w:rPr>
              <w:t>74</w:t>
            </w:r>
          </w:p>
        </w:tc>
      </w:tr>
      <w:tr>
        <w:trPr>
          <w:trHeight w:val="20"/>
        </w:trPr>
        <w:tc>
          <w:tcPr>
            <w:tcW w:w="7200" w:type="dxa"/>
            <w:vAlign w:val="bottom"/>
          </w:tcPr>
          <w:p>
            <w:pPr>
              <w:spacing w:after="0" w:line="20" w:lineRule="exact"/>
              <w:rPr>
                <w:sz w:val="1"/>
                <w:szCs w:val="1"/>
                <w:color w:val="auto"/>
              </w:rPr>
            </w:pPr>
          </w:p>
        </w:tc>
        <w:tc>
          <w:tcPr>
            <w:tcW w:w="1060" w:type="dxa"/>
            <w:vAlign w:val="bottom"/>
            <w:tcBorders>
              <w:top w:val="single" w:sz="8" w:color="00162F"/>
              <w:bottom w:val="single" w:sz="8" w:color="00162F"/>
            </w:tcBorders>
          </w:tcPr>
          <w:p>
            <w:pPr>
              <w:spacing w:after="0" w:line="20" w:lineRule="exact"/>
              <w:rPr>
                <w:sz w:val="1"/>
                <w:szCs w:val="1"/>
                <w:color w:val="auto"/>
              </w:rPr>
            </w:pPr>
          </w:p>
        </w:tc>
        <w:tc>
          <w:tcPr>
            <w:tcW w:w="62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162F"/>
              <w:bottom w:val="single" w:sz="8" w:color="00162F"/>
            </w:tcBorders>
          </w:tcPr>
          <w:p>
            <w:pPr>
              <w:spacing w:after="0" w:line="20" w:lineRule="exact"/>
              <w:rPr>
                <w:sz w:val="1"/>
                <w:szCs w:val="1"/>
                <w:color w:val="auto"/>
              </w:rPr>
            </w:pPr>
          </w:p>
        </w:tc>
        <w:tc>
          <w:tcPr>
            <w:tcW w:w="1260" w:type="dxa"/>
            <w:vAlign w:val="bottom"/>
            <w:tcBorders>
              <w:top w:val="single" w:sz="8" w:color="00162F"/>
              <w:bottom w:val="single" w:sz="8" w:color="00162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-797560</wp:posOffset>
            </wp:positionV>
            <wp:extent cx="2215515" cy="501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8">
                      <a:extLst>
                        <a:ext uri="{28A0092B-C50C-407E-A947-70E740481C1C}"/>
                      </a:extLst>
                    </a:blip>
                    <a:srcRect/>
                    <a:stretch>
                      <a:fillRect/>
                    </a:stretch>
                  </pic:blipFill>
                  <pic:spPr bwMode="auto">
                    <a:xfrm>
                      <a:off x="0" y="0"/>
                      <a:ext cx="2215515" cy="50165"/>
                    </a:xfrm>
                    <a:prstGeom prst="rect">
                      <a:avLst/>
                    </a:prstGeom>
                    <a:noFill/>
                  </pic:spPr>
                </pic:pic>
              </a:graphicData>
            </a:graphic>
          </wp:anchor>
        </w:drawing>
        <w:drawing>
          <wp:anchor simplePos="0" relativeHeight="251657728" behindDoc="1" locked="0" layoutInCell="0" allowOverlap="1">
            <wp:simplePos x="0" y="0"/>
            <wp:positionH relativeFrom="column">
              <wp:posOffset>4544060</wp:posOffset>
            </wp:positionH>
            <wp:positionV relativeFrom="paragraph">
              <wp:posOffset>-231775</wp:posOffset>
            </wp:positionV>
            <wp:extent cx="1137920" cy="501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9">
                      <a:extLst>
                        <a:ext uri="{28A0092B-C50C-407E-A947-70E740481C1C}"/>
                      </a:extLst>
                    </a:blip>
                    <a:srcRect/>
                    <a:stretch>
                      <a:fillRect/>
                    </a:stretch>
                  </pic:blipFill>
                  <pic:spPr bwMode="auto">
                    <a:xfrm>
                      <a:off x="0" y="0"/>
                      <a:ext cx="1137920" cy="5016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-55880</wp:posOffset>
            </wp:positionV>
            <wp:extent cx="1115695" cy="755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0">
                      <a:extLst>
                        <a:ext uri="{28A0092B-C50C-407E-A947-70E740481C1C}"/>
                      </a:extLst>
                    </a:blip>
                    <a:srcRect/>
                    <a:stretch>
                      <a:fillRect/>
                    </a:stretch>
                  </pic:blipFill>
                  <pic:spPr bwMode="auto">
                    <a:xfrm>
                      <a:off x="0" y="0"/>
                      <a:ext cx="1115695" cy="75565"/>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American includes payments to designated fuel suppliers as an operating activity in the consolidated statement of cash flows. Proceeds and payments related to fuel financing transactions are presented net as a financing activity in the consolidated statement of cash flows.</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136</w:t>
      </w:r>
    </w:p>
    <w:p>
      <w:pPr>
        <w:sectPr>
          <w:pgSz w:w="11880" w:h="15480" w:orient="portrait"/>
          <w:cols w:equalWidth="0" w:num="1">
            <w:col w:w="10680"/>
          </w:cols>
          <w:pgMar w:left="600" w:top="249" w:right="600" w:bottom="0" w:gutter="0" w:footer="0" w:header="0"/>
          <w:type w:val="continuous"/>
        </w:sectPr>
      </w:pPr>
    </w:p>
    <w:bookmarkStart w:id="137" w:name="page138"/>
    <w:bookmarkEnd w:id="137"/>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4" w:lineRule="exact"/>
        <w:rPr>
          <w:sz w:val="20"/>
          <w:szCs w:val="20"/>
          <w:color w:val="auto"/>
        </w:rPr>
      </w:pPr>
    </w:p>
    <w:p>
      <w:pPr>
        <w:ind w:left="265" w:right="8040" w:firstLine="2"/>
        <w:spacing w:after="0" w:line="340" w:lineRule="auto"/>
        <w:tabs>
          <w:tab w:leader="none" w:pos="628" w:val="left"/>
        </w:tabs>
        <w:numPr>
          <w:ilvl w:val="0"/>
          <w:numId w:val="66"/>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 xml:space="preserve">Revenue Recognition </w:t>
      </w:r>
      <w:r>
        <w:rPr>
          <w:rFonts w:ascii="Arial" w:cs="Arial" w:eastAsia="Arial" w:hAnsi="Arial"/>
          <w:sz w:val="20"/>
          <w:szCs w:val="20"/>
          <w:i w:val="1"/>
          <w:iCs w:val="1"/>
          <w:u w:val="single" w:color="auto"/>
          <w:color w:val="00162F"/>
        </w:rPr>
        <w:t>Revenue</w:t>
      </w:r>
    </w:p>
    <w:p>
      <w:pPr>
        <w:ind w:left="265"/>
        <w:spacing w:after="0"/>
        <w:rPr>
          <w:rFonts w:ascii="Arial" w:cs="Arial" w:eastAsia="Arial" w:hAnsi="Arial"/>
          <w:sz w:val="20"/>
          <w:szCs w:val="20"/>
          <w:b w:val="1"/>
          <w:bCs w:val="1"/>
          <w:i w:val="1"/>
          <w:iCs w:val="1"/>
          <w:color w:val="00162F"/>
        </w:rPr>
      </w:pPr>
      <w:r>
        <w:rPr>
          <w:rFonts w:ascii="Arial" w:cs="Arial" w:eastAsia="Arial" w:hAnsi="Arial"/>
          <w:sz w:val="20"/>
          <w:szCs w:val="20"/>
          <w:color w:val="00162F"/>
        </w:rPr>
        <w:t>The following are the significant categories comprising American’s operating revenues (in millions):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3040" w:type="dxa"/>
            <w:vAlign w:val="bottom"/>
            <w:tcBorders>
              <w:bottom w:val="single" w:sz="8" w:color="00162F"/>
            </w:tcBorders>
            <w:gridSpan w:val="6"/>
          </w:tcPr>
          <w:p>
            <w:pPr>
              <w:jc w:val="right"/>
              <w:ind w:right="18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32"/>
        </w:trPr>
        <w:tc>
          <w:tcPr>
            <w:tcW w:w="1960" w:type="dxa"/>
            <w:vAlign w:val="bottom"/>
            <w:tcBorders>
              <w:bottom w:val="single" w:sz="8" w:color="EDEDED"/>
            </w:tcBorders>
          </w:tcPr>
          <w:p>
            <w:pPr>
              <w:spacing w:after="0"/>
              <w:rPr>
                <w:sz w:val="20"/>
                <w:szCs w:val="20"/>
                <w:color w:val="auto"/>
              </w:rPr>
            </w:pPr>
          </w:p>
        </w:tc>
        <w:tc>
          <w:tcPr>
            <w:tcW w:w="426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45"/>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63"/>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3"/>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Passenger revenue:</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r>
      <w:tr>
        <w:trPr>
          <w:trHeight w:val="293"/>
        </w:trPr>
        <w:tc>
          <w:tcPr>
            <w:tcW w:w="6220" w:type="dxa"/>
            <w:vAlign w:val="bottom"/>
            <w:gridSpan w:val="2"/>
          </w:tcPr>
          <w:p>
            <w:pPr>
              <w:ind w:left="260"/>
              <w:spacing w:after="0"/>
              <w:rPr>
                <w:sz w:val="20"/>
                <w:szCs w:val="20"/>
                <w:color w:val="auto"/>
              </w:rPr>
            </w:pPr>
            <w:r>
              <w:rPr>
                <w:rFonts w:ascii="Arial" w:cs="Arial" w:eastAsia="Arial" w:hAnsi="Arial"/>
                <w:sz w:val="20"/>
                <w:szCs w:val="20"/>
                <w:color w:val="00162F"/>
              </w:rPr>
              <w:t>Passenger travel</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45,607</w:t>
            </w:r>
          </w:p>
        </w:tc>
        <w:tc>
          <w:tcPr>
            <w:tcW w:w="80" w:type="dxa"/>
            <w:vAlign w:val="bottom"/>
          </w:tcPr>
          <w:p>
            <w:pPr>
              <w:spacing w:after="0"/>
              <w:rPr>
                <w:sz w:val="24"/>
                <w:szCs w:val="24"/>
                <w:color w:val="auto"/>
              </w:rPr>
            </w:pP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45,743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44,914</w:t>
            </w:r>
          </w:p>
        </w:tc>
      </w:tr>
      <w:tr>
        <w:trPr>
          <w:trHeight w:val="291"/>
        </w:trPr>
        <w:tc>
          <w:tcPr>
            <w:tcW w:w="622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Loyalty revenue - travel </w:t>
            </w:r>
            <w:r>
              <w:rPr>
                <w:rFonts w:ascii="Arial" w:cs="Arial" w:eastAsia="Arial" w:hAnsi="Arial"/>
                <w:sz w:val="12"/>
                <w:szCs w:val="12"/>
                <w:color w:val="00162F"/>
              </w:rPr>
              <w:t>(1)</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4,036</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3,843</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3,598</w:t>
            </w:r>
          </w:p>
        </w:tc>
      </w:tr>
      <w:tr>
        <w:trPr>
          <w:trHeight w:val="283"/>
        </w:trPr>
        <w:tc>
          <w:tcPr>
            <w:tcW w:w="6220" w:type="dxa"/>
            <w:vAlign w:val="bottom"/>
            <w:gridSpan w:val="2"/>
          </w:tcPr>
          <w:p>
            <w:pPr>
              <w:ind w:left="540"/>
              <w:spacing w:after="0"/>
              <w:rPr>
                <w:sz w:val="20"/>
                <w:szCs w:val="20"/>
                <w:color w:val="auto"/>
              </w:rPr>
            </w:pPr>
            <w:r>
              <w:rPr>
                <w:rFonts w:ascii="Arial" w:cs="Arial" w:eastAsia="Arial" w:hAnsi="Arial"/>
                <w:sz w:val="20"/>
                <w:szCs w:val="20"/>
                <w:color w:val="00162F"/>
              </w:rPr>
              <w:t>Total passenger revenue</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49,643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49,586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48,512</w:t>
            </w:r>
          </w:p>
        </w:tc>
      </w:tr>
      <w:tr>
        <w:trPr>
          <w:trHeight w:val="301"/>
        </w:trPr>
        <w:tc>
          <w:tcPr>
            <w:tcW w:w="62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Cargo</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839</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804</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812</w:t>
            </w:r>
          </w:p>
        </w:tc>
      </w:tr>
      <w:tr>
        <w:trPr>
          <w:trHeight w:val="293"/>
        </w:trPr>
        <w:tc>
          <w:tcPr>
            <w:tcW w:w="6220" w:type="dxa"/>
            <w:vAlign w:val="bottom"/>
            <w:gridSpan w:val="2"/>
          </w:tcPr>
          <w:p>
            <w:pPr>
              <w:ind w:left="40"/>
              <w:spacing w:after="0"/>
              <w:rPr>
                <w:sz w:val="20"/>
                <w:szCs w:val="20"/>
                <w:color w:val="auto"/>
              </w:rPr>
            </w:pPr>
            <w:r>
              <w:rPr>
                <w:rFonts w:ascii="Arial" w:cs="Arial" w:eastAsia="Arial" w:hAnsi="Arial"/>
                <w:sz w:val="20"/>
                <w:szCs w:val="20"/>
                <w:color w:val="00162F"/>
              </w:rPr>
              <w:t>Other:</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62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Loyalty revenue - marketing services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3,511</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3,257</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2,929</w:t>
            </w:r>
          </w:p>
        </w:tc>
      </w:tr>
      <w:tr>
        <w:trPr>
          <w:trHeight w:val="287"/>
        </w:trPr>
        <w:tc>
          <w:tcPr>
            <w:tcW w:w="6220" w:type="dxa"/>
            <w:vAlign w:val="bottom"/>
            <w:tcBorders>
              <w:bottom w:val="single" w:sz="8" w:color="EDEDED"/>
            </w:tcBorders>
            <w:gridSpan w:val="2"/>
          </w:tcPr>
          <w:p>
            <w:pPr>
              <w:ind w:left="260"/>
              <w:spacing w:after="0"/>
              <w:rPr>
                <w:sz w:val="20"/>
                <w:szCs w:val="20"/>
                <w:color w:val="auto"/>
              </w:rPr>
            </w:pPr>
            <w:r>
              <w:rPr>
                <w:rFonts w:ascii="Arial" w:cs="Arial" w:eastAsia="Arial" w:hAnsi="Arial"/>
                <w:sz w:val="20"/>
                <w:szCs w:val="20"/>
                <w:color w:val="00162F"/>
              </w:rPr>
              <w:t>Other revenue</w:t>
            </w: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633</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3"/>
              <w:spacing w:after="0"/>
              <w:rPr>
                <w:sz w:val="20"/>
                <w:szCs w:val="20"/>
                <w:color w:val="auto"/>
              </w:rPr>
            </w:pPr>
            <w:r>
              <w:rPr>
                <w:rFonts w:ascii="Arial" w:cs="Arial" w:eastAsia="Arial" w:hAnsi="Arial"/>
                <w:sz w:val="20"/>
                <w:szCs w:val="20"/>
                <w:color w:val="00162F"/>
              </w:rPr>
              <w:t>557</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531</w:t>
            </w:r>
          </w:p>
        </w:tc>
      </w:tr>
      <w:tr>
        <w:trPr>
          <w:trHeight w:val="277"/>
        </w:trPr>
        <w:tc>
          <w:tcPr>
            <w:tcW w:w="6220" w:type="dxa"/>
            <w:vAlign w:val="bottom"/>
            <w:tcBorders>
              <w:bottom w:val="single" w:sz="8" w:color="EDEDED"/>
            </w:tcBorders>
            <w:gridSpan w:val="2"/>
            <w:shd w:val="clear" w:color="auto" w:fill="EDEDED"/>
          </w:tcPr>
          <w:p>
            <w:pPr>
              <w:ind w:left="540"/>
              <w:spacing w:after="0"/>
              <w:rPr>
                <w:sz w:val="20"/>
                <w:szCs w:val="20"/>
                <w:color w:val="auto"/>
              </w:rPr>
            </w:pPr>
            <w:r>
              <w:rPr>
                <w:rFonts w:ascii="Arial" w:cs="Arial" w:eastAsia="Arial" w:hAnsi="Arial"/>
                <w:sz w:val="20"/>
                <w:szCs w:val="20"/>
                <w:color w:val="00162F"/>
              </w:rPr>
              <w:t>Total other revenue</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4,144</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3,814</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3,460</w:t>
            </w:r>
          </w:p>
        </w:tc>
      </w:tr>
      <w:tr>
        <w:trPr>
          <w:trHeight w:val="257"/>
        </w:trPr>
        <w:tc>
          <w:tcPr>
            <w:tcW w:w="6220" w:type="dxa"/>
            <w:vAlign w:val="bottom"/>
            <w:gridSpan w:val="2"/>
          </w:tcPr>
          <w:p>
            <w:pPr>
              <w:ind w:left="760"/>
              <w:spacing w:after="0"/>
              <w:rPr>
                <w:sz w:val="20"/>
                <w:szCs w:val="20"/>
                <w:color w:val="auto"/>
              </w:rPr>
            </w:pPr>
            <w:r>
              <w:rPr>
                <w:rFonts w:ascii="Arial" w:cs="Arial" w:eastAsia="Arial" w:hAnsi="Arial"/>
                <w:sz w:val="20"/>
                <w:szCs w:val="20"/>
                <w:color w:val="00162F"/>
              </w:rPr>
              <w:t>Total operating revenues</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54,626</w:t>
            </w:r>
          </w:p>
        </w:tc>
        <w:tc>
          <w:tcPr>
            <w:tcW w:w="80" w:type="dxa"/>
            <w:vAlign w:val="bottom"/>
          </w:tcPr>
          <w:p>
            <w:pPr>
              <w:spacing w:after="0"/>
              <w:rPr>
                <w:sz w:val="22"/>
                <w:szCs w:val="22"/>
                <w:color w:val="auto"/>
              </w:rPr>
            </w:pP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54,204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52,784</w:t>
            </w:r>
          </w:p>
        </w:tc>
      </w:tr>
      <w:tr>
        <w:trPr>
          <w:trHeight w:val="20"/>
        </w:trPr>
        <w:tc>
          <w:tcPr>
            <w:tcW w:w="19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1080" w:type="dxa"/>
            <w:vAlign w:val="bottom"/>
            <w:tcBorders>
              <w:top w:val="single" w:sz="8" w:color="00162F"/>
              <w:bottom w:val="single" w:sz="8" w:color="00162F"/>
            </w:tcBorders>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4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-2026285</wp:posOffset>
            </wp:positionV>
            <wp:extent cx="2887980" cy="501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1">
                      <a:extLst>
                        <a:ext uri="{28A0092B-C50C-407E-A947-70E740481C1C}"/>
                      </a:extLst>
                    </a:blip>
                    <a:srcRect/>
                    <a:stretch>
                      <a:fillRect/>
                    </a:stretch>
                  </pic:blipFill>
                  <pic:spPr bwMode="auto">
                    <a:xfrm>
                      <a:off x="0" y="0"/>
                      <a:ext cx="2887980" cy="5016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-153670</wp:posOffset>
            </wp:positionV>
            <wp:extent cx="1926590" cy="755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2">
                      <a:extLst>
                        <a:ext uri="{28A0092B-C50C-407E-A947-70E740481C1C}"/>
                      </a:extLst>
                    </a:blip>
                    <a:srcRect/>
                    <a:stretch>
                      <a:fillRect/>
                    </a:stretch>
                  </pic:blipFill>
                  <pic:spPr bwMode="auto">
                    <a:xfrm>
                      <a:off x="0" y="0"/>
                      <a:ext cx="1926590" cy="75565"/>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65" w:lineRule="auto"/>
        <w:tabs>
          <w:tab w:leader="none" w:pos="365" w:val="left"/>
        </w:tabs>
        <w:numPr>
          <w:ilvl w:val="0"/>
          <w:numId w:val="67"/>
        </w:numPr>
        <w:rPr>
          <w:rFonts w:ascii="Arial" w:cs="Arial" w:eastAsia="Arial" w:hAnsi="Arial"/>
          <w:sz w:val="13"/>
          <w:szCs w:val="13"/>
          <w:color w:val="00162F"/>
        </w:rPr>
      </w:pPr>
      <w:r>
        <w:rPr>
          <w:rFonts w:ascii="Arial" w:cs="Arial" w:eastAsia="Arial" w:hAnsi="Arial"/>
          <w:sz w:val="20"/>
          <w:szCs w:val="20"/>
          <w:color w:val="00162F"/>
        </w:rPr>
        <w:t>Loyalty revenue included in passenger revenue is principally comprised of mileage credit redemptions, which were earned from travel or co-branded credit card and other partners. See “</w:t>
      </w:r>
      <w:r>
        <w:rPr>
          <w:rFonts w:ascii="Arial" w:cs="Arial" w:eastAsia="Arial" w:hAnsi="Arial"/>
          <w:sz w:val="20"/>
          <w:szCs w:val="20"/>
          <w:i w:val="1"/>
          <w:iCs w:val="1"/>
          <w:color w:val="00162F"/>
        </w:rPr>
        <w:t>Loyalty Revenue”</w:t>
      </w:r>
      <w:r>
        <w:rPr>
          <w:rFonts w:ascii="Arial" w:cs="Arial" w:eastAsia="Arial" w:hAnsi="Arial"/>
          <w:sz w:val="20"/>
          <w:szCs w:val="20"/>
          <w:color w:val="00162F"/>
        </w:rPr>
        <w:t xml:space="preserve"> below for further discussion on these mileage credits.</w:t>
      </w:r>
    </w:p>
    <w:p>
      <w:pPr>
        <w:spacing w:after="0" w:line="129"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The following is American’s total passenger revenue by geographic region (in millions):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3040" w:type="dxa"/>
            <w:vAlign w:val="bottom"/>
            <w:tcBorders>
              <w:bottom w:val="single" w:sz="8" w:color="00162F"/>
            </w:tcBorders>
            <w:gridSpan w:val="6"/>
          </w:tcPr>
          <w:p>
            <w:pPr>
              <w:jc w:val="right"/>
              <w:ind w:right="81"/>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47"/>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64"/>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Domestic</w:t>
            </w:r>
          </w:p>
        </w:tc>
        <w:tc>
          <w:tcPr>
            <w:tcW w:w="340" w:type="dxa"/>
            <w:vAlign w:val="bottom"/>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35,201</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35,336</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jc w:val="right"/>
              <w:ind w:right="101"/>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34,592</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Latin America</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6,444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6,560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6,719</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Atlantic</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6,583</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6,445</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6,205</w:t>
            </w:r>
          </w:p>
        </w:tc>
      </w:tr>
      <w:tr>
        <w:trPr>
          <w:trHeight w:val="287"/>
        </w:trPr>
        <w:tc>
          <w:tcPr>
            <w:tcW w:w="622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Pacific</w:t>
            </w: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1,415</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4"/>
              <w:spacing w:after="0"/>
              <w:rPr>
                <w:sz w:val="20"/>
                <w:szCs w:val="20"/>
                <w:color w:val="auto"/>
              </w:rPr>
            </w:pPr>
            <w:r>
              <w:rPr>
                <w:rFonts w:ascii="Arial" w:cs="Arial" w:eastAsia="Arial" w:hAnsi="Arial"/>
                <w:sz w:val="20"/>
                <w:szCs w:val="20"/>
                <w:color w:val="00162F"/>
              </w:rPr>
              <w:t>1,245</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996</w:t>
            </w:r>
          </w:p>
        </w:tc>
      </w:tr>
      <w:tr>
        <w:trPr>
          <w:trHeight w:val="297"/>
        </w:trPr>
        <w:tc>
          <w:tcPr>
            <w:tcW w:w="622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Total passenger revenue</w:t>
            </w:r>
          </w:p>
        </w:tc>
        <w:tc>
          <w:tcPr>
            <w:tcW w:w="340" w:type="dxa"/>
            <w:vAlign w:val="bottom"/>
            <w:tcBorders>
              <w:bottom w:val="single" w:sz="8" w:color="00162F"/>
            </w:tcBorders>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49,643</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ind w:right="4"/>
              <w:spacing w:after="0"/>
              <w:rPr>
                <w:sz w:val="20"/>
                <w:szCs w:val="20"/>
                <w:color w:val="auto"/>
              </w:rPr>
            </w:pPr>
            <w:r>
              <w:rPr>
                <w:rFonts w:ascii="Arial" w:cs="Arial" w:eastAsia="Arial" w:hAnsi="Arial"/>
                <w:sz w:val="20"/>
                <w:szCs w:val="20"/>
                <w:color w:val="00162F"/>
              </w:rPr>
              <w:t>49,586</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jc w:val="right"/>
              <w:ind w:right="101"/>
              <w:spacing w:after="0"/>
              <w:rPr>
                <w:sz w:val="20"/>
                <w:szCs w:val="20"/>
                <w:color w:val="auto"/>
              </w:rPr>
            </w:pPr>
            <w:r>
              <w:rPr>
                <w:rFonts w:ascii="Arial" w:cs="Arial" w:eastAsia="Arial" w:hAnsi="Arial"/>
                <w:sz w:val="20"/>
                <w:szCs w:val="20"/>
                <w:color w:val="00162F"/>
              </w:rPr>
              <w:t>$</w:t>
            </w: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48,512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-986155</wp:posOffset>
            </wp:positionV>
            <wp:extent cx="2887980" cy="501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3">
                      <a:extLst>
                        <a:ext uri="{28A0092B-C50C-407E-A947-70E740481C1C}"/>
                      </a:extLst>
                    </a:blip>
                    <a:srcRect/>
                    <a:stretch>
                      <a:fillRect/>
                    </a:stretch>
                  </pic:blipFill>
                  <pic:spPr bwMode="auto">
                    <a:xfrm>
                      <a:off x="0" y="0"/>
                      <a:ext cx="2887980" cy="5016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-55880</wp:posOffset>
            </wp:positionV>
            <wp:extent cx="2887980" cy="755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4">
                      <a:extLst>
                        <a:ext uri="{28A0092B-C50C-407E-A947-70E740481C1C}"/>
                      </a:extLst>
                    </a:blip>
                    <a:srcRect/>
                    <a:stretch>
                      <a:fillRect/>
                    </a:stretch>
                  </pic:blipFill>
                  <pic:spPr bwMode="auto">
                    <a:xfrm>
                      <a:off x="0" y="0"/>
                      <a:ext cx="2887980" cy="75565"/>
                    </a:xfrm>
                    <a:prstGeom prst="rect">
                      <a:avLst/>
                    </a:prstGeom>
                    <a:noFill/>
                  </pic:spPr>
                </pic:pic>
              </a:graphicData>
            </a:graphic>
          </wp:anchor>
        </w:drawing>
      </w:r>
    </w:p>
    <w:p>
      <w:pPr>
        <w:spacing w:after="0" w:line="172"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American attributes passenger revenue by geographic region based upon the origin and destination of each flight segment.</w:t>
      </w:r>
    </w:p>
    <w:p>
      <w:pPr>
        <w:spacing w:after="0" w:line="201" w:lineRule="exact"/>
        <w:rPr>
          <w:sz w:val="20"/>
          <w:szCs w:val="20"/>
          <w:color w:val="auto"/>
        </w:rPr>
      </w:pPr>
    </w:p>
    <w:p>
      <w:pPr>
        <w:ind w:left="225"/>
        <w:spacing w:after="0"/>
        <w:rPr>
          <w:sz w:val="20"/>
          <w:szCs w:val="20"/>
          <w:color w:val="auto"/>
        </w:rPr>
      </w:pPr>
      <w:r>
        <w:rPr>
          <w:rFonts w:ascii="Arial" w:cs="Arial" w:eastAsia="Arial" w:hAnsi="Arial"/>
          <w:sz w:val="20"/>
          <w:szCs w:val="20"/>
          <w:b w:val="1"/>
          <w:bCs w:val="1"/>
          <w:color w:val="00162F"/>
        </w:rPr>
        <w:t>Passenger Revenue</w:t>
      </w:r>
    </w:p>
    <w:p>
      <w:pPr>
        <w:spacing w:after="0" w:line="97"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American recognizes all revenues generated from transportation on American and its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American’s consolidated balance sheets. The air traffic liability principally represents tickets sold for future travel on American, American Eagle and partner airlines.</w:t>
      </w:r>
    </w:p>
    <w:p>
      <w:pPr>
        <w:spacing w:after="0" w:line="139" w:lineRule="exact"/>
        <w:rPr>
          <w:sz w:val="20"/>
          <w:szCs w:val="20"/>
          <w:color w:val="auto"/>
        </w:rPr>
      </w:pPr>
    </w:p>
    <w:p>
      <w:pPr>
        <w:jc w:val="both"/>
        <w:ind w:left="5" w:firstLine="267"/>
        <w:spacing w:after="0" w:line="253" w:lineRule="auto"/>
        <w:rPr>
          <w:sz w:val="20"/>
          <w:szCs w:val="20"/>
          <w:color w:val="auto"/>
        </w:rPr>
      </w:pPr>
      <w:r>
        <w:rPr>
          <w:rFonts w:ascii="Arial" w:cs="Arial" w:eastAsia="Arial" w:hAnsi="Arial"/>
          <w:sz w:val="20"/>
          <w:szCs w:val="20"/>
          <w:color w:val="00162F"/>
        </w:rPr>
        <w:t>The majority of tickets sold are nonrefundable. A small percentage of tickets, some of which are partially used tickets, expire unused. The estimate for tickets expected to expire unused is generally based on an analysis of American’s historical data and other current applicable factors such as policy changes. American has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144"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Various taxes and fees assessed on the sale of tickets to end customers are collected by American as an agent and remitted to taxing authorities. These taxes and fees have been presented on a net basis in the accompanying consolidated statements of operations and recorded as a liability until remitted to the appropriate taxing authority.</w:t>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137</w:t>
      </w:r>
    </w:p>
    <w:p>
      <w:pPr>
        <w:sectPr>
          <w:pgSz w:w="11880" w:h="15480" w:orient="portrait"/>
          <w:cols w:equalWidth="0" w:num="1">
            <w:col w:w="10685"/>
          </w:cols>
          <w:pgMar w:left="595" w:top="249" w:right="600" w:bottom="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0162F"/>
        </w:rPr>
        <w:t>Loyalty Revenue</w:t>
      </w:r>
    </w:p>
    <w:p>
      <w:pPr>
        <w:spacing w:after="0" w:line="97"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American currently operates the loyalty program, AAdvantage</w:t>
      </w:r>
      <w:r>
        <w:rPr>
          <w:rFonts w:ascii="Arial" w:cs="Arial" w:eastAsia="Arial" w:hAnsi="Arial"/>
          <w:sz w:val="12"/>
          <w:szCs w:val="12"/>
          <w:color w:val="00162F"/>
        </w:rPr>
        <w:t>®</w:t>
      </w:r>
      <w:r>
        <w:rPr>
          <w:rFonts w:ascii="Arial" w:cs="Arial" w:eastAsia="Arial" w:hAnsi="Arial"/>
          <w:sz w:val="20"/>
          <w:szCs w:val="20"/>
          <w:color w:val="00162F"/>
        </w:rPr>
        <w:t xml:space="preserve">. This program awards mileage credits to passengers who fly on American, American Eagle, any </w:t>
      </w:r>
      <w:r>
        <w:rPr>
          <w:rFonts w:ascii="Arial" w:cs="Arial" w:eastAsia="Arial" w:hAnsi="Arial"/>
          <w:sz w:val="20"/>
          <w:szCs w:val="20"/>
          <w:b w:val="1"/>
          <w:bCs w:val="1"/>
          <w:color w:val="00162F"/>
        </w:rPr>
        <w:t>one</w:t>
      </w:r>
      <w:r>
        <w:rPr>
          <w:rFonts w:ascii="Arial" w:cs="Arial" w:eastAsia="Arial" w:hAnsi="Arial"/>
          <w:sz w:val="20"/>
          <w:szCs w:val="20"/>
          <w:color w:val="00162F"/>
        </w:rPr>
        <w:t>world airline or other partner airlines, or by using the services of other program participants, such as American’s co-branded credit cards, and certain hotels and car rental companies. Mileage credits can be redeemed for travel on American, American Eagle and other participating partner airlines, as well as for other non-air travel awards such as car rentals, hotel stays, cruises and retail goods from program partners. For mileage credits earned by AAdvantage program members, American applies the deferred revenue method.</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00162F"/>
        </w:rPr>
        <w:t>Mileage credits earned through travel</w:t>
      </w:r>
    </w:p>
    <w:p>
      <w:pPr>
        <w:spacing w:after="0" w:line="95"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For mileage credits earned through travel, American applies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cash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00162F"/>
        </w:rPr>
        <w:t>Mileage credits sold to co-branded credit card and other partners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American sells mileage credits to participating airline partners and non-airline business partners, including American’s co-branded credit card partner, under contracts with remaining terms generally from one to 10 years as of December 31, 2025. Consideration received from the sale of mileage credits is predominantly variable and payment terms typically are within 30 days subsequent to the month of mileage sale. Sales of mileage credits to co-branded credit card and non-airline business partners are comprised of two revenue elements: a transportation component and a marketing component. American allocates the consideration received from these sales of mileage credits based on the relative selling price of each product or service delivered.</w:t>
      </w:r>
    </w:p>
    <w:p>
      <w:pPr>
        <w:spacing w:after="0" w:line="144"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American’s most significant mileage credit partner agreement is its co-branded credit card agreement with Citibank N.A. (Citi). In December 2024, American announced a 10-year agreement with Citi and Citi became the exclusive issuer of the AAdvantage co-branded credit card portfolio in the U.S. starting in 2026.</w:t>
      </w:r>
    </w:p>
    <w:p>
      <w:pPr>
        <w:spacing w:after="0" w:line="12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36"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The marketing component includes the use of intellectual property, including the American brand and access to loyalty program member lists, which is the predominant element in these agreements, as well as advertising and other travel-related benefits. American recognizes the marketing component in other revenue in the period of the mileage credit sale following the sales-based royalty method.</w:t>
      </w:r>
    </w:p>
    <w:p>
      <w:pPr>
        <w:spacing w:after="0" w:line="136"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For the portion of American’s outstanding mileage credits that it estimates will not be redeemed, American recognizes the associated value proportionally as the remaining mileage credits are redeemed. American’s estimates use a statistical model based on historical redemption patterns to develop an estimate of the likelihood of future redemption.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0162F"/>
        </w:rPr>
        <w:t>Cargo Revenue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Cargo revenue is recognized when American provides the transportation.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00162F"/>
        </w:rPr>
        <w:t>Other Revenue</w:t>
      </w:r>
    </w:p>
    <w:p>
      <w:pPr>
        <w:spacing w:after="0" w:line="97"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Other revenue includes revenue associated with American’s loyalty program, which is comprised principally of the marketing component of mileage credit sales to co-branded credit card and other partners and other marketing related payments. The accounting and recognition for the loyalty program marketing services are discussed above in “</w:t>
      </w:r>
      <w:r>
        <w:rPr>
          <w:rFonts w:ascii="Arial" w:cs="Arial" w:eastAsia="Arial" w:hAnsi="Arial"/>
          <w:sz w:val="20"/>
          <w:szCs w:val="20"/>
          <w:i w:val="1"/>
          <w:iCs w:val="1"/>
          <w:color w:val="00162F"/>
        </w:rPr>
        <w:t>Loyalty</w:t>
      </w:r>
      <w:r>
        <w:rPr>
          <w:rFonts w:ascii="Arial" w:cs="Arial" w:eastAsia="Arial" w:hAnsi="Arial"/>
          <w:sz w:val="20"/>
          <w:szCs w:val="20"/>
          <w:color w:val="00162F"/>
        </w:rPr>
        <w:t xml:space="preserve"> </w:t>
      </w:r>
      <w:r>
        <w:rPr>
          <w:rFonts w:ascii="Arial" w:cs="Arial" w:eastAsia="Arial" w:hAnsi="Arial"/>
          <w:sz w:val="20"/>
          <w:szCs w:val="20"/>
          <w:i w:val="1"/>
          <w:iCs w:val="1"/>
          <w:color w:val="00162F"/>
        </w:rPr>
        <w:t>Revenue</w:t>
      </w:r>
      <w:r>
        <w:rPr>
          <w:rFonts w:ascii="Arial" w:cs="Arial" w:eastAsia="Arial" w:hAnsi="Arial"/>
          <w:sz w:val="20"/>
          <w:szCs w:val="20"/>
          <w:color w:val="00162F"/>
        </w:rPr>
        <w:t>.” The remaining amounts included within other revenue relate to airport clubs, other commission revenue,</w:t>
      </w:r>
      <w:r>
        <w:rPr>
          <w:rFonts w:ascii="Arial" w:cs="Arial" w:eastAsia="Arial" w:hAnsi="Arial"/>
          <w:sz w:val="20"/>
          <w:szCs w:val="20"/>
          <w:i w:val="1"/>
          <w:iCs w:val="1"/>
          <w:color w:val="00162F"/>
        </w:rPr>
        <w:t xml:space="preserve"> </w:t>
      </w:r>
      <w:r>
        <w:rPr>
          <w:rFonts w:ascii="Arial" w:cs="Arial" w:eastAsia="Arial" w:hAnsi="Arial"/>
          <w:sz w:val="20"/>
          <w:szCs w:val="20"/>
          <w:color w:val="00162F"/>
        </w:rPr>
        <w:t>advertising and vacation-related services.</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138</w:t>
      </w:r>
    </w:p>
    <w:p>
      <w:pPr>
        <w:sectPr>
          <w:pgSz w:w="11880" w:h="15480" w:orient="portrait"/>
          <w:cols w:equalWidth="0" w:num="1">
            <w:col w:w="10680"/>
          </w:cols>
          <w:pgMar w:left="600" w:top="249" w:right="600" w:bottom="0" w:gutter="0" w:footer="0" w:header="0"/>
          <w:type w:val="continuous"/>
        </w:sectPr>
      </w:pPr>
    </w:p>
    <w:bookmarkStart w:id="139" w:name="page140"/>
    <w:bookmarkEnd w:id="139"/>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5" w:lineRule="exact"/>
        <w:rPr>
          <w:sz w:val="20"/>
          <w:szCs w:val="20"/>
          <w:color w:val="auto"/>
        </w:rPr>
      </w:pPr>
    </w:p>
    <w:p>
      <w:pPr>
        <w:ind w:left="265"/>
        <w:spacing w:after="0"/>
        <w:rPr>
          <w:sz w:val="20"/>
          <w:szCs w:val="20"/>
          <w:color w:val="auto"/>
        </w:rPr>
      </w:pPr>
      <w:r>
        <w:rPr>
          <w:rFonts w:ascii="Arial" w:cs="Arial" w:eastAsia="Arial" w:hAnsi="Arial"/>
          <w:sz w:val="20"/>
          <w:szCs w:val="20"/>
          <w:i w:val="1"/>
          <w:iCs w:val="1"/>
          <w:u w:val="single" w:color="auto"/>
          <w:color w:val="00162F"/>
        </w:rPr>
        <w:t>Contract Balances</w:t>
      </w:r>
    </w:p>
    <w:p>
      <w:pPr>
        <w:spacing w:after="0" w:line="95"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American’s significant contract liabilities are comprised of (1) outstanding loyalty program mileage credits that may be redeemed for future air travel, non-air travel and other awards, reported as loyalty program liability on American’s consolidated balance sheets and (2) ticket sales for transportation that has not yet been provided, reported as air traffic liability on American’s consolidated balance sheets.</w:t>
      </w:r>
    </w:p>
    <w:p>
      <w:pPr>
        <w:spacing w:after="0" w:line="14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400" w:type="dxa"/>
            <w:vAlign w:val="bottom"/>
            <w:tcBorders>
              <w:bottom w:val="single" w:sz="8" w:color="00162F"/>
            </w:tcBorders>
          </w:tcPr>
          <w:p>
            <w:pPr>
              <w:spacing w:after="0"/>
              <w:rPr>
                <w:sz w:val="18"/>
                <w:szCs w:val="18"/>
                <w:color w:val="auto"/>
              </w:rPr>
            </w:pPr>
          </w:p>
        </w:tc>
        <w:tc>
          <w:tcPr>
            <w:tcW w:w="1920" w:type="dxa"/>
            <w:vAlign w:val="bottom"/>
            <w:tcBorders>
              <w:bottom w:val="single" w:sz="8" w:color="00162F"/>
            </w:tcBorders>
            <w:gridSpan w:val="3"/>
          </w:tcPr>
          <w:p>
            <w:pPr>
              <w:jc w:val="right"/>
              <w:ind w:right="1"/>
              <w:spacing w:after="0"/>
              <w:rPr>
                <w:sz w:val="20"/>
                <w:szCs w:val="20"/>
                <w:color w:val="auto"/>
              </w:rPr>
            </w:pPr>
            <w:r>
              <w:rPr>
                <w:rFonts w:ascii="Arial" w:cs="Arial" w:eastAsia="Arial" w:hAnsi="Arial"/>
                <w:sz w:val="16"/>
                <w:szCs w:val="16"/>
                <w:b w:val="1"/>
                <w:bCs w:val="1"/>
                <w:color w:val="00162F"/>
              </w:rPr>
              <w:t>December 31,</w:t>
            </w:r>
          </w:p>
        </w:tc>
        <w:tc>
          <w:tcPr>
            <w:tcW w:w="1100" w:type="dxa"/>
            <w:vAlign w:val="bottom"/>
            <w:tcBorders>
              <w:bottom w:val="single" w:sz="8" w:color="00162F"/>
            </w:tcBorders>
          </w:tcPr>
          <w:p>
            <w:pPr>
              <w:spacing w:after="0"/>
              <w:rPr>
                <w:sz w:val="18"/>
                <w:szCs w:val="18"/>
                <w:color w:val="auto"/>
              </w:rPr>
            </w:pPr>
          </w:p>
        </w:tc>
      </w:tr>
      <w:tr>
        <w:trPr>
          <w:trHeight w:val="232"/>
        </w:trPr>
        <w:tc>
          <w:tcPr>
            <w:tcW w:w="7260" w:type="dxa"/>
            <w:vAlign w:val="bottom"/>
          </w:tcPr>
          <w:p>
            <w:pPr>
              <w:spacing w:after="0"/>
              <w:rPr>
                <w:sz w:val="20"/>
                <w:szCs w:val="20"/>
                <w:color w:val="auto"/>
              </w:rPr>
            </w:pPr>
          </w:p>
        </w:tc>
        <w:tc>
          <w:tcPr>
            <w:tcW w:w="400" w:type="dxa"/>
            <w:vAlign w:val="bottom"/>
            <w:tcBorders>
              <w:bottom w:val="single" w:sz="8" w:color="00162F"/>
            </w:tcBorders>
          </w:tcPr>
          <w:p>
            <w:pPr>
              <w:spacing w:after="0"/>
              <w:rPr>
                <w:sz w:val="20"/>
                <w:szCs w:val="20"/>
                <w:color w:val="auto"/>
              </w:rPr>
            </w:pPr>
          </w:p>
        </w:tc>
        <w:tc>
          <w:tcPr>
            <w:tcW w:w="1280" w:type="dxa"/>
            <w:vAlign w:val="bottom"/>
            <w:tcBorders>
              <w:bottom w:val="single" w:sz="8" w:color="00162F"/>
            </w:tcBorders>
          </w:tcPr>
          <w:p>
            <w:pPr>
              <w:jc w:val="right"/>
              <w:ind w:right="591"/>
              <w:spacing w:after="0"/>
              <w:rPr>
                <w:sz w:val="20"/>
                <w:szCs w:val="20"/>
                <w:color w:val="auto"/>
              </w:rPr>
            </w:pPr>
            <w:r>
              <w:rPr>
                <w:rFonts w:ascii="Arial" w:cs="Arial" w:eastAsia="Arial" w:hAnsi="Arial"/>
                <w:sz w:val="16"/>
                <w:szCs w:val="16"/>
                <w:b w:val="1"/>
                <w:bCs w:val="1"/>
                <w:color w:val="00162F"/>
              </w:rPr>
              <w:t>2025</w:t>
            </w:r>
          </w:p>
        </w:tc>
        <w:tc>
          <w:tcPr>
            <w:tcW w:w="60" w:type="dxa"/>
            <w:vAlign w:val="bottom"/>
          </w:tcPr>
          <w:p>
            <w:pPr>
              <w:spacing w:after="0"/>
              <w:rPr>
                <w:sz w:val="20"/>
                <w:szCs w:val="20"/>
                <w:color w:val="auto"/>
              </w:rPr>
            </w:pPr>
          </w:p>
        </w:tc>
        <w:tc>
          <w:tcPr>
            <w:tcW w:w="5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566"/>
              <w:spacing w:after="0"/>
              <w:rPr>
                <w:sz w:val="20"/>
                <w:szCs w:val="20"/>
                <w:color w:val="auto"/>
              </w:rPr>
            </w:pPr>
            <w:r>
              <w:rPr>
                <w:rFonts w:ascii="Arial" w:cs="Arial" w:eastAsia="Arial" w:hAnsi="Arial"/>
                <w:sz w:val="16"/>
                <w:szCs w:val="16"/>
                <w:b w:val="1"/>
                <w:bCs w:val="1"/>
                <w:color w:val="00162F"/>
              </w:rPr>
              <w:t>2024</w:t>
            </w:r>
          </w:p>
        </w:tc>
      </w:tr>
      <w:tr>
        <w:trPr>
          <w:trHeight w:val="270"/>
        </w:trPr>
        <w:tc>
          <w:tcPr>
            <w:tcW w:w="7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20" w:type="dxa"/>
            <w:vAlign w:val="bottom"/>
            <w:gridSpan w:val="3"/>
          </w:tcPr>
          <w:p>
            <w:pPr>
              <w:jc w:val="right"/>
              <w:ind w:right="41"/>
              <w:spacing w:after="0"/>
              <w:rPr>
                <w:sz w:val="20"/>
                <w:szCs w:val="20"/>
                <w:color w:val="auto"/>
              </w:rPr>
            </w:pPr>
            <w:r>
              <w:rPr>
                <w:rFonts w:ascii="Arial" w:cs="Arial" w:eastAsia="Arial" w:hAnsi="Arial"/>
                <w:sz w:val="16"/>
                <w:szCs w:val="16"/>
                <w:b w:val="1"/>
                <w:bCs w:val="1"/>
                <w:color w:val="00162F"/>
              </w:rPr>
              <w:t>(In millions)</w:t>
            </w:r>
          </w:p>
        </w:tc>
        <w:tc>
          <w:tcPr>
            <w:tcW w:w="1100" w:type="dxa"/>
            <w:vAlign w:val="bottom"/>
          </w:tcPr>
          <w:p>
            <w:pPr>
              <w:spacing w:after="0"/>
              <w:rPr>
                <w:sz w:val="23"/>
                <w:szCs w:val="23"/>
                <w:color w:val="auto"/>
              </w:rPr>
            </w:pPr>
          </w:p>
        </w:tc>
      </w:tr>
      <w:tr>
        <w:trPr>
          <w:trHeight w:val="285"/>
        </w:trPr>
        <w:tc>
          <w:tcPr>
            <w:tcW w:w="72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Loyalty program liability</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10,564</w:t>
            </w:r>
          </w:p>
        </w:tc>
        <w:tc>
          <w:tcPr>
            <w:tcW w:w="640" w:type="dxa"/>
            <w:vAlign w:val="bottom"/>
            <w:gridSpan w:val="2"/>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10,054</w:t>
            </w:r>
          </w:p>
        </w:tc>
      </w:tr>
      <w:tr>
        <w:trPr>
          <w:trHeight w:val="272"/>
        </w:trPr>
        <w:tc>
          <w:tcPr>
            <w:tcW w:w="726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Air traffic liability</w:t>
            </w:r>
          </w:p>
        </w:tc>
        <w:tc>
          <w:tcPr>
            <w:tcW w:w="400" w:type="dxa"/>
            <w:vAlign w:val="bottom"/>
            <w:tcBorders>
              <w:bottom w:val="single" w:sz="8" w:color="00162F"/>
            </w:tcBorders>
          </w:tcPr>
          <w:p>
            <w:pPr>
              <w:spacing w:after="0"/>
              <w:rPr>
                <w:sz w:val="23"/>
                <w:szCs w:val="23"/>
                <w:color w:val="auto"/>
              </w:rPr>
            </w:pPr>
          </w:p>
        </w:tc>
        <w:tc>
          <w:tcPr>
            <w:tcW w:w="12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7,158</w:t>
            </w:r>
          </w:p>
        </w:tc>
        <w:tc>
          <w:tcPr>
            <w:tcW w:w="60" w:type="dxa"/>
            <w:vAlign w:val="bottom"/>
            <w:tcBorders>
              <w:bottom w:val="single" w:sz="8" w:color="EDEDED"/>
            </w:tcBorders>
          </w:tcPr>
          <w:p>
            <w:pPr>
              <w:spacing w:after="0"/>
              <w:rPr>
                <w:sz w:val="23"/>
                <w:szCs w:val="23"/>
                <w:color w:val="auto"/>
              </w:rPr>
            </w:pPr>
          </w:p>
        </w:tc>
        <w:tc>
          <w:tcPr>
            <w:tcW w:w="580" w:type="dxa"/>
            <w:vAlign w:val="bottom"/>
            <w:tcBorders>
              <w:bottom w:val="single" w:sz="8" w:color="00162F"/>
            </w:tcBorders>
          </w:tcPr>
          <w:p>
            <w:pPr>
              <w:spacing w:after="0"/>
              <w:rPr>
                <w:sz w:val="23"/>
                <w:szCs w:val="23"/>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6,759</w:t>
            </w:r>
          </w:p>
        </w:tc>
      </w:tr>
      <w:tr>
        <w:trPr>
          <w:trHeight w:val="282"/>
        </w:trPr>
        <w:tc>
          <w:tcPr>
            <w:tcW w:w="726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Total</w:t>
            </w:r>
          </w:p>
        </w:tc>
        <w:tc>
          <w:tcPr>
            <w:tcW w:w="400" w:type="dxa"/>
            <w:vAlign w:val="bottom"/>
            <w:tcBorders>
              <w:bottom w:val="single" w:sz="8" w:color="00162F"/>
            </w:tcBorders>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17,722</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16,813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-760095</wp:posOffset>
            </wp:positionV>
            <wp:extent cx="97155" cy="565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5">
                      <a:extLst>
                        <a:ext uri="{28A0092B-C50C-407E-A947-70E740481C1C}"/>
                      </a:extLst>
                    </a:blip>
                    <a:srcRect/>
                    <a:stretch>
                      <a:fillRect/>
                    </a:stretch>
                  </pic:blipFill>
                  <pic:spPr bwMode="auto">
                    <a:xfrm>
                      <a:off x="0" y="0"/>
                      <a:ext cx="97155" cy="5651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-222250</wp:posOffset>
            </wp:positionV>
            <wp:extent cx="1137920" cy="501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6">
                      <a:extLst>
                        <a:ext uri="{28A0092B-C50C-407E-A947-70E740481C1C}"/>
                      </a:extLst>
                    </a:blip>
                    <a:srcRect/>
                    <a:stretch>
                      <a:fillRect/>
                    </a:stretch>
                  </pic:blipFill>
                  <pic:spPr bwMode="auto">
                    <a:xfrm>
                      <a:off x="0" y="0"/>
                      <a:ext cx="1137920" cy="5016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-55880</wp:posOffset>
            </wp:positionV>
            <wp:extent cx="2228215" cy="755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7">
                      <a:extLst>
                        <a:ext uri="{28A0092B-C50C-407E-A947-70E740481C1C}"/>
                      </a:extLst>
                    </a:blip>
                    <a:srcRect/>
                    <a:stretch>
                      <a:fillRect/>
                    </a:stretch>
                  </pic:blipFill>
                  <pic:spPr bwMode="auto">
                    <a:xfrm>
                      <a:off x="0" y="0"/>
                      <a:ext cx="2228215" cy="75565"/>
                    </a:xfrm>
                    <a:prstGeom prst="rect">
                      <a:avLst/>
                    </a:prstGeom>
                    <a:noFill/>
                  </pic:spPr>
                </pic:pic>
              </a:graphicData>
            </a:graphic>
          </wp:anchor>
        </w:drawing>
      </w:r>
    </w:p>
    <w:p>
      <w:pPr>
        <w:spacing w:after="0" w:line="172"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84" w:lineRule="exact"/>
        <w:rPr>
          <w:sz w:val="20"/>
          <w:szCs w:val="20"/>
          <w:color w:val="auto"/>
        </w:rPr>
      </w:pPr>
    </w:p>
    <w:tbl>
      <w:tblPr>
        <w:tblLayout w:type="fixed"/>
        <w:tblInd w:w="5" w:type="dxa"/>
        <w:tblCellMar>
          <w:top w:w="0" w:type="dxa"/>
          <w:left w:w="0" w:type="dxa"/>
          <w:bottom w:w="0" w:type="dxa"/>
          <w:right w:w="0" w:type="dxa"/>
        </w:tblCellMar>
      </w:tblPr>
      <w:tr>
        <w:trPr>
          <w:trHeight w:val="282"/>
        </w:trPr>
        <w:tc>
          <w:tcPr>
            <w:tcW w:w="9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Balance at December 31, 2024</w:t>
            </w:r>
          </w:p>
        </w:tc>
        <w:tc>
          <w:tcPr>
            <w:tcW w:w="580" w:type="dxa"/>
            <w:vAlign w:val="bottom"/>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10,054</w:t>
            </w:r>
          </w:p>
        </w:tc>
      </w:tr>
      <w:tr>
        <w:trPr>
          <w:trHeight w:val="278"/>
        </w:trPr>
        <w:tc>
          <w:tcPr>
            <w:tcW w:w="9000" w:type="dxa"/>
            <w:vAlign w:val="bottom"/>
            <w:gridSpan w:val="2"/>
          </w:tcPr>
          <w:p>
            <w:pPr>
              <w:ind w:left="260"/>
              <w:spacing w:after="0"/>
              <w:rPr>
                <w:sz w:val="20"/>
                <w:szCs w:val="20"/>
                <w:color w:val="auto"/>
              </w:rPr>
            </w:pPr>
            <w:r>
              <w:rPr>
                <w:rFonts w:ascii="Arial" w:cs="Arial" w:eastAsia="Arial" w:hAnsi="Arial"/>
                <w:sz w:val="20"/>
                <w:szCs w:val="20"/>
                <w:color w:val="00162F"/>
              </w:rPr>
              <w:t>Deferral of revenue</w:t>
            </w: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4,445</w:t>
            </w:r>
          </w:p>
        </w:tc>
      </w:tr>
      <w:tr>
        <w:trPr>
          <w:trHeight w:val="296"/>
        </w:trPr>
        <w:tc>
          <w:tcPr>
            <w:tcW w:w="900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Recognition of revenue </w:t>
            </w:r>
            <w:r>
              <w:rPr>
                <w:rFonts w:ascii="Arial" w:cs="Arial" w:eastAsia="Arial" w:hAnsi="Arial"/>
                <w:sz w:val="12"/>
                <w:szCs w:val="12"/>
                <w:color w:val="00162F"/>
              </w:rPr>
              <w:t>(1)</w:t>
            </w:r>
          </w:p>
        </w:tc>
        <w:tc>
          <w:tcPr>
            <w:tcW w:w="58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(3,935)</w:t>
            </w:r>
          </w:p>
        </w:tc>
      </w:tr>
      <w:tr>
        <w:trPr>
          <w:trHeight w:val="222"/>
        </w:trPr>
        <w:tc>
          <w:tcPr>
            <w:tcW w:w="9000" w:type="dxa"/>
            <w:vAlign w:val="bottom"/>
            <w:gridSpan w:val="2"/>
          </w:tcPr>
          <w:p>
            <w:pPr>
              <w:ind w:left="40"/>
              <w:spacing w:after="0" w:line="222" w:lineRule="exact"/>
              <w:rPr>
                <w:sz w:val="20"/>
                <w:szCs w:val="20"/>
                <w:color w:val="auto"/>
              </w:rPr>
            </w:pPr>
            <w:r>
              <w:rPr>
                <w:rFonts w:ascii="Arial" w:cs="Arial" w:eastAsia="Arial" w:hAnsi="Arial"/>
                <w:sz w:val="20"/>
                <w:szCs w:val="20"/>
                <w:color w:val="00162F"/>
              </w:rPr>
              <w:t xml:space="preserve">Balance at December 31, 2025 </w:t>
            </w:r>
            <w:r>
              <w:rPr>
                <w:rFonts w:ascii="Arial" w:cs="Arial" w:eastAsia="Arial" w:hAnsi="Arial"/>
                <w:sz w:val="12"/>
                <w:szCs w:val="12"/>
                <w:color w:val="00162F"/>
              </w:rPr>
              <w:t>(2)</w:t>
            </w:r>
          </w:p>
        </w:tc>
        <w:tc>
          <w:tcPr>
            <w:tcW w:w="580" w:type="dxa"/>
            <w:vAlign w:val="bottom"/>
            <w:tcBorders>
              <w:bottom w:val="single" w:sz="8" w:color="00162F"/>
            </w:tcBorders>
          </w:tcPr>
          <w:p>
            <w:pPr>
              <w:jc w:val="right"/>
              <w:ind w:right="321"/>
              <w:spacing w:after="0" w:line="222" w:lineRule="exact"/>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tcPr>
          <w:p>
            <w:pPr>
              <w:jc w:val="right"/>
              <w:spacing w:after="0" w:line="222" w:lineRule="exact"/>
              <w:rPr>
                <w:sz w:val="20"/>
                <w:szCs w:val="20"/>
                <w:color w:val="auto"/>
              </w:rPr>
            </w:pPr>
            <w:r>
              <w:rPr>
                <w:rFonts w:ascii="Arial" w:cs="Arial" w:eastAsia="Arial" w:hAnsi="Arial"/>
                <w:sz w:val="20"/>
                <w:szCs w:val="20"/>
                <w:color w:val="00162F"/>
              </w:rPr>
              <w:t>10,564</w:t>
            </w:r>
          </w:p>
        </w:tc>
      </w:tr>
      <w:tr>
        <w:trPr>
          <w:trHeight w:val="20"/>
        </w:trPr>
        <w:tc>
          <w:tcPr>
            <w:tcW w:w="19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Borders>
              <w:bottom w:val="single" w:sz="8" w:color="00162F"/>
            </w:tcBorders>
          </w:tcPr>
          <w:p>
            <w:pPr>
              <w:spacing w:after="0" w:line="20" w:lineRule="exact"/>
              <w:rPr>
                <w:sz w:val="1"/>
                <w:szCs w:val="1"/>
                <w:color w:val="auto"/>
              </w:rPr>
            </w:pPr>
          </w:p>
        </w:tc>
        <w:tc>
          <w:tcPr>
            <w:tcW w:w="1100" w:type="dxa"/>
            <w:vAlign w:val="bottom"/>
            <w:tcBorders>
              <w:bottom w:val="single" w:sz="8" w:color="00162F"/>
            </w:tcBorders>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7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20" w:lineRule="exact"/>
        <w:rPr>
          <w:sz w:val="20"/>
          <w:szCs w:val="20"/>
          <w:color w:val="auto"/>
        </w:rPr>
      </w:pPr>
    </w:p>
    <w:p>
      <w:pPr>
        <w:spacing w:after="0" w:line="14" w:lineRule="exact"/>
        <w:rPr>
          <w:sz w:val="20"/>
          <w:szCs w:val="20"/>
          <w:color w:val="auto"/>
        </w:rPr>
      </w:pPr>
    </w:p>
    <w:p>
      <w:pPr>
        <w:jc w:val="both"/>
        <w:ind w:left="365" w:hanging="365"/>
        <w:spacing w:after="0" w:line="259" w:lineRule="auto"/>
        <w:tabs>
          <w:tab w:leader="none" w:pos="365" w:val="left"/>
        </w:tabs>
        <w:numPr>
          <w:ilvl w:val="0"/>
          <w:numId w:val="68"/>
        </w:numPr>
        <w:rPr>
          <w:rFonts w:ascii="Arial" w:cs="Arial" w:eastAsia="Arial" w:hAnsi="Arial"/>
          <w:sz w:val="13"/>
          <w:szCs w:val="13"/>
          <w:color w:val="00162F"/>
        </w:rPr>
      </w:pPr>
      <w:r>
        <w:rPr>
          <w:rFonts w:ascii="Arial" w:cs="Arial" w:eastAsia="Arial" w:hAnsi="Arial"/>
          <w:sz w:val="20"/>
          <w:szCs w:val="20"/>
          <w:color w:val="00162F"/>
        </w:rPr>
        <w:t>Principally relates to revenue recognized from the redemption of mileage credits for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35" w:lineRule="exact"/>
        <w:rPr>
          <w:rFonts w:ascii="Arial" w:cs="Arial" w:eastAsia="Arial" w:hAnsi="Arial"/>
          <w:sz w:val="13"/>
          <w:szCs w:val="13"/>
          <w:color w:val="00162F"/>
        </w:rPr>
      </w:pPr>
    </w:p>
    <w:p>
      <w:pPr>
        <w:jc w:val="both"/>
        <w:ind w:left="365" w:hanging="365"/>
        <w:spacing w:after="0" w:line="254" w:lineRule="auto"/>
        <w:tabs>
          <w:tab w:leader="none" w:pos="365" w:val="left"/>
        </w:tabs>
        <w:numPr>
          <w:ilvl w:val="0"/>
          <w:numId w:val="68"/>
        </w:numPr>
        <w:rPr>
          <w:rFonts w:ascii="Arial" w:cs="Arial" w:eastAsia="Arial" w:hAnsi="Arial"/>
          <w:sz w:val="13"/>
          <w:szCs w:val="13"/>
          <w:color w:val="00162F"/>
        </w:rPr>
      </w:pPr>
      <w:r>
        <w:rPr>
          <w:rFonts w:ascii="Arial" w:cs="Arial" w:eastAsia="Arial" w:hAnsi="Arial"/>
          <w:sz w:val="20"/>
          <w:szCs w:val="20"/>
          <w:color w:val="00162F"/>
        </w:rPr>
        <w:t>Mileage credits can be redeemed at any time and generally do not expire as long as the AAdvantage member has any type of qualifying activity at least every 24 months or if the AAdvantage member is the primary holder of a co-branded credit card. As of December 31, 2025, American’s current loyalty program liability was $3.7 billion and represents American’s current estimate of revenue expected to be recognized in the next 12 months based on historical trends, with the balance reflected in long-term loyalty program liability expected to be recognized as revenue in periods thereafter.</w:t>
      </w:r>
    </w:p>
    <w:p>
      <w:pPr>
        <w:spacing w:after="0" w:line="143"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Additionally, as of December 31, 2025 and 2024, American’s loyalty program liability includes a one-time cash payment related to the new co-branded credit card agreement announced in December 2024, which will be amortized over the life of the new agreement beginning in 2026.</w:t>
      </w:r>
    </w:p>
    <w:p>
      <w:pPr>
        <w:spacing w:after="0" w:line="129"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The air traffic liability principally represents tickets sold for future travel on American, American Eagle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2025, $5.1 billion of revenue was recognized in passenger revenue that was included in American’s air traffic liability at December 31, 2024.</w:t>
      </w:r>
    </w:p>
    <w:p>
      <w:pPr>
        <w:spacing w:after="0" w:line="230"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(n) Maintenance, Materials and Repairs</w:t>
      </w:r>
    </w:p>
    <w:p>
      <w:pPr>
        <w:spacing w:after="0" w:line="95"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Maintenance and repair costs for owned and leased flight equipment are charged to operating expense as incurred, except costs incurred for maintenance and repair under certain power-by-the-hour maintenance agreements, which are charged to operating expense based on contractual terms when an obligation exists.</w:t>
      </w:r>
    </w:p>
    <w:p>
      <w:pPr>
        <w:spacing w:after="0" w:line="219"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(o) Selling Expenses</w:t>
      </w:r>
    </w:p>
    <w:p>
      <w:pPr>
        <w:spacing w:after="0" w:line="95"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Selling expenses include credit card fees, commissions, third party distribution channel fees and advertising. Selling expenses associated with passenger revenue are expensed when the transportation or service is provided. Advertising costs are expensed as incurred. Advertising expense was $200 million, $143 million and $114 million for the years ended December 31, 2025, 2024 and 2023, respectively.</w:t>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139</w:t>
      </w:r>
    </w:p>
    <w:p>
      <w:pPr>
        <w:sectPr>
          <w:pgSz w:w="11880" w:h="15480" w:orient="portrait"/>
          <w:cols w:equalWidth="0" w:num="1">
            <w:col w:w="10685"/>
          </w:cols>
          <w:pgMar w:left="595" w:top="249" w:right="600" w:bottom="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(p) Share-based Compensation</w:t>
      </w:r>
    </w:p>
    <w:p>
      <w:pPr>
        <w:spacing w:after="0" w:line="95" w:lineRule="exact"/>
        <w:rPr>
          <w:sz w:val="20"/>
          <w:szCs w:val="20"/>
          <w:color w:val="auto"/>
        </w:rPr>
      </w:pPr>
    </w:p>
    <w:p>
      <w:pPr>
        <w:jc w:val="both"/>
        <w:ind w:firstLine="267"/>
        <w:spacing w:after="0" w:line="269" w:lineRule="auto"/>
        <w:rPr>
          <w:sz w:val="20"/>
          <w:szCs w:val="20"/>
          <w:color w:val="auto"/>
        </w:rPr>
      </w:pPr>
      <w:r>
        <w:rPr>
          <w:rFonts w:ascii="Arial" w:cs="Arial" w:eastAsia="Arial" w:hAnsi="Arial"/>
          <w:sz w:val="19"/>
          <w:szCs w:val="19"/>
          <w:color w:val="00162F"/>
        </w:rPr>
        <w:t>American accounts for its share-based compensation expense based on the fair value of the equity award at the time of grant, which is recognized ratably over the vesting period of the award. Certain awards have performance conditions that must be achieved prior to vesting and are expensed based on the expected achievement at each reporting period. The majority of American’s equity awards are time vested restricted stock units. For equity-classified awards, the fair value of such awards is based on the market price of the underlying shares of AAG common stock on the date of grant and is not subsequently remeasured unless modified. For liability-classified awards, the fair value of such awards is remeasured at the end of each reporting period until settled. See Note 13 for further discussion of share-based compensation.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(q) Foreign Currency Gains and Losses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Foreign currency gains and losses are recorded as part of other income (expense), net within total nonoperating expense, net on American’s consolidated statements of operations. For the years ended December 31, 2025, 2024 and 2023, foreign currency losses were $15 million, $47 million and $30 million, respectively.</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(r) Other Operating Expenses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Other operating expenses includes costs associated with onboard food and catering, crew travel, ground and cargo handling, passenger accommodation, international navigation fees, aircraft cleaning, airport lounge operations and certain general and administrative expenses.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(s) Regional Expenses</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American's regional carriers provide scheduled air transportation under the brand name “American Eagle.” The American Eagle carriers include AAG's wholly-owned regional carriers as well as third-party regional carriers. American's regional carrier arrangements are principally in the form of capacity purchase agreements with its third-party regional partners and similar arrangements with AAG’s wholly-owned regional affiliates. Expenses, excluding fuel expense, associated with American Eagle operations are classified as regional expenses on the consolidated statements of operations.</w:t>
      </w:r>
    </w:p>
    <w:p>
      <w:pPr>
        <w:spacing w:after="0" w:line="14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Regional expenses for the years ended December 31, 2025, 2024 and 2023 include $293 million, $279 million and $271 million of depreciation and amortization, respectively. Regional expenses also include $9 million of aircraft rent for each of the years ended December 31, 2025 and 2024 and $7 million for the year ended December 31, 2023.</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In 2025, 2024 and 2023, American recognized $658 million, $612 million and $636 million, respectively, of expense under its capacity purchase agreement with Republic Airways Inc. (Republic). American holds a 20.8% equity interest in Republic Airways Holdings Inc. (Republic Holdings), the parent company of Republic.</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140</w:t>
      </w:r>
    </w:p>
    <w:p>
      <w:pPr>
        <w:sectPr>
          <w:pgSz w:w="11880" w:h="15480" w:orient="portrait"/>
          <w:cols w:equalWidth="0" w:num="1">
            <w:col w:w="10680"/>
          </w:cols>
          <w:pgMar w:left="600" w:top="249" w:right="600" w:bottom="0" w:gutter="0" w:footer="0" w:header="0"/>
          <w:type w:val="continuous"/>
        </w:sectPr>
      </w:pPr>
    </w:p>
    <w:bookmarkStart w:id="141" w:name="page142"/>
    <w:bookmarkEnd w:id="141"/>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2. Special Items, Net</w:t>
      </w:r>
    </w:p>
    <w:p>
      <w:pPr>
        <w:spacing w:after="0" w:line="97"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Special items, net on American’s consolidated statements of operations consisted of the following (in millions):</w:t>
      </w:r>
    </w:p>
    <w:p>
      <w:pPr>
        <w:spacing w:after="0" w:line="176"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960" w:type="dxa"/>
            <w:vAlign w:val="bottom"/>
            <w:tcBorders>
              <w:bottom w:val="single" w:sz="8" w:color="00162F"/>
            </w:tcBorders>
          </w:tcPr>
          <w:p>
            <w:pPr>
              <w:spacing w:after="0"/>
              <w:rPr>
                <w:sz w:val="18"/>
                <w:szCs w:val="18"/>
                <w:color w:val="auto"/>
              </w:rPr>
            </w:pPr>
          </w:p>
        </w:tc>
        <w:tc>
          <w:tcPr>
            <w:tcW w:w="2420" w:type="dxa"/>
            <w:vAlign w:val="bottom"/>
            <w:tcBorders>
              <w:bottom w:val="single" w:sz="8" w:color="00162F"/>
            </w:tcBorders>
            <w:gridSpan w:val="6"/>
          </w:tcPr>
          <w:p>
            <w:pPr>
              <w:ind w:left="30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18"/>
        </w:trPr>
        <w:tc>
          <w:tcPr>
            <w:tcW w:w="6220" w:type="dxa"/>
            <w:vAlign w:val="bottom"/>
            <w:tcBorders>
              <w:bottom w:val="single" w:sz="8" w:color="EDEDED"/>
            </w:tcBorders>
          </w:tcPr>
          <w:p>
            <w:pPr>
              <w:spacing w:after="0"/>
              <w:rPr>
                <w:sz w:val="18"/>
                <w:szCs w:val="18"/>
                <w:color w:val="auto"/>
              </w:rPr>
            </w:pPr>
          </w:p>
        </w:tc>
        <w:tc>
          <w:tcPr>
            <w:tcW w:w="96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2025</w:t>
            </w:r>
          </w:p>
        </w:tc>
        <w:tc>
          <w:tcPr>
            <w:tcW w:w="480" w:type="dxa"/>
            <w:vAlign w:val="bottom"/>
            <w:tcBorders>
              <w:bottom w:val="single" w:sz="8" w:color="00162F"/>
            </w:tcBorders>
          </w:tcPr>
          <w:p>
            <w:pPr>
              <w:spacing w:after="0"/>
              <w:rPr>
                <w:sz w:val="18"/>
                <w:szCs w:val="18"/>
                <w:color w:val="auto"/>
              </w:rPr>
            </w:pPr>
          </w:p>
        </w:tc>
        <w:tc>
          <w:tcPr>
            <w:tcW w:w="80" w:type="dxa"/>
            <w:vAlign w:val="bottom"/>
            <w:tcBorders>
              <w:bottom w:val="single" w:sz="8" w:color="EDEDED"/>
            </w:tcBorders>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100" w:type="dxa"/>
            <w:vAlign w:val="bottom"/>
            <w:tcBorders>
              <w:bottom w:val="single" w:sz="8" w:color="00162F"/>
            </w:tcBorders>
          </w:tcPr>
          <w:p>
            <w:pPr>
              <w:jc w:val="right"/>
              <w:ind w:right="463"/>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18"/>
                <w:szCs w:val="18"/>
                <w:color w:val="auto"/>
              </w:rPr>
            </w:pPr>
          </w:p>
        </w:tc>
        <w:tc>
          <w:tcPr>
            <w:tcW w:w="360" w:type="dxa"/>
            <w:vAlign w:val="bottom"/>
            <w:tcBorders>
              <w:bottom w:val="single" w:sz="8" w:color="00162F"/>
            </w:tcBorders>
          </w:tcPr>
          <w:p>
            <w:pPr>
              <w:spacing w:after="0"/>
              <w:rPr>
                <w:sz w:val="18"/>
                <w:szCs w:val="18"/>
                <w:color w:val="auto"/>
              </w:rPr>
            </w:pPr>
          </w:p>
        </w:tc>
        <w:tc>
          <w:tcPr>
            <w:tcW w:w="1080" w:type="dxa"/>
            <w:vAlign w:val="bottom"/>
            <w:tcBorders>
              <w:bottom w:val="single" w:sz="8" w:color="00162F"/>
            </w:tcBorders>
          </w:tcPr>
          <w:p>
            <w:pPr>
              <w:jc w:val="right"/>
              <w:ind w:right="443"/>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Litigation reserve adjustments</w:t>
            </w:r>
          </w:p>
        </w:tc>
        <w:tc>
          <w:tcPr>
            <w:tcW w:w="960" w:type="dxa"/>
            <w:vAlign w:val="bottom"/>
            <w:shd w:val="clear" w:color="auto" w:fill="EDEDED"/>
          </w:tcPr>
          <w:p>
            <w:pPr>
              <w:jc w:val="right"/>
              <w:ind w:right="711"/>
              <w:spacing w:after="0"/>
              <w:rPr>
                <w:sz w:val="20"/>
                <w:szCs w:val="20"/>
                <w:color w:val="auto"/>
              </w:rPr>
            </w:pPr>
            <w:r>
              <w:rPr>
                <w:rFonts w:ascii="Arial" w:cs="Arial" w:eastAsia="Arial" w:hAnsi="Arial"/>
                <w:sz w:val="20"/>
                <w:szCs w:val="20"/>
                <w:color w:val="00162F"/>
              </w:rPr>
              <w:t>$</w:t>
            </w:r>
          </w:p>
        </w:tc>
        <w:tc>
          <w:tcPr>
            <w:tcW w:w="4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77</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520" w:type="dxa"/>
            <w:vAlign w:val="bottom"/>
            <w:gridSpan w:val="3"/>
            <w:shd w:val="clear" w:color="auto" w:fill="EDEDED"/>
          </w:tcPr>
          <w:p>
            <w:pPr>
              <w:ind w:left="820"/>
              <w:spacing w:after="0"/>
              <w:rPr>
                <w:sz w:val="20"/>
                <w:szCs w:val="20"/>
                <w:color w:val="auto"/>
              </w:rPr>
            </w:pPr>
            <w:r>
              <w:rPr>
                <w:rFonts w:ascii="Arial" w:cs="Arial" w:eastAsia="Arial" w:hAnsi="Arial"/>
                <w:sz w:val="20"/>
                <w:szCs w:val="20"/>
                <w:color w:val="00162F"/>
              </w:rPr>
              <w:t>—  $</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78"/>
        </w:trPr>
        <w:tc>
          <w:tcPr>
            <w:tcW w:w="6220" w:type="dxa"/>
            <w:vAlign w:val="bottom"/>
          </w:tcPr>
          <w:p>
            <w:pPr>
              <w:ind w:left="40"/>
              <w:spacing w:after="0"/>
              <w:rPr>
                <w:sz w:val="20"/>
                <w:szCs w:val="20"/>
                <w:color w:val="auto"/>
              </w:rPr>
            </w:pPr>
            <w:r>
              <w:rPr>
                <w:rFonts w:ascii="Arial" w:cs="Arial" w:eastAsia="Arial" w:hAnsi="Arial"/>
                <w:sz w:val="20"/>
                <w:szCs w:val="20"/>
                <w:color w:val="00162F"/>
              </w:rPr>
              <w:t xml:space="preserve">Labor contract expenses </w:t>
            </w:r>
            <w:r>
              <w:rPr>
                <w:rFonts w:ascii="Arial" w:cs="Arial" w:eastAsia="Arial" w:hAnsi="Arial"/>
                <w:sz w:val="12"/>
                <w:szCs w:val="12"/>
                <w:color w:val="00162F"/>
              </w:rPr>
              <w:t>(1)</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31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605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989</w:t>
            </w:r>
          </w:p>
        </w:tc>
      </w:tr>
      <w:tr>
        <w:trPr>
          <w:trHeight w:val="286"/>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Severance expenses</w:t>
            </w:r>
          </w:p>
        </w:tc>
        <w:tc>
          <w:tcPr>
            <w:tcW w:w="96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44</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13</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23</w:t>
            </w:r>
          </w:p>
        </w:tc>
      </w:tr>
      <w:tr>
        <w:trPr>
          <w:trHeight w:val="278"/>
        </w:trPr>
        <w:tc>
          <w:tcPr>
            <w:tcW w:w="6220" w:type="dxa"/>
            <w:vAlign w:val="bottom"/>
          </w:tcPr>
          <w:p>
            <w:pPr>
              <w:ind w:left="40"/>
              <w:spacing w:after="0"/>
              <w:rPr>
                <w:sz w:val="20"/>
                <w:szCs w:val="20"/>
                <w:color w:val="auto"/>
              </w:rPr>
            </w:pPr>
            <w:r>
              <w:rPr>
                <w:rFonts w:ascii="Arial" w:cs="Arial" w:eastAsia="Arial" w:hAnsi="Arial"/>
                <w:sz w:val="20"/>
                <w:szCs w:val="20"/>
                <w:color w:val="00162F"/>
              </w:rPr>
              <w:t xml:space="preserve">A330 fleet-related adjustments </w:t>
            </w:r>
            <w:r>
              <w:rPr>
                <w:rFonts w:ascii="Arial" w:cs="Arial" w:eastAsia="Arial" w:hAnsi="Arial"/>
                <w:sz w:val="12"/>
                <w:szCs w:val="12"/>
                <w:color w:val="00162F"/>
              </w:rPr>
              <w:t>(2)</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w:t>
            </w:r>
          </w:p>
        </w:tc>
      </w:tr>
      <w:tr>
        <w:trPr>
          <w:trHeight w:val="296"/>
        </w:trPr>
        <w:tc>
          <w:tcPr>
            <w:tcW w:w="62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Other operating special items, net</w:t>
            </w:r>
          </w:p>
        </w:tc>
        <w:tc>
          <w:tcPr>
            <w:tcW w:w="960" w:type="dxa"/>
            <w:vAlign w:val="bottom"/>
            <w:tcBorders>
              <w:bottom w:val="single" w:sz="8" w:color="00162F"/>
            </w:tcBorders>
            <w:shd w:val="clear" w:color="auto" w:fill="EDEDED"/>
          </w:tcPr>
          <w:p>
            <w:pPr>
              <w:spacing w:after="0"/>
              <w:rPr>
                <w:sz w:val="24"/>
                <w:szCs w:val="24"/>
                <w:color w:val="auto"/>
              </w:rPr>
            </w:pPr>
          </w:p>
        </w:tc>
        <w:tc>
          <w:tcPr>
            <w:tcW w:w="4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34</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(41)</w:t>
            </w:r>
          </w:p>
        </w:tc>
      </w:tr>
      <w:tr>
        <w:trPr>
          <w:trHeight w:val="248"/>
        </w:trPr>
        <w:tc>
          <w:tcPr>
            <w:tcW w:w="6220" w:type="dxa"/>
            <w:vAlign w:val="bottom"/>
          </w:tcPr>
          <w:p>
            <w:pPr>
              <w:ind w:left="260"/>
              <w:spacing w:after="0"/>
              <w:rPr>
                <w:sz w:val="20"/>
                <w:szCs w:val="20"/>
                <w:color w:val="auto"/>
              </w:rPr>
            </w:pPr>
            <w:r>
              <w:rPr>
                <w:rFonts w:ascii="Arial" w:cs="Arial" w:eastAsia="Arial" w:hAnsi="Arial"/>
                <w:sz w:val="20"/>
                <w:szCs w:val="20"/>
                <w:color w:val="00162F"/>
              </w:rPr>
              <w:t>Mainline operating special items, net</w:t>
            </w: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159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610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971</w:t>
            </w:r>
          </w:p>
        </w:tc>
      </w:tr>
      <w:tr>
        <w:trPr>
          <w:trHeight w:val="296"/>
        </w:trPr>
        <w:tc>
          <w:tcPr>
            <w:tcW w:w="622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 xml:space="preserve">Regional operating special items, net </w:t>
            </w:r>
            <w:r>
              <w:rPr>
                <w:rFonts w:ascii="Arial" w:cs="Arial" w:eastAsia="Arial" w:hAnsi="Arial"/>
                <w:sz w:val="12"/>
                <w:szCs w:val="12"/>
                <w:color w:val="00162F"/>
              </w:rPr>
              <w:t>(3)</w:t>
            </w:r>
          </w:p>
        </w:tc>
        <w:tc>
          <w:tcPr>
            <w:tcW w:w="960" w:type="dxa"/>
            <w:vAlign w:val="bottom"/>
            <w:tcBorders>
              <w:bottom w:val="single" w:sz="8" w:color="00162F"/>
            </w:tcBorders>
            <w:shd w:val="clear" w:color="auto" w:fill="EDEDED"/>
          </w:tcPr>
          <w:p>
            <w:pPr>
              <w:spacing w:after="0"/>
              <w:rPr>
                <w:sz w:val="24"/>
                <w:szCs w:val="24"/>
                <w:color w:val="auto"/>
              </w:rPr>
            </w:pPr>
          </w:p>
        </w:tc>
        <w:tc>
          <w:tcPr>
            <w:tcW w:w="4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33</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48"/>
        </w:trPr>
        <w:tc>
          <w:tcPr>
            <w:tcW w:w="6220" w:type="dxa"/>
            <w:vAlign w:val="bottom"/>
          </w:tcPr>
          <w:p>
            <w:pPr>
              <w:ind w:left="540"/>
              <w:spacing w:after="0"/>
              <w:rPr>
                <w:sz w:val="20"/>
                <w:szCs w:val="20"/>
                <w:color w:val="auto"/>
              </w:rPr>
            </w:pPr>
            <w:r>
              <w:rPr>
                <w:rFonts w:ascii="Arial" w:cs="Arial" w:eastAsia="Arial" w:hAnsi="Arial"/>
                <w:sz w:val="20"/>
                <w:szCs w:val="20"/>
                <w:color w:val="00162F"/>
              </w:rPr>
              <w:t>Operating special items, net</w:t>
            </w: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162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643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971</w:t>
            </w:r>
          </w:p>
        </w:tc>
      </w:tr>
      <w:tr>
        <w:trPr>
          <w:trHeight w:val="286"/>
        </w:trPr>
        <w:tc>
          <w:tcPr>
            <w:tcW w:w="622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r>
      <w:tr>
        <w:trPr>
          <w:trHeight w:val="278"/>
        </w:trPr>
        <w:tc>
          <w:tcPr>
            <w:tcW w:w="6220" w:type="dxa"/>
            <w:vAlign w:val="bottom"/>
          </w:tcPr>
          <w:p>
            <w:pPr>
              <w:ind w:left="40"/>
              <w:spacing w:after="0"/>
              <w:rPr>
                <w:sz w:val="20"/>
                <w:szCs w:val="20"/>
                <w:color w:val="auto"/>
              </w:rPr>
            </w:pPr>
            <w:r>
              <w:rPr>
                <w:rFonts w:ascii="Arial" w:cs="Arial" w:eastAsia="Arial" w:hAnsi="Arial"/>
                <w:sz w:val="20"/>
                <w:szCs w:val="20"/>
                <w:color w:val="00162F"/>
              </w:rPr>
              <w:t xml:space="preserve">Mark-to-market adjustments on equity investments, net </w:t>
            </w:r>
            <w:r>
              <w:rPr>
                <w:rFonts w:ascii="Arial" w:cs="Arial" w:eastAsia="Arial" w:hAnsi="Arial"/>
                <w:sz w:val="12"/>
                <w:szCs w:val="12"/>
                <w:color w:val="00162F"/>
              </w:rPr>
              <w:t>(4)</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(40)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20"/>
                <w:szCs w:val="20"/>
                <w:color w:val="00162F"/>
              </w:rPr>
              <w:t>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82</w:t>
            </w:r>
          </w:p>
        </w:tc>
      </w:tr>
      <w:tr>
        <w:trPr>
          <w:trHeight w:val="286"/>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xml:space="preserve">Debt refinancing and extinguishment </w:t>
            </w:r>
            <w:r>
              <w:rPr>
                <w:rFonts w:ascii="Arial" w:cs="Arial" w:eastAsia="Arial" w:hAnsi="Arial"/>
                <w:sz w:val="12"/>
                <w:szCs w:val="12"/>
                <w:color w:val="00162F"/>
              </w:rPr>
              <w:t>(5)</w:t>
            </w:r>
          </w:p>
        </w:tc>
        <w:tc>
          <w:tcPr>
            <w:tcW w:w="96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22</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3"/>
              <w:spacing w:after="0"/>
              <w:rPr>
                <w:sz w:val="20"/>
                <w:szCs w:val="20"/>
                <w:color w:val="auto"/>
              </w:rPr>
            </w:pPr>
            <w:r>
              <w:rPr>
                <w:rFonts w:ascii="Arial" w:cs="Arial" w:eastAsia="Arial" w:hAnsi="Arial"/>
                <w:sz w:val="20"/>
                <w:szCs w:val="20"/>
                <w:color w:val="00162F"/>
              </w:rPr>
              <w:t>16</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280</w:t>
            </w:r>
          </w:p>
        </w:tc>
      </w:tr>
      <w:tr>
        <w:trPr>
          <w:trHeight w:val="302"/>
        </w:trPr>
        <w:tc>
          <w:tcPr>
            <w:tcW w:w="6220" w:type="dxa"/>
            <w:vAlign w:val="bottom"/>
          </w:tcPr>
          <w:p>
            <w:pPr>
              <w:ind w:left="40"/>
              <w:spacing w:after="0"/>
              <w:rPr>
                <w:sz w:val="20"/>
                <w:szCs w:val="20"/>
                <w:color w:val="auto"/>
              </w:rPr>
            </w:pPr>
            <w:r>
              <w:rPr>
                <w:rFonts w:ascii="Arial" w:cs="Arial" w:eastAsia="Arial" w:hAnsi="Arial"/>
                <w:sz w:val="20"/>
                <w:szCs w:val="20"/>
                <w:color w:val="00162F"/>
              </w:rPr>
              <w:t>Other nonoperating special items, net</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00162F"/>
              </w:rPr>
              <w:t>18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w:t>
            </w:r>
          </w:p>
        </w:tc>
      </w:tr>
      <w:tr>
        <w:trPr>
          <w:trHeight w:val="272"/>
        </w:trPr>
        <w:tc>
          <w:tcPr>
            <w:tcW w:w="6220" w:type="dxa"/>
            <w:vAlign w:val="bottom"/>
            <w:tcBorders>
              <w:top w:val="single" w:sz="8" w:color="EDEDED"/>
            </w:tcBorders>
            <w:shd w:val="clear" w:color="auto" w:fill="EDEDED"/>
          </w:tcPr>
          <w:p>
            <w:pPr>
              <w:ind w:left="540"/>
              <w:spacing w:after="0"/>
              <w:rPr>
                <w:sz w:val="20"/>
                <w:szCs w:val="20"/>
                <w:color w:val="auto"/>
              </w:rPr>
            </w:pPr>
            <w:r>
              <w:rPr>
                <w:rFonts w:ascii="Arial" w:cs="Arial" w:eastAsia="Arial" w:hAnsi="Arial"/>
                <w:sz w:val="20"/>
                <w:szCs w:val="20"/>
                <w:color w:val="00162F"/>
              </w:rPr>
              <w:t>Nonoperating special items, net</w:t>
            </w:r>
          </w:p>
        </w:tc>
        <w:tc>
          <w:tcPr>
            <w:tcW w:w="960" w:type="dxa"/>
            <w:vAlign w:val="bottom"/>
            <w:tcBorders>
              <w:top w:val="single" w:sz="8" w:color="00162F"/>
            </w:tcBorders>
            <w:shd w:val="clear" w:color="auto" w:fill="EDEDED"/>
          </w:tcPr>
          <w:p>
            <w:pPr>
              <w:spacing w:after="0"/>
              <w:rPr>
                <w:sz w:val="23"/>
                <w:szCs w:val="23"/>
                <w:color w:val="auto"/>
              </w:rPr>
            </w:pPr>
          </w:p>
        </w:tc>
        <w:tc>
          <w:tcPr>
            <w:tcW w:w="48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top w:val="single" w:sz="8" w:color="EDEDED"/>
            </w:tcBorders>
            <w:shd w:val="clear" w:color="auto" w:fill="EDEDED"/>
          </w:tcPr>
          <w:p>
            <w:pPr>
              <w:spacing w:after="0"/>
              <w:rPr>
                <w:sz w:val="23"/>
                <w:szCs w:val="23"/>
                <w:color w:val="auto"/>
              </w:rPr>
            </w:pPr>
          </w:p>
        </w:tc>
        <w:tc>
          <w:tcPr>
            <w:tcW w:w="340" w:type="dxa"/>
            <w:vAlign w:val="bottom"/>
            <w:tcBorders>
              <w:top w:val="single" w:sz="8" w:color="00162F"/>
            </w:tcBorders>
            <w:shd w:val="clear" w:color="auto" w:fill="EDEDED"/>
          </w:tcPr>
          <w:p>
            <w:pPr>
              <w:spacing w:after="0"/>
              <w:rPr>
                <w:sz w:val="23"/>
                <w:szCs w:val="23"/>
                <w:color w:val="auto"/>
              </w:rPr>
            </w:pPr>
          </w:p>
        </w:tc>
        <w:tc>
          <w:tcPr>
            <w:tcW w:w="1100" w:type="dxa"/>
            <w:vAlign w:val="bottom"/>
            <w:tcBorders>
              <w:top w:val="single" w:sz="8" w:color="00162F"/>
            </w:tcBorders>
            <w:shd w:val="clear" w:color="auto" w:fill="EDEDED"/>
          </w:tcPr>
          <w:p>
            <w:pPr>
              <w:jc w:val="right"/>
              <w:ind w:right="3"/>
              <w:spacing w:after="0"/>
              <w:rPr>
                <w:sz w:val="20"/>
                <w:szCs w:val="20"/>
                <w:color w:val="auto"/>
              </w:rPr>
            </w:pPr>
            <w:r>
              <w:rPr>
                <w:rFonts w:ascii="Arial" w:cs="Arial" w:eastAsia="Arial" w:hAnsi="Arial"/>
                <w:sz w:val="20"/>
                <w:szCs w:val="20"/>
                <w:color w:val="00162F"/>
              </w:rPr>
              <w:t>24</w:t>
            </w:r>
          </w:p>
        </w:tc>
        <w:tc>
          <w:tcPr>
            <w:tcW w:w="60" w:type="dxa"/>
            <w:vAlign w:val="bottom"/>
            <w:tcBorders>
              <w:top w:val="single" w:sz="8" w:color="EDEDED"/>
            </w:tcBorders>
            <w:shd w:val="clear" w:color="auto" w:fill="EDEDED"/>
          </w:tcPr>
          <w:p>
            <w:pPr>
              <w:spacing w:after="0"/>
              <w:rPr>
                <w:sz w:val="23"/>
                <w:szCs w:val="23"/>
                <w:color w:val="auto"/>
              </w:rPr>
            </w:pPr>
          </w:p>
        </w:tc>
        <w:tc>
          <w:tcPr>
            <w:tcW w:w="360" w:type="dxa"/>
            <w:vAlign w:val="bottom"/>
            <w:tcBorders>
              <w:top w:val="single" w:sz="8" w:color="00162F"/>
            </w:tcBorders>
            <w:shd w:val="clear" w:color="auto" w:fill="EDEDED"/>
          </w:tcPr>
          <w:p>
            <w:pPr>
              <w:spacing w:after="0"/>
              <w:rPr>
                <w:sz w:val="23"/>
                <w:szCs w:val="23"/>
                <w:color w:val="auto"/>
              </w:rPr>
            </w:pPr>
          </w:p>
        </w:tc>
        <w:tc>
          <w:tcPr>
            <w:tcW w:w="1080" w:type="dxa"/>
            <w:vAlign w:val="bottom"/>
            <w:tcBorders>
              <w:top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-2369185</wp:posOffset>
            </wp:positionV>
            <wp:extent cx="2863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8">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-1464310</wp:posOffset>
            </wp:positionV>
            <wp:extent cx="19361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9">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-1105535</wp:posOffset>
            </wp:positionV>
            <wp:extent cx="19361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0">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-191135</wp:posOffset>
            </wp:positionV>
            <wp:extent cx="19361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1">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103505</wp:posOffset>
            </wp:positionV>
            <wp:extent cx="125412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2">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197" w:lineRule="exact"/>
        <w:rPr>
          <w:sz w:val="20"/>
          <w:szCs w:val="20"/>
          <w:color w:val="auto"/>
        </w:rPr>
      </w:pPr>
    </w:p>
    <w:p>
      <w:pPr>
        <w:jc w:val="both"/>
        <w:ind w:left="365" w:hanging="365"/>
        <w:spacing w:after="0" w:line="265" w:lineRule="auto"/>
        <w:tabs>
          <w:tab w:leader="none" w:pos="365" w:val="left"/>
        </w:tabs>
        <w:numPr>
          <w:ilvl w:val="0"/>
          <w:numId w:val="69"/>
        </w:numPr>
        <w:rPr>
          <w:rFonts w:ascii="Arial" w:cs="Arial" w:eastAsia="Arial" w:hAnsi="Arial"/>
          <w:sz w:val="13"/>
          <w:szCs w:val="13"/>
          <w:color w:val="00162F"/>
        </w:rPr>
      </w:pPr>
      <w:r>
        <w:rPr>
          <w:rFonts w:ascii="Arial" w:cs="Arial" w:eastAsia="Arial" w:hAnsi="Arial"/>
          <w:sz w:val="20"/>
          <w:szCs w:val="20"/>
          <w:color w:val="00162F"/>
        </w:rPr>
        <w:t>Labor contract expenses for 2025 included a one-time charge resulting from adjustments to vacation accruals due to pay rate increases effective January 1, 2025, following the ratification of the contract extension in the fourth quarter of 2024 with American’s mainline maintenance and fleet service team members.</w:t>
      </w:r>
    </w:p>
    <w:p>
      <w:pPr>
        <w:spacing w:after="0" w:line="129" w:lineRule="exact"/>
        <w:rPr>
          <w:rFonts w:ascii="Arial" w:cs="Arial" w:eastAsia="Arial" w:hAnsi="Arial"/>
          <w:sz w:val="13"/>
          <w:szCs w:val="13"/>
          <w:color w:val="00162F"/>
        </w:rPr>
      </w:pPr>
    </w:p>
    <w:p>
      <w:pPr>
        <w:jc w:val="both"/>
        <w:ind w:left="365"/>
        <w:spacing w:after="0" w:line="265" w:lineRule="auto"/>
        <w:rPr>
          <w:rFonts w:ascii="Arial" w:cs="Arial" w:eastAsia="Arial" w:hAnsi="Arial"/>
          <w:sz w:val="13"/>
          <w:szCs w:val="13"/>
          <w:color w:val="00162F"/>
        </w:rPr>
      </w:pPr>
      <w:r>
        <w:rPr>
          <w:rFonts w:ascii="Arial" w:cs="Arial" w:eastAsia="Arial" w:hAnsi="Arial"/>
          <w:sz w:val="20"/>
          <w:szCs w:val="20"/>
          <w:color w:val="00162F"/>
        </w:rPr>
        <w:t>Labor contract expenses for 2024 included one-time charges resulting from the ratifications of new collective bargaining agreements (CBAs) with American’s mainline flight attendants and passenger service team members, including one-time payments and adjustments to vacation accruals resulting from pay rate increases.</w:t>
      </w:r>
    </w:p>
    <w:p>
      <w:pPr>
        <w:spacing w:after="0" w:line="129" w:lineRule="exact"/>
        <w:rPr>
          <w:rFonts w:ascii="Arial" w:cs="Arial" w:eastAsia="Arial" w:hAnsi="Arial"/>
          <w:sz w:val="13"/>
          <w:szCs w:val="13"/>
          <w:color w:val="00162F"/>
        </w:rPr>
      </w:pPr>
    </w:p>
    <w:p>
      <w:pPr>
        <w:jc w:val="both"/>
        <w:ind w:left="365"/>
        <w:spacing w:after="0" w:line="265" w:lineRule="auto"/>
        <w:rPr>
          <w:rFonts w:ascii="Arial" w:cs="Arial" w:eastAsia="Arial" w:hAnsi="Arial"/>
          <w:sz w:val="13"/>
          <w:szCs w:val="13"/>
          <w:color w:val="00162F"/>
        </w:rPr>
      </w:pPr>
      <w:r>
        <w:rPr>
          <w:rFonts w:ascii="Arial" w:cs="Arial" w:eastAsia="Arial" w:hAnsi="Arial"/>
          <w:sz w:val="20"/>
          <w:szCs w:val="20"/>
          <w:color w:val="00162F"/>
        </w:rPr>
        <w:t>Labor contract expenses for 2023 included one-time charges resulting from the ratification of a new CBA with American’s mainline pilots, including a one-time payment of $754 million as well as adjustments to other benefit-related items of $235 million.</w:t>
      </w:r>
    </w:p>
    <w:p>
      <w:pPr>
        <w:spacing w:after="0" w:line="129" w:lineRule="exact"/>
        <w:rPr>
          <w:rFonts w:ascii="Arial" w:cs="Arial" w:eastAsia="Arial" w:hAnsi="Arial"/>
          <w:sz w:val="13"/>
          <w:szCs w:val="13"/>
          <w:color w:val="00162F"/>
        </w:rPr>
      </w:pPr>
    </w:p>
    <w:p>
      <w:pPr>
        <w:jc w:val="both"/>
        <w:ind w:left="365" w:hanging="365"/>
        <w:spacing w:after="0" w:line="265" w:lineRule="auto"/>
        <w:tabs>
          <w:tab w:leader="none" w:pos="365" w:val="left"/>
        </w:tabs>
        <w:numPr>
          <w:ilvl w:val="0"/>
          <w:numId w:val="69"/>
        </w:numPr>
        <w:rPr>
          <w:rFonts w:ascii="Arial" w:cs="Arial" w:eastAsia="Arial" w:hAnsi="Arial"/>
          <w:sz w:val="13"/>
          <w:szCs w:val="13"/>
          <w:color w:val="00162F"/>
        </w:rPr>
      </w:pPr>
      <w:r>
        <w:rPr>
          <w:rFonts w:ascii="Arial" w:cs="Arial" w:eastAsia="Arial" w:hAnsi="Arial"/>
          <w:sz w:val="20"/>
          <w:szCs w:val="20"/>
          <w:color w:val="00162F"/>
        </w:rPr>
        <w:t>In 2024, American entered into a sales agreement for certain Airbus A330 aircraft, resulting in a $42 million gain. These aircraft were previously retired in 2020 as a result of the decline in demand for air travel due to the COVID-19 pandemic.</w:t>
      </w:r>
    </w:p>
    <w:p>
      <w:pPr>
        <w:spacing w:after="0" w:line="129"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69"/>
        </w:numPr>
        <w:rPr>
          <w:rFonts w:ascii="Arial" w:cs="Arial" w:eastAsia="Arial" w:hAnsi="Arial"/>
          <w:sz w:val="13"/>
          <w:szCs w:val="13"/>
          <w:color w:val="00162F"/>
        </w:rPr>
      </w:pPr>
      <w:r>
        <w:rPr>
          <w:rFonts w:ascii="Arial" w:cs="Arial" w:eastAsia="Arial" w:hAnsi="Arial"/>
          <w:sz w:val="20"/>
          <w:szCs w:val="20"/>
          <w:color w:val="00162F"/>
        </w:rPr>
        <w:t>Regional operating special items, net for 2024 included a $33 million non-cash write down of regional aircraft resulting from the decision to permanently park 43 Embraer ERJ145 aircraft.</w:t>
      </w:r>
    </w:p>
    <w:p>
      <w:pPr>
        <w:spacing w:after="0" w:line="112"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69"/>
        </w:numPr>
        <w:rPr>
          <w:rFonts w:ascii="Arial" w:cs="Arial" w:eastAsia="Arial" w:hAnsi="Arial"/>
          <w:sz w:val="13"/>
          <w:szCs w:val="13"/>
          <w:color w:val="00162F"/>
        </w:rPr>
      </w:pPr>
      <w:r>
        <w:rPr>
          <w:rFonts w:ascii="Arial" w:cs="Arial" w:eastAsia="Arial" w:hAnsi="Arial"/>
          <w:sz w:val="20"/>
          <w:szCs w:val="20"/>
          <w:color w:val="00162F"/>
        </w:rPr>
        <w:t>Mark-to-market adjustments on equity investments, net included net unrealized gains and losses associated with certain equity investments. See Note 7 for further information related to American’s equity investments.</w:t>
      </w:r>
    </w:p>
    <w:p>
      <w:pPr>
        <w:spacing w:after="0" w:line="112"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69"/>
        </w:numPr>
        <w:rPr>
          <w:rFonts w:ascii="Arial" w:cs="Arial" w:eastAsia="Arial" w:hAnsi="Arial"/>
          <w:sz w:val="13"/>
          <w:szCs w:val="13"/>
          <w:color w:val="00162F"/>
        </w:rPr>
      </w:pPr>
      <w:r>
        <w:rPr>
          <w:rFonts w:ascii="Arial" w:cs="Arial" w:eastAsia="Arial" w:hAnsi="Arial"/>
          <w:sz w:val="20"/>
          <w:szCs w:val="20"/>
          <w:color w:val="00162F"/>
        </w:rPr>
        <w:t>Debt refinancing and extinguishment costs in 2023 primarily included cash charges for premiums paid in connection with the early repayment of debt.</w:t>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141</w:t>
      </w:r>
    </w:p>
    <w:p>
      <w:pPr>
        <w:sectPr>
          <w:pgSz w:w="11880" w:h="15480" w:orient="portrait"/>
          <w:cols w:equalWidth="0" w:num="1">
            <w:col w:w="10685"/>
          </w:cols>
          <w:pgMar w:left="595" w:top="249" w:right="600" w:bottom="0" w:gutter="0" w:footer="0" w:header="0"/>
          <w:type w:val="continuous"/>
        </w:sectPr>
      </w:pPr>
    </w:p>
    <w:bookmarkStart w:id="142" w:name="page143"/>
    <w:bookmarkEnd w:id="142"/>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3. Debt</w:t>
      </w:r>
    </w:p>
    <w:p>
      <w:pPr>
        <w:spacing w:after="0" w:line="97"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Debt included on American’s consolidated balance sheets consisted of (in millions):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580" w:type="dxa"/>
            <w:vAlign w:val="bottom"/>
            <w:tcBorders>
              <w:bottom w:val="single" w:sz="8" w:color="00162F"/>
            </w:tcBorders>
            <w:gridSpan w:val="3"/>
          </w:tcPr>
          <w:p>
            <w:pPr>
              <w:jc w:val="right"/>
              <w:spacing w:after="0"/>
              <w:rPr>
                <w:sz w:val="20"/>
                <w:szCs w:val="20"/>
                <w:color w:val="auto"/>
              </w:rPr>
            </w:pPr>
            <w:r>
              <w:rPr>
                <w:rFonts w:ascii="Arial" w:cs="Arial" w:eastAsia="Arial" w:hAnsi="Arial"/>
                <w:sz w:val="16"/>
                <w:szCs w:val="16"/>
                <w:b w:val="1"/>
                <w:bCs w:val="1"/>
                <w:color w:val="00162F"/>
              </w:rPr>
              <w:t>December 31,</w:t>
            </w:r>
          </w:p>
        </w:tc>
        <w:tc>
          <w:tcPr>
            <w:tcW w:w="860" w:type="dxa"/>
            <w:vAlign w:val="bottom"/>
            <w:tcBorders>
              <w:bottom w:val="single" w:sz="8" w:color="00162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90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020" w:type="dxa"/>
            <w:vAlign w:val="bottom"/>
            <w:tcBorders>
              <w:bottom w:val="single" w:sz="8" w:color="00162F"/>
            </w:tcBorders>
          </w:tcPr>
          <w:p>
            <w:pPr>
              <w:jc w:val="right"/>
              <w:ind w:right="403"/>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480" w:type="dxa"/>
            <w:vAlign w:val="bottom"/>
            <w:tcBorders>
              <w:bottom w:val="single" w:sz="8" w:color="00162F"/>
            </w:tcBorders>
          </w:tcPr>
          <w:p>
            <w:pPr>
              <w:spacing w:after="0"/>
              <w:rPr>
                <w:sz w:val="20"/>
                <w:szCs w:val="20"/>
                <w:color w:val="auto"/>
              </w:rPr>
            </w:pPr>
          </w:p>
        </w:tc>
        <w:tc>
          <w:tcPr>
            <w:tcW w:w="860" w:type="dxa"/>
            <w:vAlign w:val="bottom"/>
            <w:tcBorders>
              <w:bottom w:val="single" w:sz="8" w:color="00162F"/>
            </w:tcBorders>
          </w:tcPr>
          <w:p>
            <w:pPr>
              <w:jc w:val="right"/>
              <w:ind w:right="402"/>
              <w:spacing w:after="0"/>
              <w:rPr>
                <w:sz w:val="20"/>
                <w:szCs w:val="20"/>
                <w:color w:val="auto"/>
              </w:rPr>
            </w:pPr>
            <w:r>
              <w:rPr>
                <w:rFonts w:ascii="Arial" w:cs="Arial" w:eastAsia="Arial" w:hAnsi="Arial"/>
                <w:sz w:val="16"/>
                <w:szCs w:val="16"/>
                <w:b w:val="1"/>
                <w:bCs w:val="1"/>
                <w:color w:val="00162F"/>
                <w:w w:val="95"/>
              </w:rPr>
              <w:t>2024</w:t>
            </w:r>
          </w:p>
        </w:tc>
        <w:tc>
          <w:tcPr>
            <w:tcW w:w="0" w:type="dxa"/>
            <w:vAlign w:val="bottom"/>
          </w:tcPr>
          <w:p>
            <w:pPr>
              <w:spacing w:after="0"/>
              <w:rPr>
                <w:sz w:val="1"/>
                <w:szCs w:val="1"/>
                <w:color w:val="auto"/>
              </w:rPr>
            </w:pPr>
          </w:p>
        </w:tc>
      </w:tr>
      <w:tr>
        <w:trPr>
          <w:trHeight w:val="287"/>
        </w:trPr>
        <w:tc>
          <w:tcPr>
            <w:tcW w:w="7900" w:type="dxa"/>
            <w:vAlign w:val="bottom"/>
            <w:shd w:val="clear" w:color="auto" w:fill="EDEDED"/>
          </w:tcPr>
          <w:p>
            <w:pPr>
              <w:ind w:left="40"/>
              <w:spacing w:after="0"/>
              <w:rPr>
                <w:sz w:val="20"/>
                <w:szCs w:val="20"/>
                <w:color w:val="auto"/>
              </w:rPr>
            </w:pPr>
            <w:r>
              <w:rPr>
                <w:rFonts w:ascii="Arial" w:cs="Arial" w:eastAsia="Arial" w:hAnsi="Arial"/>
                <w:sz w:val="20"/>
                <w:szCs w:val="20"/>
                <w:i w:val="1"/>
                <w:iCs w:val="1"/>
                <w:color w:val="00162F"/>
              </w:rPr>
              <w:t>Secured</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80"/>
              <w:spacing w:after="0" w:line="206" w:lineRule="exact"/>
              <w:rPr>
                <w:sz w:val="20"/>
                <w:szCs w:val="20"/>
                <w:color w:val="auto"/>
              </w:rPr>
            </w:pPr>
            <w:r>
              <w:rPr>
                <w:rFonts w:ascii="Arial" w:cs="Arial" w:eastAsia="Arial" w:hAnsi="Arial"/>
                <w:sz w:val="20"/>
                <w:szCs w:val="20"/>
                <w:color w:val="00162F"/>
              </w:rPr>
              <w:t>2013 Term Loan Facility, variable interest rate of 6.00%, installments until due in</w:t>
            </w:r>
          </w:p>
        </w:tc>
        <w:tc>
          <w:tcPr>
            <w:tcW w:w="340" w:type="dxa"/>
            <w:vAlign w:val="bottom"/>
            <w:vMerge w:val="restart"/>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970</w:t>
            </w:r>
          </w:p>
        </w:tc>
        <w:tc>
          <w:tcPr>
            <w:tcW w:w="56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00162F"/>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980</w:t>
            </w:r>
          </w:p>
        </w:tc>
        <w:tc>
          <w:tcPr>
            <w:tcW w:w="0" w:type="dxa"/>
            <w:vAlign w:val="bottom"/>
          </w:tcPr>
          <w:p>
            <w:pPr>
              <w:spacing w:after="0"/>
              <w:rPr>
                <w:sz w:val="1"/>
                <w:szCs w:val="1"/>
                <w:color w:val="auto"/>
              </w:rPr>
            </w:pPr>
          </w:p>
        </w:tc>
      </w:tr>
      <w:tr>
        <w:trPr>
          <w:trHeight w:val="266"/>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February 2028 </w:t>
            </w:r>
            <w:r>
              <w:rPr>
                <w:rFonts w:ascii="Arial" w:cs="Arial" w:eastAsia="Arial" w:hAnsi="Arial"/>
                <w:sz w:val="12"/>
                <w:szCs w:val="12"/>
                <w:color w:val="00162F"/>
              </w:rPr>
              <w:t>(a)</w:t>
            </w:r>
          </w:p>
        </w:tc>
        <w:tc>
          <w:tcPr>
            <w:tcW w:w="340" w:type="dxa"/>
            <w:vAlign w:val="bottom"/>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560" w:type="dxa"/>
            <w:vAlign w:val="bottom"/>
            <w:gridSpan w:val="2"/>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EDEDED"/>
          </w:tcPr>
          <w:p>
            <w:pPr>
              <w:ind w:left="280"/>
              <w:spacing w:after="0" w:line="209" w:lineRule="exact"/>
              <w:rPr>
                <w:sz w:val="20"/>
                <w:szCs w:val="20"/>
                <w:color w:val="auto"/>
              </w:rPr>
            </w:pPr>
            <w:r>
              <w:rPr>
                <w:rFonts w:ascii="Arial" w:cs="Arial" w:eastAsia="Arial" w:hAnsi="Arial"/>
                <w:sz w:val="20"/>
                <w:szCs w:val="20"/>
                <w:color w:val="00162F"/>
              </w:rPr>
              <w:t>2014 Term Loan Facility, variable interest rate of 5.69%, installments until due in</w:t>
            </w:r>
          </w:p>
        </w:tc>
        <w:tc>
          <w:tcPr>
            <w:tcW w:w="340" w:type="dxa"/>
            <w:vAlign w:val="bottom"/>
            <w:shd w:val="clear" w:color="auto" w:fill="EDEDED"/>
          </w:tcPr>
          <w:p>
            <w:pPr>
              <w:spacing w:after="0"/>
              <w:rPr>
                <w:sz w:val="18"/>
                <w:szCs w:val="18"/>
                <w:color w:val="auto"/>
              </w:rPr>
            </w:pPr>
          </w:p>
        </w:tc>
        <w:tc>
          <w:tcPr>
            <w:tcW w:w="102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1,159</w:t>
            </w:r>
          </w:p>
        </w:tc>
        <w:tc>
          <w:tcPr>
            <w:tcW w:w="80" w:type="dxa"/>
            <w:vAlign w:val="bottom"/>
            <w:shd w:val="clear" w:color="auto" w:fill="EDEDED"/>
          </w:tcPr>
          <w:p>
            <w:pPr>
              <w:spacing w:after="0"/>
              <w:rPr>
                <w:sz w:val="18"/>
                <w:szCs w:val="18"/>
                <w:color w:val="auto"/>
              </w:rPr>
            </w:pPr>
          </w:p>
        </w:tc>
        <w:tc>
          <w:tcPr>
            <w:tcW w:w="480" w:type="dxa"/>
            <w:vAlign w:val="bottom"/>
            <w:shd w:val="clear" w:color="auto" w:fill="EDEDED"/>
          </w:tcPr>
          <w:p>
            <w:pPr>
              <w:spacing w:after="0"/>
              <w:rPr>
                <w:sz w:val="18"/>
                <w:szCs w:val="18"/>
                <w:color w:val="auto"/>
              </w:rPr>
            </w:pPr>
          </w:p>
        </w:tc>
        <w:tc>
          <w:tcPr>
            <w:tcW w:w="86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1,171</w:t>
            </w:r>
          </w:p>
        </w:tc>
        <w:tc>
          <w:tcPr>
            <w:tcW w:w="0" w:type="dxa"/>
            <w:vAlign w:val="bottom"/>
          </w:tcPr>
          <w:p>
            <w:pPr>
              <w:spacing w:after="0"/>
              <w:rPr>
                <w:sz w:val="1"/>
                <w:szCs w:val="1"/>
                <w:color w:val="auto"/>
              </w:rPr>
            </w:pPr>
          </w:p>
        </w:tc>
      </w:tr>
      <w:tr>
        <w:trPr>
          <w:trHeight w:val="269"/>
        </w:trPr>
        <w:tc>
          <w:tcPr>
            <w:tcW w:w="7900" w:type="dxa"/>
            <w:vAlign w:val="bottom"/>
            <w:shd w:val="clear" w:color="auto" w:fill="EDEDED"/>
          </w:tcPr>
          <w:p>
            <w:pPr>
              <w:ind w:left="460"/>
              <w:spacing w:after="0"/>
              <w:rPr>
                <w:sz w:val="20"/>
                <w:szCs w:val="20"/>
                <w:color w:val="auto"/>
              </w:rPr>
            </w:pPr>
            <w:r>
              <w:rPr>
                <w:rFonts w:ascii="Arial" w:cs="Arial" w:eastAsia="Arial" w:hAnsi="Arial"/>
                <w:sz w:val="20"/>
                <w:szCs w:val="20"/>
                <w:color w:val="00162F"/>
              </w:rPr>
              <w:t xml:space="preserve">January 2027 </w:t>
            </w:r>
            <w:r>
              <w:rPr>
                <w:rFonts w:ascii="Arial" w:cs="Arial" w:eastAsia="Arial" w:hAnsi="Arial"/>
                <w:sz w:val="12"/>
                <w:szCs w:val="12"/>
                <w:color w:val="00162F"/>
              </w:rPr>
              <w:t>(a)</w:t>
            </w:r>
          </w:p>
        </w:tc>
        <w:tc>
          <w:tcPr>
            <w:tcW w:w="340" w:type="dxa"/>
            <w:vAlign w:val="bottom"/>
            <w:shd w:val="clear" w:color="auto" w:fill="EDEDED"/>
          </w:tcPr>
          <w:p>
            <w:pPr>
              <w:spacing w:after="0"/>
              <w:rPr>
                <w:sz w:val="23"/>
                <w:szCs w:val="23"/>
                <w:color w:val="auto"/>
              </w:rPr>
            </w:pPr>
          </w:p>
        </w:tc>
        <w:tc>
          <w:tcPr>
            <w:tcW w:w="1020" w:type="dxa"/>
            <w:vAlign w:val="bottom"/>
            <w:vMerge w:val="continue"/>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480" w:type="dxa"/>
            <w:vAlign w:val="bottom"/>
            <w:shd w:val="clear" w:color="auto" w:fill="EDEDED"/>
          </w:tcPr>
          <w:p>
            <w:pPr>
              <w:spacing w:after="0"/>
              <w:rPr>
                <w:sz w:val="23"/>
                <w:szCs w:val="23"/>
                <w:color w:val="auto"/>
              </w:rPr>
            </w:pPr>
          </w:p>
        </w:tc>
        <w:tc>
          <w:tcPr>
            <w:tcW w:w="860" w:type="dxa"/>
            <w:vAlign w:val="bottom"/>
            <w:vMerge w:val="continue"/>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80"/>
              <w:spacing w:after="0" w:line="206" w:lineRule="exact"/>
              <w:rPr>
                <w:sz w:val="20"/>
                <w:szCs w:val="20"/>
                <w:color w:val="auto"/>
              </w:rPr>
            </w:pPr>
            <w:r>
              <w:rPr>
                <w:rFonts w:ascii="Arial" w:cs="Arial" w:eastAsia="Arial" w:hAnsi="Arial"/>
                <w:sz w:val="20"/>
                <w:szCs w:val="20"/>
                <w:color w:val="00162F"/>
              </w:rPr>
              <w:t>2023 Term Loan Facility, variable interest rate of 6.26%, installments until due in June</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1,078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1,089</w:t>
            </w:r>
          </w:p>
        </w:tc>
        <w:tc>
          <w:tcPr>
            <w:tcW w:w="0" w:type="dxa"/>
            <w:vAlign w:val="bottom"/>
          </w:tcPr>
          <w:p>
            <w:pPr>
              <w:spacing w:after="0"/>
              <w:rPr>
                <w:sz w:val="1"/>
                <w:szCs w:val="1"/>
                <w:color w:val="auto"/>
              </w:rPr>
            </w:pPr>
          </w:p>
        </w:tc>
      </w:tr>
      <w:tr>
        <w:trPr>
          <w:trHeight w:val="266"/>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2029 </w:t>
            </w:r>
            <w:r>
              <w:rPr>
                <w:rFonts w:ascii="Arial" w:cs="Arial" w:eastAsia="Arial" w:hAnsi="Arial"/>
                <w:sz w:val="12"/>
                <w:szCs w:val="12"/>
                <w:color w:val="00162F"/>
              </w:rPr>
              <w:t>(a)</w:t>
            </w:r>
          </w:p>
        </w:tc>
        <w:tc>
          <w:tcPr>
            <w:tcW w:w="3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900" w:type="dxa"/>
            <w:vAlign w:val="bottom"/>
            <w:shd w:val="clear" w:color="auto" w:fill="EDEDED"/>
          </w:tcPr>
          <w:p>
            <w:pPr>
              <w:ind w:left="280"/>
              <w:spacing w:after="0"/>
              <w:rPr>
                <w:sz w:val="20"/>
                <w:szCs w:val="20"/>
                <w:color w:val="auto"/>
              </w:rPr>
            </w:pPr>
            <w:r>
              <w:rPr>
                <w:rFonts w:ascii="Arial" w:cs="Arial" w:eastAsia="Arial" w:hAnsi="Arial"/>
                <w:sz w:val="20"/>
                <w:szCs w:val="20"/>
                <w:color w:val="00162F"/>
              </w:rPr>
              <w:t xml:space="preserve">10.75% senior secured IP notes </w:t>
            </w:r>
            <w:r>
              <w:rPr>
                <w:rFonts w:ascii="Arial" w:cs="Arial" w:eastAsia="Arial" w:hAnsi="Arial"/>
                <w:sz w:val="12"/>
                <w:szCs w:val="12"/>
                <w:color w:val="00162F"/>
              </w:rPr>
              <w:t>(b)</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781</w:t>
            </w:r>
          </w:p>
        </w:tc>
        <w:tc>
          <w:tcPr>
            <w:tcW w:w="0" w:type="dxa"/>
            <w:vAlign w:val="bottom"/>
          </w:tcPr>
          <w:p>
            <w:pPr>
              <w:spacing w:after="0"/>
              <w:rPr>
                <w:sz w:val="1"/>
                <w:szCs w:val="1"/>
                <w:color w:val="auto"/>
              </w:rPr>
            </w:pPr>
          </w:p>
        </w:tc>
      </w:tr>
      <w:tr>
        <w:trPr>
          <w:trHeight w:val="278"/>
        </w:trPr>
        <w:tc>
          <w:tcPr>
            <w:tcW w:w="7900" w:type="dxa"/>
            <w:vAlign w:val="bottom"/>
          </w:tcPr>
          <w:p>
            <w:pPr>
              <w:ind w:left="280"/>
              <w:spacing w:after="0"/>
              <w:rPr>
                <w:sz w:val="20"/>
                <w:szCs w:val="20"/>
                <w:color w:val="auto"/>
              </w:rPr>
            </w:pPr>
            <w:r>
              <w:rPr>
                <w:rFonts w:ascii="Arial" w:cs="Arial" w:eastAsia="Arial" w:hAnsi="Arial"/>
                <w:sz w:val="20"/>
                <w:szCs w:val="20"/>
                <w:color w:val="00162F"/>
              </w:rPr>
              <w:t xml:space="preserve">10.75% senior secured LGA/DCA notes </w:t>
            </w:r>
            <w:r>
              <w:rPr>
                <w:rFonts w:ascii="Arial" w:cs="Arial" w:eastAsia="Arial" w:hAnsi="Arial"/>
                <w:sz w:val="12"/>
                <w:szCs w:val="12"/>
                <w:color w:val="00162F"/>
              </w:rPr>
              <w:t>(b)</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156</w:t>
            </w:r>
          </w:p>
        </w:tc>
        <w:tc>
          <w:tcPr>
            <w:tcW w:w="0" w:type="dxa"/>
            <w:vAlign w:val="bottom"/>
          </w:tcPr>
          <w:p>
            <w:pPr>
              <w:spacing w:after="0"/>
              <w:rPr>
                <w:sz w:val="1"/>
                <w:szCs w:val="1"/>
                <w:color w:val="auto"/>
              </w:rPr>
            </w:pPr>
          </w:p>
        </w:tc>
      </w:tr>
      <w:tr>
        <w:trPr>
          <w:trHeight w:val="286"/>
        </w:trPr>
        <w:tc>
          <w:tcPr>
            <w:tcW w:w="7900" w:type="dxa"/>
            <w:vAlign w:val="bottom"/>
            <w:shd w:val="clear" w:color="auto" w:fill="EDEDED"/>
          </w:tcPr>
          <w:p>
            <w:pPr>
              <w:ind w:left="280"/>
              <w:spacing w:after="0"/>
              <w:rPr>
                <w:sz w:val="20"/>
                <w:szCs w:val="20"/>
                <w:color w:val="auto"/>
              </w:rPr>
            </w:pPr>
            <w:r>
              <w:rPr>
                <w:rFonts w:ascii="Arial" w:cs="Arial" w:eastAsia="Arial" w:hAnsi="Arial"/>
                <w:sz w:val="20"/>
                <w:szCs w:val="20"/>
                <w:color w:val="00162F"/>
              </w:rPr>
              <w:t xml:space="preserve">7.25% senior secured notes, interest only payments until due in February 2028 </w:t>
            </w:r>
            <w:r>
              <w:rPr>
                <w:rFonts w:ascii="Arial" w:cs="Arial" w:eastAsia="Arial" w:hAnsi="Arial"/>
                <w:sz w:val="12"/>
                <w:szCs w:val="12"/>
                <w:color w:val="00162F"/>
              </w:rPr>
              <w:t>(b)</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750</w:t>
            </w: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750</w:t>
            </w:r>
          </w:p>
        </w:tc>
        <w:tc>
          <w:tcPr>
            <w:tcW w:w="0" w:type="dxa"/>
            <w:vAlign w:val="bottom"/>
          </w:tcPr>
          <w:p>
            <w:pPr>
              <w:spacing w:after="0"/>
              <w:rPr>
                <w:sz w:val="1"/>
                <w:szCs w:val="1"/>
                <w:color w:val="auto"/>
              </w:rPr>
            </w:pPr>
          </w:p>
        </w:tc>
      </w:tr>
      <w:tr>
        <w:trPr>
          <w:trHeight w:val="278"/>
        </w:trPr>
        <w:tc>
          <w:tcPr>
            <w:tcW w:w="7900" w:type="dxa"/>
            <w:vAlign w:val="bottom"/>
          </w:tcPr>
          <w:p>
            <w:pPr>
              <w:ind w:left="280"/>
              <w:spacing w:after="0"/>
              <w:rPr>
                <w:sz w:val="20"/>
                <w:szCs w:val="20"/>
                <w:color w:val="auto"/>
              </w:rPr>
            </w:pPr>
            <w:r>
              <w:rPr>
                <w:rFonts w:ascii="Arial" w:cs="Arial" w:eastAsia="Arial" w:hAnsi="Arial"/>
                <w:sz w:val="20"/>
                <w:szCs w:val="20"/>
                <w:color w:val="00162F"/>
              </w:rPr>
              <w:t xml:space="preserve">8.50% senior secured notes, interest only payments until due in May 2029 </w:t>
            </w:r>
            <w:r>
              <w:rPr>
                <w:rFonts w:ascii="Arial" w:cs="Arial" w:eastAsia="Arial" w:hAnsi="Arial"/>
                <w:sz w:val="12"/>
                <w:szCs w:val="12"/>
                <w:color w:val="00162F"/>
              </w:rPr>
              <w:t>(b)</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1,000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1,000</w:t>
            </w:r>
          </w:p>
        </w:tc>
        <w:tc>
          <w:tcPr>
            <w:tcW w:w="0" w:type="dxa"/>
            <w:vAlign w:val="bottom"/>
          </w:tcPr>
          <w:p>
            <w:pPr>
              <w:spacing w:after="0"/>
              <w:rPr>
                <w:sz w:val="1"/>
                <w:szCs w:val="1"/>
                <w:color w:val="auto"/>
              </w:rPr>
            </w:pPr>
          </w:p>
        </w:tc>
      </w:tr>
      <w:tr>
        <w:trPr>
          <w:trHeight w:val="286"/>
        </w:trPr>
        <w:tc>
          <w:tcPr>
            <w:tcW w:w="7900" w:type="dxa"/>
            <w:vAlign w:val="bottom"/>
            <w:shd w:val="clear" w:color="auto" w:fill="EDEDED"/>
          </w:tcPr>
          <w:p>
            <w:pPr>
              <w:ind w:left="280"/>
              <w:spacing w:after="0"/>
              <w:rPr>
                <w:sz w:val="20"/>
                <w:szCs w:val="20"/>
                <w:color w:val="auto"/>
              </w:rPr>
            </w:pPr>
            <w:r>
              <w:rPr>
                <w:rFonts w:ascii="Arial" w:cs="Arial" w:eastAsia="Arial" w:hAnsi="Arial"/>
                <w:sz w:val="20"/>
                <w:szCs w:val="20"/>
                <w:color w:val="00162F"/>
              </w:rPr>
              <w:t xml:space="preserve">5.50% senior secured notes, installments until due in April 2026 </w:t>
            </w:r>
            <w:r>
              <w:rPr>
                <w:rFonts w:ascii="Arial" w:cs="Arial" w:eastAsia="Arial" w:hAnsi="Arial"/>
                <w:sz w:val="12"/>
                <w:szCs w:val="12"/>
                <w:color w:val="00162F"/>
              </w:rPr>
              <w:t>(c)</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583</w:t>
            </w: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1,750</w:t>
            </w:r>
          </w:p>
        </w:tc>
        <w:tc>
          <w:tcPr>
            <w:tcW w:w="0" w:type="dxa"/>
            <w:vAlign w:val="bottom"/>
          </w:tcPr>
          <w:p>
            <w:pPr>
              <w:spacing w:after="0"/>
              <w:rPr>
                <w:sz w:val="1"/>
                <w:szCs w:val="1"/>
                <w:color w:val="auto"/>
              </w:rPr>
            </w:pPr>
          </w:p>
        </w:tc>
      </w:tr>
      <w:tr>
        <w:trPr>
          <w:trHeight w:val="196"/>
        </w:trPr>
        <w:tc>
          <w:tcPr>
            <w:tcW w:w="7900" w:type="dxa"/>
            <w:vAlign w:val="bottom"/>
          </w:tcPr>
          <w:p>
            <w:pPr>
              <w:ind w:left="280"/>
              <w:spacing w:after="0" w:line="196" w:lineRule="exact"/>
              <w:rPr>
                <w:sz w:val="20"/>
                <w:szCs w:val="20"/>
                <w:color w:val="auto"/>
              </w:rPr>
            </w:pPr>
            <w:r>
              <w:rPr>
                <w:rFonts w:ascii="Arial" w:cs="Arial" w:eastAsia="Arial" w:hAnsi="Arial"/>
                <w:sz w:val="20"/>
                <w:szCs w:val="20"/>
                <w:color w:val="00162F"/>
              </w:rPr>
              <w:t>5.75% senior secured notes, installments beginning in July 2026 until due in April</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3,000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3,000</w:t>
            </w:r>
          </w:p>
        </w:tc>
        <w:tc>
          <w:tcPr>
            <w:tcW w:w="0" w:type="dxa"/>
            <w:vAlign w:val="bottom"/>
          </w:tcPr>
          <w:p>
            <w:pPr>
              <w:spacing w:after="0"/>
              <w:rPr>
                <w:sz w:val="1"/>
                <w:szCs w:val="1"/>
                <w:color w:val="auto"/>
              </w:rPr>
            </w:pPr>
          </w:p>
        </w:tc>
      </w:tr>
      <w:tr>
        <w:trPr>
          <w:trHeight w:val="275"/>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2029 </w:t>
            </w:r>
            <w:r>
              <w:rPr>
                <w:rFonts w:ascii="Arial" w:cs="Arial" w:eastAsia="Arial" w:hAnsi="Arial"/>
                <w:sz w:val="12"/>
                <w:szCs w:val="12"/>
                <w:color w:val="00162F"/>
              </w:rPr>
              <w:t>(c)</w:t>
            </w:r>
          </w:p>
        </w:tc>
        <w:tc>
          <w:tcPr>
            <w:tcW w:w="3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7900" w:type="dxa"/>
            <w:vAlign w:val="bottom"/>
            <w:shd w:val="clear" w:color="auto" w:fill="EDEDED"/>
          </w:tcPr>
          <w:p>
            <w:pPr>
              <w:ind w:left="280"/>
              <w:spacing w:after="0" w:line="200" w:lineRule="exact"/>
              <w:rPr>
                <w:sz w:val="20"/>
                <w:szCs w:val="20"/>
                <w:color w:val="auto"/>
              </w:rPr>
            </w:pPr>
            <w:r>
              <w:rPr>
                <w:rFonts w:ascii="Arial" w:cs="Arial" w:eastAsia="Arial" w:hAnsi="Arial"/>
                <w:sz w:val="20"/>
                <w:szCs w:val="20"/>
                <w:color w:val="00162F"/>
                <w:w w:val="99"/>
              </w:rPr>
              <w:t>2021 AAdvantage Term Loan Facility, variable interest rate of 6.13%, installments until</w:t>
            </w:r>
          </w:p>
        </w:tc>
        <w:tc>
          <w:tcPr>
            <w:tcW w:w="340" w:type="dxa"/>
            <w:vAlign w:val="bottom"/>
            <w:shd w:val="clear" w:color="auto" w:fill="EDEDED"/>
          </w:tcPr>
          <w:p>
            <w:pPr>
              <w:spacing w:after="0"/>
              <w:rPr>
                <w:sz w:val="17"/>
                <w:szCs w:val="17"/>
                <w:color w:val="auto"/>
              </w:rPr>
            </w:pPr>
          </w:p>
        </w:tc>
        <w:tc>
          <w:tcPr>
            <w:tcW w:w="102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2,264</w:t>
            </w:r>
          </w:p>
        </w:tc>
        <w:tc>
          <w:tcPr>
            <w:tcW w:w="80" w:type="dxa"/>
            <w:vAlign w:val="bottom"/>
            <w:shd w:val="clear" w:color="auto" w:fill="EDEDED"/>
          </w:tcPr>
          <w:p>
            <w:pPr>
              <w:spacing w:after="0"/>
              <w:rPr>
                <w:sz w:val="17"/>
                <w:szCs w:val="17"/>
                <w:color w:val="auto"/>
              </w:rPr>
            </w:pPr>
          </w:p>
        </w:tc>
        <w:tc>
          <w:tcPr>
            <w:tcW w:w="480" w:type="dxa"/>
            <w:vAlign w:val="bottom"/>
            <w:shd w:val="clear" w:color="auto" w:fill="EDEDED"/>
          </w:tcPr>
          <w:p>
            <w:pPr>
              <w:spacing w:after="0"/>
              <w:rPr>
                <w:sz w:val="17"/>
                <w:szCs w:val="17"/>
                <w:color w:val="auto"/>
              </w:rPr>
            </w:pPr>
          </w:p>
        </w:tc>
        <w:tc>
          <w:tcPr>
            <w:tcW w:w="86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2,450</w:t>
            </w:r>
          </w:p>
        </w:tc>
        <w:tc>
          <w:tcPr>
            <w:tcW w:w="0" w:type="dxa"/>
            <w:vAlign w:val="bottom"/>
          </w:tcPr>
          <w:p>
            <w:pPr>
              <w:spacing w:after="0"/>
              <w:rPr>
                <w:sz w:val="1"/>
                <w:szCs w:val="1"/>
                <w:color w:val="auto"/>
              </w:rPr>
            </w:pPr>
          </w:p>
        </w:tc>
      </w:tr>
      <w:tr>
        <w:trPr>
          <w:trHeight w:val="279"/>
        </w:trPr>
        <w:tc>
          <w:tcPr>
            <w:tcW w:w="7900" w:type="dxa"/>
            <w:vAlign w:val="bottom"/>
            <w:shd w:val="clear" w:color="auto" w:fill="EDEDED"/>
          </w:tcPr>
          <w:p>
            <w:pPr>
              <w:ind w:left="460"/>
              <w:spacing w:after="0"/>
              <w:rPr>
                <w:sz w:val="20"/>
                <w:szCs w:val="20"/>
                <w:color w:val="auto"/>
              </w:rPr>
            </w:pPr>
            <w:r>
              <w:rPr>
                <w:rFonts w:ascii="Arial" w:cs="Arial" w:eastAsia="Arial" w:hAnsi="Arial"/>
                <w:sz w:val="20"/>
                <w:szCs w:val="20"/>
                <w:color w:val="00162F"/>
              </w:rPr>
              <w:t xml:space="preserve">due in April 2028 </w:t>
            </w:r>
            <w:r>
              <w:rPr>
                <w:rFonts w:ascii="Arial" w:cs="Arial" w:eastAsia="Arial" w:hAnsi="Arial"/>
                <w:sz w:val="12"/>
                <w:szCs w:val="12"/>
                <w:color w:val="00162F"/>
              </w:rPr>
              <w:t>(c)</w:t>
            </w:r>
          </w:p>
        </w:tc>
        <w:tc>
          <w:tcPr>
            <w:tcW w:w="340" w:type="dxa"/>
            <w:vAlign w:val="bottom"/>
            <w:shd w:val="clear" w:color="auto" w:fill="EDEDED"/>
          </w:tcPr>
          <w:p>
            <w:pPr>
              <w:spacing w:after="0"/>
              <w:rPr>
                <w:sz w:val="24"/>
                <w:szCs w:val="24"/>
                <w:color w:val="auto"/>
              </w:rPr>
            </w:pPr>
          </w:p>
        </w:tc>
        <w:tc>
          <w:tcPr>
            <w:tcW w:w="1020" w:type="dxa"/>
            <w:vAlign w:val="bottom"/>
            <w:vMerge w:val="continue"/>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vMerge w:val="continue"/>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80"/>
              <w:spacing w:after="0" w:line="206" w:lineRule="exact"/>
              <w:rPr>
                <w:sz w:val="20"/>
                <w:szCs w:val="20"/>
                <w:color w:val="auto"/>
              </w:rPr>
            </w:pPr>
            <w:r>
              <w:rPr>
                <w:rFonts w:ascii="Arial" w:cs="Arial" w:eastAsia="Arial" w:hAnsi="Arial"/>
                <w:sz w:val="20"/>
                <w:szCs w:val="20"/>
                <w:color w:val="00162F"/>
                <w:w w:val="99"/>
              </w:rPr>
              <w:t>2025 AAdvantage Term Loan Facility, variable interest rate of 7.13%, installments until</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995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w:t>
            </w:r>
          </w:p>
        </w:tc>
        <w:tc>
          <w:tcPr>
            <w:tcW w:w="0" w:type="dxa"/>
            <w:vAlign w:val="bottom"/>
          </w:tcPr>
          <w:p>
            <w:pPr>
              <w:spacing w:after="0"/>
              <w:rPr>
                <w:sz w:val="1"/>
                <w:szCs w:val="1"/>
                <w:color w:val="auto"/>
              </w:rPr>
            </w:pPr>
          </w:p>
        </w:tc>
      </w:tr>
      <w:tr>
        <w:trPr>
          <w:trHeight w:val="266"/>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due in May 2032 </w:t>
            </w:r>
            <w:r>
              <w:rPr>
                <w:rFonts w:ascii="Arial" w:cs="Arial" w:eastAsia="Arial" w:hAnsi="Arial"/>
                <w:sz w:val="12"/>
                <w:szCs w:val="12"/>
                <w:color w:val="00162F"/>
              </w:rPr>
              <w:t>(c)</w:t>
            </w:r>
          </w:p>
        </w:tc>
        <w:tc>
          <w:tcPr>
            <w:tcW w:w="3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EDEDED"/>
          </w:tcPr>
          <w:p>
            <w:pPr>
              <w:ind w:left="280"/>
              <w:spacing w:after="0" w:line="209" w:lineRule="exact"/>
              <w:rPr>
                <w:sz w:val="20"/>
                <w:szCs w:val="20"/>
                <w:color w:val="auto"/>
              </w:rPr>
            </w:pPr>
            <w:r>
              <w:rPr>
                <w:rFonts w:ascii="Arial" w:cs="Arial" w:eastAsia="Arial" w:hAnsi="Arial"/>
                <w:sz w:val="20"/>
                <w:szCs w:val="20"/>
                <w:color w:val="00162F"/>
              </w:rPr>
              <w:t>Enhanced equipment trust certificates (EETCs), fixed interest rates ranging from</w:t>
            </w:r>
          </w:p>
        </w:tc>
        <w:tc>
          <w:tcPr>
            <w:tcW w:w="340" w:type="dxa"/>
            <w:vAlign w:val="bottom"/>
            <w:shd w:val="clear" w:color="auto" w:fill="EDEDED"/>
          </w:tcPr>
          <w:p>
            <w:pPr>
              <w:spacing w:after="0"/>
              <w:rPr>
                <w:sz w:val="18"/>
                <w:szCs w:val="18"/>
                <w:color w:val="auto"/>
              </w:rPr>
            </w:pPr>
          </w:p>
        </w:tc>
        <w:tc>
          <w:tcPr>
            <w:tcW w:w="102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6,912</w:t>
            </w:r>
          </w:p>
        </w:tc>
        <w:tc>
          <w:tcPr>
            <w:tcW w:w="80" w:type="dxa"/>
            <w:vAlign w:val="bottom"/>
            <w:shd w:val="clear" w:color="auto" w:fill="EDEDED"/>
          </w:tcPr>
          <w:p>
            <w:pPr>
              <w:spacing w:after="0"/>
              <w:rPr>
                <w:sz w:val="18"/>
                <w:szCs w:val="18"/>
                <w:color w:val="auto"/>
              </w:rPr>
            </w:pPr>
          </w:p>
        </w:tc>
        <w:tc>
          <w:tcPr>
            <w:tcW w:w="480" w:type="dxa"/>
            <w:vAlign w:val="bottom"/>
            <w:shd w:val="clear" w:color="auto" w:fill="EDEDED"/>
          </w:tcPr>
          <w:p>
            <w:pPr>
              <w:spacing w:after="0"/>
              <w:rPr>
                <w:sz w:val="18"/>
                <w:szCs w:val="18"/>
                <w:color w:val="auto"/>
              </w:rPr>
            </w:pPr>
          </w:p>
        </w:tc>
        <w:tc>
          <w:tcPr>
            <w:tcW w:w="86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7,271</w:t>
            </w:r>
          </w:p>
        </w:tc>
        <w:tc>
          <w:tcPr>
            <w:tcW w:w="0" w:type="dxa"/>
            <w:vAlign w:val="bottom"/>
          </w:tcPr>
          <w:p>
            <w:pPr>
              <w:spacing w:after="0"/>
              <w:rPr>
                <w:sz w:val="1"/>
                <w:szCs w:val="1"/>
                <w:color w:val="auto"/>
              </w:rPr>
            </w:pPr>
          </w:p>
        </w:tc>
      </w:tr>
      <w:tr>
        <w:trPr>
          <w:trHeight w:val="269"/>
        </w:trPr>
        <w:tc>
          <w:tcPr>
            <w:tcW w:w="7900" w:type="dxa"/>
            <w:vAlign w:val="bottom"/>
            <w:shd w:val="clear" w:color="auto" w:fill="EDEDED"/>
          </w:tcPr>
          <w:p>
            <w:pPr>
              <w:ind w:left="460"/>
              <w:spacing w:after="0"/>
              <w:rPr>
                <w:sz w:val="20"/>
                <w:szCs w:val="20"/>
                <w:color w:val="auto"/>
              </w:rPr>
            </w:pPr>
            <w:r>
              <w:rPr>
                <w:rFonts w:ascii="Arial" w:cs="Arial" w:eastAsia="Arial" w:hAnsi="Arial"/>
                <w:sz w:val="20"/>
                <w:szCs w:val="20"/>
                <w:color w:val="00162F"/>
              </w:rPr>
              <w:t xml:space="preserve">2.88% to 7.15%, averaging 3.95%, maturing from 2026 to 2038 </w:t>
            </w:r>
            <w:r>
              <w:rPr>
                <w:rFonts w:ascii="Arial" w:cs="Arial" w:eastAsia="Arial" w:hAnsi="Arial"/>
                <w:sz w:val="12"/>
                <w:szCs w:val="12"/>
                <w:color w:val="00162F"/>
              </w:rPr>
              <w:t>(d)</w:t>
            </w:r>
          </w:p>
        </w:tc>
        <w:tc>
          <w:tcPr>
            <w:tcW w:w="340" w:type="dxa"/>
            <w:vAlign w:val="bottom"/>
            <w:shd w:val="clear" w:color="auto" w:fill="EDEDED"/>
          </w:tcPr>
          <w:p>
            <w:pPr>
              <w:spacing w:after="0"/>
              <w:rPr>
                <w:sz w:val="23"/>
                <w:szCs w:val="23"/>
                <w:color w:val="auto"/>
              </w:rPr>
            </w:pPr>
          </w:p>
        </w:tc>
        <w:tc>
          <w:tcPr>
            <w:tcW w:w="1020" w:type="dxa"/>
            <w:vAlign w:val="bottom"/>
            <w:vMerge w:val="continue"/>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480" w:type="dxa"/>
            <w:vAlign w:val="bottom"/>
            <w:shd w:val="clear" w:color="auto" w:fill="EDEDED"/>
          </w:tcPr>
          <w:p>
            <w:pPr>
              <w:spacing w:after="0"/>
              <w:rPr>
                <w:sz w:val="23"/>
                <w:szCs w:val="23"/>
                <w:color w:val="auto"/>
              </w:rPr>
            </w:pPr>
          </w:p>
        </w:tc>
        <w:tc>
          <w:tcPr>
            <w:tcW w:w="860" w:type="dxa"/>
            <w:vAlign w:val="bottom"/>
            <w:vMerge w:val="continue"/>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80"/>
              <w:spacing w:after="0" w:line="206" w:lineRule="exact"/>
              <w:rPr>
                <w:sz w:val="20"/>
                <w:szCs w:val="20"/>
                <w:color w:val="auto"/>
              </w:rPr>
            </w:pPr>
            <w:r>
              <w:rPr>
                <w:rFonts w:ascii="Arial" w:cs="Arial" w:eastAsia="Arial" w:hAnsi="Arial"/>
                <w:sz w:val="20"/>
                <w:szCs w:val="20"/>
                <w:color w:val="00162F"/>
              </w:rPr>
              <w:t>Equipment loans and other notes payable, fixed and variable interest rates ranging</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4,719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4,094</w:t>
            </w:r>
          </w:p>
        </w:tc>
        <w:tc>
          <w:tcPr>
            <w:tcW w:w="0" w:type="dxa"/>
            <w:vAlign w:val="bottom"/>
          </w:tcPr>
          <w:p>
            <w:pPr>
              <w:spacing w:after="0"/>
              <w:rPr>
                <w:sz w:val="1"/>
                <w:szCs w:val="1"/>
                <w:color w:val="auto"/>
              </w:rPr>
            </w:pPr>
          </w:p>
        </w:tc>
      </w:tr>
      <w:tr>
        <w:trPr>
          <w:trHeight w:val="266"/>
        </w:trPr>
        <w:tc>
          <w:tcPr>
            <w:tcW w:w="7900" w:type="dxa"/>
            <w:vAlign w:val="bottom"/>
          </w:tcPr>
          <w:p>
            <w:pPr>
              <w:ind w:left="460"/>
              <w:spacing w:after="0"/>
              <w:rPr>
                <w:sz w:val="20"/>
                <w:szCs w:val="20"/>
                <w:color w:val="auto"/>
              </w:rPr>
            </w:pPr>
            <w:r>
              <w:rPr>
                <w:rFonts w:ascii="Arial" w:cs="Arial" w:eastAsia="Arial" w:hAnsi="Arial"/>
                <w:sz w:val="20"/>
                <w:szCs w:val="20"/>
                <w:color w:val="00162F"/>
              </w:rPr>
              <w:t xml:space="preserve">from 2.55% to 6.56%, averaging 5.57%, maturing from 2026 to 2037 </w:t>
            </w:r>
            <w:r>
              <w:rPr>
                <w:rFonts w:ascii="Arial" w:cs="Arial" w:eastAsia="Arial" w:hAnsi="Arial"/>
                <w:sz w:val="12"/>
                <w:szCs w:val="12"/>
                <w:color w:val="00162F"/>
              </w:rPr>
              <w:t>(e)</w:t>
            </w:r>
          </w:p>
        </w:tc>
        <w:tc>
          <w:tcPr>
            <w:tcW w:w="3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EDEDED"/>
          </w:tcPr>
          <w:p>
            <w:pPr>
              <w:ind w:left="280"/>
              <w:spacing w:after="0" w:line="209" w:lineRule="exact"/>
              <w:rPr>
                <w:sz w:val="20"/>
                <w:szCs w:val="20"/>
                <w:color w:val="auto"/>
              </w:rPr>
            </w:pPr>
            <w:r>
              <w:rPr>
                <w:rFonts w:ascii="Arial" w:cs="Arial" w:eastAsia="Arial" w:hAnsi="Arial"/>
                <w:sz w:val="20"/>
                <w:szCs w:val="20"/>
                <w:color w:val="00162F"/>
              </w:rPr>
              <w:t>Special facility revenue bonds, fixed interest rates ranging from 2.25% to 5.38%,</w:t>
            </w:r>
          </w:p>
        </w:tc>
        <w:tc>
          <w:tcPr>
            <w:tcW w:w="340" w:type="dxa"/>
            <w:vAlign w:val="bottom"/>
            <w:shd w:val="clear" w:color="auto" w:fill="EDEDED"/>
          </w:tcPr>
          <w:p>
            <w:pPr>
              <w:spacing w:after="0"/>
              <w:rPr>
                <w:sz w:val="18"/>
                <w:szCs w:val="18"/>
                <w:color w:val="auto"/>
              </w:rPr>
            </w:pPr>
          </w:p>
        </w:tc>
        <w:tc>
          <w:tcPr>
            <w:tcW w:w="102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789</w:t>
            </w:r>
          </w:p>
        </w:tc>
        <w:tc>
          <w:tcPr>
            <w:tcW w:w="80" w:type="dxa"/>
            <w:vAlign w:val="bottom"/>
            <w:shd w:val="clear" w:color="auto" w:fill="EDEDED"/>
          </w:tcPr>
          <w:p>
            <w:pPr>
              <w:spacing w:after="0"/>
              <w:rPr>
                <w:sz w:val="18"/>
                <w:szCs w:val="18"/>
                <w:color w:val="auto"/>
              </w:rPr>
            </w:pPr>
          </w:p>
        </w:tc>
        <w:tc>
          <w:tcPr>
            <w:tcW w:w="480" w:type="dxa"/>
            <w:vAlign w:val="bottom"/>
            <w:shd w:val="clear" w:color="auto" w:fill="EDEDED"/>
          </w:tcPr>
          <w:p>
            <w:pPr>
              <w:spacing w:after="0"/>
              <w:rPr>
                <w:sz w:val="18"/>
                <w:szCs w:val="18"/>
                <w:color w:val="auto"/>
              </w:rPr>
            </w:pPr>
          </w:p>
        </w:tc>
        <w:tc>
          <w:tcPr>
            <w:tcW w:w="86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880</w:t>
            </w:r>
          </w:p>
        </w:tc>
        <w:tc>
          <w:tcPr>
            <w:tcW w:w="0" w:type="dxa"/>
            <w:vAlign w:val="bottom"/>
          </w:tcPr>
          <w:p>
            <w:pPr>
              <w:spacing w:after="0"/>
              <w:rPr>
                <w:sz w:val="1"/>
                <w:szCs w:val="1"/>
                <w:color w:val="auto"/>
              </w:rPr>
            </w:pPr>
          </w:p>
        </w:tc>
      </w:tr>
      <w:tr>
        <w:trPr>
          <w:trHeight w:val="259"/>
        </w:trPr>
        <w:tc>
          <w:tcPr>
            <w:tcW w:w="7900" w:type="dxa"/>
            <w:vAlign w:val="bottom"/>
            <w:tcBorders>
              <w:bottom w:val="single" w:sz="8" w:color="EDEDED"/>
            </w:tcBorders>
            <w:shd w:val="clear" w:color="auto" w:fill="EDEDED"/>
          </w:tcPr>
          <w:p>
            <w:pPr>
              <w:ind w:left="460"/>
              <w:spacing w:after="0"/>
              <w:rPr>
                <w:sz w:val="20"/>
                <w:szCs w:val="20"/>
                <w:color w:val="auto"/>
              </w:rPr>
            </w:pPr>
            <w:r>
              <w:rPr>
                <w:rFonts w:ascii="Arial" w:cs="Arial" w:eastAsia="Arial" w:hAnsi="Arial"/>
                <w:sz w:val="20"/>
                <w:szCs w:val="20"/>
                <w:color w:val="00162F"/>
              </w:rPr>
              <w:t>maturing from 2026 to 2036</w:t>
            </w:r>
          </w:p>
        </w:tc>
        <w:tc>
          <w:tcPr>
            <w:tcW w:w="340" w:type="dxa"/>
            <w:vAlign w:val="bottom"/>
            <w:tcBorders>
              <w:bottom w:val="single" w:sz="8" w:color="00162F"/>
            </w:tcBorders>
            <w:shd w:val="clear" w:color="auto" w:fill="EDEDED"/>
          </w:tcPr>
          <w:p>
            <w:pPr>
              <w:spacing w:after="0"/>
              <w:rPr>
                <w:sz w:val="22"/>
                <w:szCs w:val="22"/>
                <w:color w:val="auto"/>
              </w:rPr>
            </w:pPr>
          </w:p>
        </w:tc>
        <w:tc>
          <w:tcPr>
            <w:tcW w:w="1020" w:type="dxa"/>
            <w:vAlign w:val="bottom"/>
            <w:tcBorders>
              <w:bottom w:val="single" w:sz="8" w:color="00162F"/>
            </w:tcBorders>
            <w:vMerge w:val="continue"/>
            <w:shd w:val="clear" w:color="auto" w:fill="EDEDED"/>
          </w:tcPr>
          <w:p>
            <w:pPr>
              <w:spacing w:after="0"/>
              <w:rPr>
                <w:sz w:val="22"/>
                <w:szCs w:val="22"/>
                <w:color w:val="auto"/>
              </w:rPr>
            </w:pPr>
          </w:p>
        </w:tc>
        <w:tc>
          <w:tcPr>
            <w:tcW w:w="80" w:type="dxa"/>
            <w:vAlign w:val="bottom"/>
            <w:tcBorders>
              <w:bottom w:val="single" w:sz="8" w:color="EDEDED"/>
            </w:tcBorders>
            <w:shd w:val="clear" w:color="auto" w:fill="EDEDED"/>
          </w:tcPr>
          <w:p>
            <w:pPr>
              <w:spacing w:after="0"/>
              <w:rPr>
                <w:sz w:val="22"/>
                <w:szCs w:val="22"/>
                <w:color w:val="auto"/>
              </w:rPr>
            </w:pPr>
          </w:p>
        </w:tc>
        <w:tc>
          <w:tcPr>
            <w:tcW w:w="480" w:type="dxa"/>
            <w:vAlign w:val="bottom"/>
            <w:tcBorders>
              <w:bottom w:val="single" w:sz="8" w:color="00162F"/>
            </w:tcBorders>
            <w:shd w:val="clear" w:color="auto" w:fill="EDEDED"/>
          </w:tcPr>
          <w:p>
            <w:pPr>
              <w:spacing w:after="0"/>
              <w:rPr>
                <w:sz w:val="22"/>
                <w:szCs w:val="22"/>
                <w:color w:val="auto"/>
              </w:rPr>
            </w:pPr>
          </w:p>
        </w:tc>
        <w:tc>
          <w:tcPr>
            <w:tcW w:w="860" w:type="dxa"/>
            <w:vAlign w:val="bottom"/>
            <w:tcBorders>
              <w:bottom w:val="single" w:sz="8" w:color="00162F"/>
            </w:tcBorders>
            <w:vMerge w:val="continue"/>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900" w:type="dxa"/>
            <w:vAlign w:val="bottom"/>
            <w:tcBorders>
              <w:bottom w:val="single" w:sz="8" w:color="EDEDED"/>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10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24,219</w:t>
            </w:r>
          </w:p>
        </w:tc>
        <w:tc>
          <w:tcPr>
            <w:tcW w:w="80" w:type="dxa"/>
            <w:vAlign w:val="bottom"/>
            <w:tcBorders>
              <w:bottom w:val="single" w:sz="8" w:color="EDEDED"/>
            </w:tcBorders>
          </w:tcPr>
          <w:p>
            <w:pPr>
              <w:spacing w:after="0"/>
              <w:rPr>
                <w:sz w:val="24"/>
                <w:szCs w:val="24"/>
                <w:color w:val="auto"/>
              </w:rPr>
            </w:pPr>
          </w:p>
        </w:tc>
        <w:tc>
          <w:tcPr>
            <w:tcW w:w="480" w:type="dxa"/>
            <w:vAlign w:val="bottom"/>
            <w:tcBorders>
              <w:bottom w:val="single" w:sz="8" w:color="00162F"/>
            </w:tcBorders>
          </w:tcPr>
          <w:p>
            <w:pPr>
              <w:spacing w:after="0"/>
              <w:rPr>
                <w:sz w:val="24"/>
                <w:szCs w:val="24"/>
                <w:color w:val="auto"/>
              </w:rPr>
            </w:pPr>
          </w:p>
        </w:tc>
        <w:tc>
          <w:tcPr>
            <w:tcW w:w="8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25,372</w:t>
            </w:r>
          </w:p>
        </w:tc>
        <w:tc>
          <w:tcPr>
            <w:tcW w:w="0" w:type="dxa"/>
            <w:vAlign w:val="bottom"/>
          </w:tcPr>
          <w:p>
            <w:pPr>
              <w:spacing w:after="0"/>
              <w:rPr>
                <w:sz w:val="1"/>
                <w:szCs w:val="1"/>
                <w:color w:val="auto"/>
              </w:rPr>
            </w:pPr>
          </w:p>
        </w:tc>
      </w:tr>
      <w:tr>
        <w:trPr>
          <w:trHeight w:val="287"/>
        </w:trPr>
        <w:tc>
          <w:tcPr>
            <w:tcW w:w="7900" w:type="dxa"/>
            <w:vAlign w:val="bottom"/>
            <w:shd w:val="clear" w:color="auto" w:fill="EDEDED"/>
          </w:tcPr>
          <w:p>
            <w:pPr>
              <w:ind w:left="40"/>
              <w:spacing w:after="0"/>
              <w:rPr>
                <w:sz w:val="20"/>
                <w:szCs w:val="20"/>
                <w:color w:val="auto"/>
              </w:rPr>
            </w:pPr>
            <w:r>
              <w:rPr>
                <w:rFonts w:ascii="Arial" w:cs="Arial" w:eastAsia="Arial" w:hAnsi="Arial"/>
                <w:sz w:val="20"/>
                <w:szCs w:val="20"/>
                <w:i w:val="1"/>
                <w:iCs w:val="1"/>
                <w:color w:val="00162F"/>
              </w:rPr>
              <w:t>Unsecured</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20"/>
              <w:spacing w:after="0" w:line="206" w:lineRule="exact"/>
              <w:rPr>
                <w:sz w:val="20"/>
                <w:szCs w:val="20"/>
                <w:color w:val="auto"/>
              </w:rPr>
            </w:pPr>
            <w:r>
              <w:rPr>
                <w:rFonts w:ascii="Arial" w:cs="Arial" w:eastAsia="Arial" w:hAnsi="Arial"/>
                <w:sz w:val="20"/>
                <w:szCs w:val="20"/>
                <w:color w:val="00162F"/>
              </w:rPr>
              <w:t>Senior short-term term loan facility, variable interest rate of 6.11%, interest only</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00162F"/>
              </w:rPr>
              <w:t>629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00162F"/>
              </w:rPr>
              <w:t>—</w:t>
            </w:r>
          </w:p>
        </w:tc>
        <w:tc>
          <w:tcPr>
            <w:tcW w:w="0" w:type="dxa"/>
            <w:vAlign w:val="bottom"/>
          </w:tcPr>
          <w:p>
            <w:pPr>
              <w:spacing w:after="0"/>
              <w:rPr>
                <w:sz w:val="1"/>
                <w:szCs w:val="1"/>
                <w:color w:val="auto"/>
              </w:rPr>
            </w:pPr>
          </w:p>
        </w:tc>
      </w:tr>
      <w:tr>
        <w:trPr>
          <w:trHeight w:val="259"/>
        </w:trPr>
        <w:tc>
          <w:tcPr>
            <w:tcW w:w="7900" w:type="dxa"/>
            <w:vAlign w:val="bottom"/>
            <w:tcBorders>
              <w:bottom w:val="single" w:sz="8" w:color="EDEDED"/>
            </w:tcBorders>
          </w:tcPr>
          <w:p>
            <w:pPr>
              <w:ind w:left="400"/>
              <w:spacing w:after="0"/>
              <w:rPr>
                <w:sz w:val="20"/>
                <w:szCs w:val="20"/>
                <w:color w:val="auto"/>
              </w:rPr>
            </w:pPr>
            <w:r>
              <w:rPr>
                <w:rFonts w:ascii="Arial" w:cs="Arial" w:eastAsia="Arial" w:hAnsi="Arial"/>
                <w:sz w:val="20"/>
                <w:szCs w:val="20"/>
                <w:color w:val="00162F"/>
              </w:rPr>
              <w:t xml:space="preserve">payments until due in January 2026 </w:t>
            </w:r>
            <w:r>
              <w:rPr>
                <w:rFonts w:ascii="Arial" w:cs="Arial" w:eastAsia="Arial" w:hAnsi="Arial"/>
                <w:sz w:val="12"/>
                <w:szCs w:val="12"/>
                <w:color w:val="00162F"/>
              </w:rPr>
              <w:t>(f)</w:t>
            </w:r>
          </w:p>
        </w:tc>
        <w:tc>
          <w:tcPr>
            <w:tcW w:w="340" w:type="dxa"/>
            <w:vAlign w:val="bottom"/>
            <w:tcBorders>
              <w:bottom w:val="single" w:sz="8" w:color="00162F"/>
            </w:tcBorders>
          </w:tcPr>
          <w:p>
            <w:pPr>
              <w:spacing w:after="0"/>
              <w:rPr>
                <w:sz w:val="22"/>
                <w:szCs w:val="22"/>
                <w:color w:val="auto"/>
              </w:rPr>
            </w:pPr>
          </w:p>
        </w:tc>
        <w:tc>
          <w:tcPr>
            <w:tcW w:w="1020" w:type="dxa"/>
            <w:vAlign w:val="bottom"/>
            <w:tcBorders>
              <w:bottom w:val="single" w:sz="8" w:color="00162F"/>
            </w:tcBorders>
            <w:vMerge w:val="continue"/>
          </w:tcPr>
          <w:p>
            <w:pPr>
              <w:spacing w:after="0"/>
              <w:rPr>
                <w:sz w:val="22"/>
                <w:szCs w:val="22"/>
                <w:color w:val="auto"/>
              </w:rPr>
            </w:pPr>
          </w:p>
        </w:tc>
        <w:tc>
          <w:tcPr>
            <w:tcW w:w="80" w:type="dxa"/>
            <w:vAlign w:val="bottom"/>
            <w:tcBorders>
              <w:bottom w:val="single" w:sz="8" w:color="EDEDED"/>
            </w:tcBorders>
          </w:tcPr>
          <w:p>
            <w:pPr>
              <w:spacing w:after="0"/>
              <w:rPr>
                <w:sz w:val="22"/>
                <w:szCs w:val="22"/>
                <w:color w:val="auto"/>
              </w:rPr>
            </w:pPr>
          </w:p>
        </w:tc>
        <w:tc>
          <w:tcPr>
            <w:tcW w:w="480" w:type="dxa"/>
            <w:vAlign w:val="bottom"/>
            <w:tcBorders>
              <w:bottom w:val="single" w:sz="8" w:color="00162F"/>
            </w:tcBorders>
          </w:tcPr>
          <w:p>
            <w:pPr>
              <w:spacing w:after="0"/>
              <w:rPr>
                <w:sz w:val="22"/>
                <w:szCs w:val="22"/>
                <w:color w:val="auto"/>
              </w:rPr>
            </w:pPr>
          </w:p>
        </w:tc>
        <w:tc>
          <w:tcPr>
            <w:tcW w:w="860" w:type="dxa"/>
            <w:vAlign w:val="bottom"/>
            <w:tcBorders>
              <w:bottom w:val="single" w:sz="8" w:color="00162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79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Total</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24,848</w:t>
            </w:r>
          </w:p>
        </w:tc>
        <w:tc>
          <w:tcPr>
            <w:tcW w:w="80" w:type="dxa"/>
            <w:vAlign w:val="bottom"/>
            <w:shd w:val="clear" w:color="auto" w:fill="EDEDED"/>
          </w:tcPr>
          <w:p>
            <w:pPr>
              <w:spacing w:after="0"/>
              <w:rPr>
                <w:sz w:val="24"/>
                <w:szCs w:val="24"/>
                <w:color w:val="auto"/>
              </w:rPr>
            </w:pPr>
          </w:p>
        </w:tc>
        <w:tc>
          <w:tcPr>
            <w:tcW w:w="48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25,372</w:t>
            </w:r>
          </w:p>
        </w:tc>
        <w:tc>
          <w:tcPr>
            <w:tcW w:w="0" w:type="dxa"/>
            <w:vAlign w:val="bottom"/>
          </w:tcPr>
          <w:p>
            <w:pPr>
              <w:spacing w:after="0"/>
              <w:rPr>
                <w:sz w:val="1"/>
                <w:szCs w:val="1"/>
                <w:color w:val="auto"/>
              </w:rPr>
            </w:pPr>
          </w:p>
        </w:tc>
      </w:tr>
      <w:tr>
        <w:trPr>
          <w:trHeight w:val="293"/>
        </w:trPr>
        <w:tc>
          <w:tcPr>
            <w:tcW w:w="7900" w:type="dxa"/>
            <w:vAlign w:val="bottom"/>
          </w:tcPr>
          <w:p>
            <w:pPr>
              <w:ind w:left="260"/>
              <w:spacing w:after="0"/>
              <w:rPr>
                <w:sz w:val="20"/>
                <w:szCs w:val="20"/>
                <w:color w:val="auto"/>
              </w:rPr>
            </w:pPr>
            <w:r>
              <w:rPr>
                <w:rFonts w:ascii="Arial" w:cs="Arial" w:eastAsia="Arial" w:hAnsi="Arial"/>
                <w:sz w:val="20"/>
                <w:szCs w:val="20"/>
                <w:color w:val="00162F"/>
              </w:rPr>
              <w:t>Less: Total unamortized debt discount, premium and issuance costs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313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300</w:t>
            </w:r>
          </w:p>
        </w:tc>
        <w:tc>
          <w:tcPr>
            <w:tcW w:w="0" w:type="dxa"/>
            <w:vAlign w:val="bottom"/>
          </w:tcPr>
          <w:p>
            <w:pPr>
              <w:spacing w:after="0"/>
              <w:rPr>
                <w:sz w:val="1"/>
                <w:szCs w:val="1"/>
                <w:color w:val="auto"/>
              </w:rPr>
            </w:pPr>
          </w:p>
        </w:tc>
      </w:tr>
      <w:tr>
        <w:trPr>
          <w:trHeight w:val="291"/>
        </w:trPr>
        <w:tc>
          <w:tcPr>
            <w:tcW w:w="790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Less: Current maturities</w:t>
            </w:r>
          </w:p>
        </w:tc>
        <w:tc>
          <w:tcPr>
            <w:tcW w:w="34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3,641</w:t>
            </w:r>
          </w:p>
        </w:tc>
        <w:tc>
          <w:tcPr>
            <w:tcW w:w="80" w:type="dxa"/>
            <w:vAlign w:val="bottom"/>
            <w:tcBorders>
              <w:bottom w:val="single" w:sz="8" w:color="EDEDED"/>
            </w:tcBorders>
            <w:shd w:val="clear" w:color="auto" w:fill="EDEDED"/>
          </w:tcPr>
          <w:p>
            <w:pPr>
              <w:spacing w:after="0"/>
              <w:rPr>
                <w:sz w:val="24"/>
                <w:szCs w:val="24"/>
                <w:color w:val="auto"/>
              </w:rPr>
            </w:pPr>
          </w:p>
        </w:tc>
        <w:tc>
          <w:tcPr>
            <w:tcW w:w="480" w:type="dxa"/>
            <w:vAlign w:val="bottom"/>
            <w:tcBorders>
              <w:bottom w:val="single" w:sz="8" w:color="00162F"/>
            </w:tcBorders>
            <w:shd w:val="clear" w:color="auto" w:fill="EDEDED"/>
          </w:tcPr>
          <w:p>
            <w:pPr>
              <w:spacing w:after="0"/>
              <w:rPr>
                <w:sz w:val="24"/>
                <w:szCs w:val="24"/>
                <w:color w:val="auto"/>
              </w:rPr>
            </w:pPr>
          </w:p>
        </w:tc>
        <w:tc>
          <w:tcPr>
            <w:tcW w:w="8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4,196</w:t>
            </w:r>
          </w:p>
        </w:tc>
        <w:tc>
          <w:tcPr>
            <w:tcW w:w="0" w:type="dxa"/>
            <w:vAlign w:val="bottom"/>
          </w:tcPr>
          <w:p>
            <w:pPr>
              <w:spacing w:after="0"/>
              <w:rPr>
                <w:sz w:val="1"/>
                <w:szCs w:val="1"/>
                <w:color w:val="auto"/>
              </w:rPr>
            </w:pPr>
          </w:p>
        </w:tc>
      </w:tr>
      <w:tr>
        <w:trPr>
          <w:trHeight w:val="257"/>
        </w:trPr>
        <w:tc>
          <w:tcPr>
            <w:tcW w:w="7900" w:type="dxa"/>
            <w:vAlign w:val="bottom"/>
          </w:tcPr>
          <w:p>
            <w:pPr>
              <w:ind w:left="540"/>
              <w:spacing w:after="0"/>
              <w:rPr>
                <w:sz w:val="20"/>
                <w:szCs w:val="20"/>
                <w:color w:val="auto"/>
              </w:rPr>
            </w:pPr>
            <w:r>
              <w:rPr>
                <w:rFonts w:ascii="Arial" w:cs="Arial" w:eastAsia="Arial" w:hAnsi="Arial"/>
                <w:sz w:val="20"/>
                <w:szCs w:val="20"/>
                <w:color w:val="00162F"/>
              </w:rPr>
              <w:t>Long-term debt, net of current maturities</w:t>
            </w:r>
          </w:p>
        </w:tc>
        <w:tc>
          <w:tcPr>
            <w:tcW w:w="340" w:type="dxa"/>
            <w:vAlign w:val="bottom"/>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20,894</w:t>
            </w:r>
          </w:p>
        </w:tc>
        <w:tc>
          <w:tcPr>
            <w:tcW w:w="560" w:type="dxa"/>
            <w:vAlign w:val="bottom"/>
            <w:gridSpan w:val="2"/>
          </w:tcPr>
          <w:p>
            <w:pPr>
              <w:jc w:val="right"/>
              <w:ind w:right="320"/>
              <w:spacing w:after="0"/>
              <w:rPr>
                <w:sz w:val="20"/>
                <w:szCs w:val="20"/>
                <w:color w:val="auto"/>
              </w:rPr>
            </w:pPr>
            <w:r>
              <w:rPr>
                <w:rFonts w:ascii="Arial" w:cs="Arial" w:eastAsia="Arial" w:hAnsi="Arial"/>
                <w:sz w:val="20"/>
                <w:szCs w:val="20"/>
                <w:color w:val="00162F"/>
              </w:rPr>
              <w:t>$</w:t>
            </w:r>
          </w:p>
        </w:tc>
        <w:tc>
          <w:tcPr>
            <w:tcW w:w="860" w:type="dxa"/>
            <w:vAlign w:val="bottom"/>
          </w:tcPr>
          <w:p>
            <w:pPr>
              <w:jc w:val="right"/>
              <w:spacing w:after="0"/>
              <w:rPr>
                <w:sz w:val="20"/>
                <w:szCs w:val="20"/>
                <w:color w:val="auto"/>
              </w:rPr>
            </w:pPr>
            <w:r>
              <w:rPr>
                <w:rFonts w:ascii="Arial" w:cs="Arial" w:eastAsia="Arial" w:hAnsi="Arial"/>
                <w:sz w:val="20"/>
                <w:szCs w:val="20"/>
                <w:color w:val="00162F"/>
              </w:rPr>
              <w:t>20,876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02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00162F"/>
              <w:bottom w:val="single" w:sz="8" w:color="00162F"/>
            </w:tcBorders>
          </w:tcPr>
          <w:p>
            <w:pPr>
              <w:spacing w:after="0" w:line="20" w:lineRule="exact"/>
              <w:rPr>
                <w:sz w:val="1"/>
                <w:szCs w:val="1"/>
                <w:color w:val="auto"/>
              </w:rPr>
            </w:pPr>
          </w:p>
        </w:tc>
        <w:tc>
          <w:tcPr>
            <w:tcW w:w="860" w:type="dxa"/>
            <w:vAlign w:val="bottom"/>
            <w:tcBorders>
              <w:top w:val="single" w:sz="8" w:color="00162F"/>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-5263515</wp:posOffset>
            </wp:positionV>
            <wp:extent cx="178879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3">
                      <a:extLst>
                        <a:ext uri="{28A0092B-C50C-407E-A947-70E740481C1C}"/>
                      </a:extLst>
                    </a:blip>
                    <a:srcRect/>
                    <a:stretch>
                      <a:fillRect/>
                    </a:stretch>
                  </pic:blipFill>
                  <pic:spPr bwMode="auto">
                    <a:xfrm>
                      <a:off x="0" y="0"/>
                      <a:ext cx="1788795" cy="25400"/>
                    </a:xfrm>
                    <a:prstGeom prst="rect">
                      <a:avLst/>
                    </a:prstGeom>
                    <a:noFill/>
                  </pic:spPr>
                </pic:pic>
              </a:graphicData>
            </a:graphic>
          </wp:anchor>
        </w:drawing>
        <w:drawing>
          <wp:anchor simplePos="0" relativeHeight="251657728" behindDoc="1" locked="0" layoutInCell="0" allowOverlap="1">
            <wp:simplePos x="0" y="0"/>
            <wp:positionH relativeFrom="column">
              <wp:posOffset>5012055</wp:posOffset>
            </wp:positionH>
            <wp:positionV relativeFrom="paragraph">
              <wp:posOffset>-1464310</wp:posOffset>
            </wp:positionV>
            <wp:extent cx="91757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4">
                      <a:extLst>
                        <a:ext uri="{28A0092B-C50C-407E-A947-70E740481C1C}"/>
                      </a:extLst>
                    </a:blip>
                    <a:srcRect/>
                    <a:stretch>
                      <a:fillRect/>
                    </a:stretch>
                  </pic:blipFill>
                  <pic:spPr bwMode="auto">
                    <a:xfrm>
                      <a:off x="0" y="0"/>
                      <a:ext cx="917575" cy="25400"/>
                    </a:xfrm>
                    <a:prstGeom prst="rect">
                      <a:avLst/>
                    </a:prstGeom>
                    <a:noFill/>
                  </pic:spPr>
                </pic:pic>
              </a:graphicData>
            </a:graphic>
          </wp:anchor>
        </w:drawing>
        <w:drawing>
          <wp:anchor simplePos="0" relativeHeight="251657728" behindDoc="1" locked="0" layoutInCell="0" allowOverlap="1">
            <wp:simplePos x="0" y="0"/>
            <wp:positionH relativeFrom="column">
              <wp:posOffset>5012055</wp:posOffset>
            </wp:positionH>
            <wp:positionV relativeFrom="paragraph">
              <wp:posOffset>-1275715</wp:posOffset>
            </wp:positionV>
            <wp:extent cx="91757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5">
                      <a:extLst>
                        <a:ext uri="{28A0092B-C50C-407E-A947-70E740481C1C}"/>
                      </a:extLst>
                    </a:blip>
                    <a:srcRect/>
                    <a:stretch>
                      <a:fillRect/>
                    </a:stretch>
                  </pic:blipFill>
                  <pic:spPr bwMode="auto">
                    <a:xfrm>
                      <a:off x="0" y="0"/>
                      <a:ext cx="917575" cy="25400"/>
                    </a:xfrm>
                    <a:prstGeom prst="rect">
                      <a:avLst/>
                    </a:prstGeom>
                    <a:noFill/>
                  </pic:spPr>
                </pic:pic>
              </a:graphicData>
            </a:graphic>
          </wp:anchor>
        </w:drawing>
        <w:drawing>
          <wp:anchor simplePos="0" relativeHeight="251657728" behindDoc="1" locked="0" layoutInCell="0" allowOverlap="1">
            <wp:simplePos x="0" y="0"/>
            <wp:positionH relativeFrom="column">
              <wp:posOffset>5012055</wp:posOffset>
            </wp:positionH>
            <wp:positionV relativeFrom="paragraph">
              <wp:posOffset>-785495</wp:posOffset>
            </wp:positionV>
            <wp:extent cx="91757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6">
                      <a:extLst>
                        <a:ext uri="{28A0092B-C50C-407E-A947-70E740481C1C}"/>
                      </a:extLst>
                    </a:blip>
                    <a:srcRect/>
                    <a:stretch>
                      <a:fillRect/>
                    </a:stretch>
                  </pic:blipFill>
                  <pic:spPr bwMode="auto">
                    <a:xfrm>
                      <a:off x="0" y="0"/>
                      <a:ext cx="917575" cy="25400"/>
                    </a:xfrm>
                    <a:prstGeom prst="rect">
                      <a:avLst/>
                    </a:prstGeom>
                    <a:noFill/>
                  </pic:spPr>
                </pic:pic>
              </a:graphicData>
            </a:graphic>
          </wp:anchor>
        </w:drawing>
        <w:drawing>
          <wp:anchor simplePos="0" relativeHeight="251657728" behindDoc="1" locked="0" layoutInCell="0" allowOverlap="1">
            <wp:simplePos x="0" y="0"/>
            <wp:positionH relativeFrom="column">
              <wp:posOffset>5012055</wp:posOffset>
            </wp:positionH>
            <wp:positionV relativeFrom="paragraph">
              <wp:posOffset>-219710</wp:posOffset>
            </wp:positionV>
            <wp:extent cx="91757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7">
                      <a:extLst>
                        <a:ext uri="{28A0092B-C50C-407E-A947-70E740481C1C}"/>
                      </a:extLst>
                    </a:blip>
                    <a:srcRect/>
                    <a:stretch>
                      <a:fillRect/>
                    </a:stretch>
                  </pic:blipFill>
                  <pic:spPr bwMode="auto">
                    <a:xfrm>
                      <a:off x="0" y="0"/>
                      <a:ext cx="917575" cy="25400"/>
                    </a:xfrm>
                    <a:prstGeom prst="rect">
                      <a:avLst/>
                    </a:prstGeom>
                    <a:noFill/>
                  </pic:spPr>
                </pic:pic>
              </a:graphicData>
            </a:graphic>
          </wp:anchor>
        </w:drawing>
      </w:r>
    </w:p>
    <w:p>
      <w:pPr>
        <w:spacing w:after="0" w:line="172"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As of December 31, 2025, the maximum availability under American’s revolving credit and other facilities is as follows (in millions):</w:t>
      </w:r>
    </w:p>
    <w:p>
      <w:pPr>
        <w:spacing w:after="0" w:line="168" w:lineRule="exact"/>
        <w:rPr>
          <w:sz w:val="20"/>
          <w:szCs w:val="20"/>
          <w:color w:val="auto"/>
        </w:rPr>
      </w:pPr>
    </w:p>
    <w:tbl>
      <w:tblPr>
        <w:tblLayout w:type="fixed"/>
        <w:tblInd w:w="5" w:type="dxa"/>
        <w:tblCellMar>
          <w:top w:w="0" w:type="dxa"/>
          <w:left w:w="0" w:type="dxa"/>
          <w:bottom w:w="0" w:type="dxa"/>
          <w:right w:w="0" w:type="dxa"/>
        </w:tblCellMar>
      </w:tblPr>
      <w:tr>
        <w:trPr>
          <w:trHeight w:val="297"/>
        </w:trPr>
        <w:tc>
          <w:tcPr>
            <w:tcW w:w="9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2013 Revolving Facility </w:t>
            </w:r>
            <w:r>
              <w:rPr>
                <w:rFonts w:ascii="Arial" w:cs="Arial" w:eastAsia="Arial" w:hAnsi="Arial"/>
                <w:sz w:val="12"/>
                <w:szCs w:val="12"/>
                <w:color w:val="00162F"/>
              </w:rPr>
              <w:t>(1)</w:t>
            </w:r>
          </w:p>
        </w:tc>
        <w:tc>
          <w:tcPr>
            <w:tcW w:w="640" w:type="dxa"/>
            <w:vAlign w:val="bottom"/>
            <w:shd w:val="clear" w:color="auto" w:fill="EDEDED"/>
          </w:tcPr>
          <w:p>
            <w:pPr>
              <w:jc w:val="right"/>
              <w:ind w:right="381"/>
              <w:spacing w:after="0"/>
              <w:rPr>
                <w:sz w:val="20"/>
                <w:szCs w:val="20"/>
                <w:color w:val="auto"/>
              </w:rPr>
            </w:pPr>
            <w:r>
              <w:rPr>
                <w:rFonts w:ascii="Arial" w:cs="Arial" w:eastAsia="Arial" w:hAnsi="Arial"/>
                <w:sz w:val="20"/>
                <w:szCs w:val="20"/>
                <w:color w:val="00162F"/>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519</w:t>
            </w:r>
          </w:p>
        </w:tc>
      </w:tr>
      <w:tr>
        <w:trPr>
          <w:trHeight w:val="293"/>
        </w:trPr>
        <w:tc>
          <w:tcPr>
            <w:tcW w:w="9000" w:type="dxa"/>
            <w:vAlign w:val="bottom"/>
            <w:gridSpan w:val="2"/>
          </w:tcPr>
          <w:p>
            <w:pPr>
              <w:ind w:left="40"/>
              <w:spacing w:after="0"/>
              <w:rPr>
                <w:sz w:val="20"/>
                <w:szCs w:val="20"/>
                <w:color w:val="auto"/>
              </w:rPr>
            </w:pPr>
            <w:r>
              <w:rPr>
                <w:rFonts w:ascii="Arial" w:cs="Arial" w:eastAsia="Arial" w:hAnsi="Arial"/>
                <w:sz w:val="20"/>
                <w:szCs w:val="20"/>
                <w:color w:val="00162F"/>
              </w:rPr>
              <w:t xml:space="preserve">2014 Revolving Facility </w:t>
            </w:r>
            <w:r>
              <w:rPr>
                <w:rFonts w:ascii="Arial" w:cs="Arial" w:eastAsia="Arial" w:hAnsi="Arial"/>
                <w:sz w:val="12"/>
                <w:szCs w:val="12"/>
                <w:color w:val="00162F"/>
              </w:rPr>
              <w:t>(1)</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1,557</w:t>
            </w:r>
          </w:p>
        </w:tc>
      </w:tr>
      <w:tr>
        <w:trPr>
          <w:trHeight w:val="301"/>
        </w:trPr>
        <w:tc>
          <w:tcPr>
            <w:tcW w:w="900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2023 Revolving Facility </w:t>
            </w:r>
            <w:r>
              <w:rPr>
                <w:rFonts w:ascii="Arial" w:cs="Arial" w:eastAsia="Arial" w:hAnsi="Arial"/>
                <w:sz w:val="12"/>
                <w:szCs w:val="12"/>
                <w:color w:val="00162F"/>
              </w:rPr>
              <w:t>(1)</w:t>
            </w:r>
          </w:p>
        </w:tc>
        <w:tc>
          <w:tcPr>
            <w:tcW w:w="64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924</w:t>
            </w:r>
          </w:p>
        </w:tc>
      </w:tr>
      <w:tr>
        <w:trPr>
          <w:trHeight w:val="287"/>
        </w:trPr>
        <w:tc>
          <w:tcPr>
            <w:tcW w:w="9000" w:type="dxa"/>
            <w:vAlign w:val="bottom"/>
            <w:tcBorders>
              <w:bottom w:val="single" w:sz="8" w:color="EDEDED"/>
            </w:tcBorders>
            <w:gridSpan w:val="2"/>
          </w:tcPr>
          <w:p>
            <w:pPr>
              <w:ind w:left="40"/>
              <w:spacing w:after="0"/>
              <w:rPr>
                <w:sz w:val="20"/>
                <w:szCs w:val="20"/>
                <w:color w:val="auto"/>
              </w:rPr>
            </w:pPr>
            <w:r>
              <w:rPr>
                <w:rFonts w:ascii="Arial" w:cs="Arial" w:eastAsia="Arial" w:hAnsi="Arial"/>
                <w:sz w:val="20"/>
                <w:szCs w:val="20"/>
                <w:color w:val="00162F"/>
              </w:rPr>
              <w:t xml:space="preserve">Other facilities </w:t>
            </w:r>
            <w:r>
              <w:rPr>
                <w:rFonts w:ascii="Arial" w:cs="Arial" w:eastAsia="Arial" w:hAnsi="Arial"/>
                <w:sz w:val="12"/>
                <w:szCs w:val="12"/>
                <w:color w:val="00162F"/>
              </w:rPr>
              <w:t>(2)</w:t>
            </w:r>
          </w:p>
        </w:tc>
        <w:tc>
          <w:tcPr>
            <w:tcW w:w="640" w:type="dxa"/>
            <w:vAlign w:val="bottom"/>
            <w:tcBorders>
              <w:bottom w:val="single" w:sz="8" w:color="00162F"/>
            </w:tcBorders>
          </w:tcPr>
          <w:p>
            <w:pPr>
              <w:spacing w:after="0"/>
              <w:rPr>
                <w:sz w:val="24"/>
                <w:szCs w:val="24"/>
                <w:color w:val="auto"/>
              </w:rPr>
            </w:pPr>
          </w:p>
        </w:tc>
        <w:tc>
          <w:tcPr>
            <w:tcW w:w="10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397</w:t>
            </w:r>
          </w:p>
        </w:tc>
      </w:tr>
      <w:tr>
        <w:trPr>
          <w:trHeight w:val="297"/>
        </w:trPr>
        <w:tc>
          <w:tcPr>
            <w:tcW w:w="9000" w:type="dxa"/>
            <w:vAlign w:val="bottom"/>
            <w:tcBorders>
              <w:bottom w:val="single" w:sz="8" w:color="EDEDED"/>
            </w:tcBorders>
            <w:gridSpan w:val="2"/>
            <w:shd w:val="clear" w:color="auto" w:fill="EDEDED"/>
          </w:tcPr>
          <w:p>
            <w:pPr>
              <w:ind w:left="180"/>
              <w:spacing w:after="0"/>
              <w:rPr>
                <w:sz w:val="20"/>
                <w:szCs w:val="20"/>
                <w:color w:val="auto"/>
              </w:rPr>
            </w:pPr>
            <w:r>
              <w:rPr>
                <w:rFonts w:ascii="Arial" w:cs="Arial" w:eastAsia="Arial" w:hAnsi="Arial"/>
                <w:sz w:val="20"/>
                <w:szCs w:val="20"/>
                <w:color w:val="00162F"/>
              </w:rPr>
              <w:t>Total</w:t>
            </w:r>
          </w:p>
        </w:tc>
        <w:tc>
          <w:tcPr>
            <w:tcW w:w="640" w:type="dxa"/>
            <w:vAlign w:val="bottom"/>
            <w:tcBorders>
              <w:bottom w:val="single" w:sz="8" w:color="00162F"/>
            </w:tcBorders>
            <w:shd w:val="clear" w:color="auto" w:fill="EDEDED"/>
          </w:tcPr>
          <w:p>
            <w:pPr>
              <w:jc w:val="right"/>
              <w:ind w:right="381"/>
              <w:spacing w:after="0"/>
              <w:rPr>
                <w:sz w:val="20"/>
                <w:szCs w:val="20"/>
                <w:color w:val="auto"/>
              </w:rPr>
            </w:pPr>
            <w:r>
              <w:rPr>
                <w:rFonts w:ascii="Arial" w:cs="Arial" w:eastAsia="Arial" w:hAnsi="Arial"/>
                <w:sz w:val="20"/>
                <w:szCs w:val="20"/>
                <w:color w:val="00162F"/>
              </w:rPr>
              <w:t>$</w:t>
            </w: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3,397</w:t>
            </w:r>
          </w:p>
        </w:tc>
      </w:tr>
      <w:tr>
        <w:trPr>
          <w:trHeight w:val="133"/>
        </w:trPr>
        <w:tc>
          <w:tcPr>
            <w:tcW w:w="1960" w:type="dxa"/>
            <w:vAlign w:val="bottom"/>
            <w:tcBorders>
              <w:bottom w:val="single" w:sz="8" w:color="00162F"/>
            </w:tcBorders>
          </w:tcPr>
          <w:p>
            <w:pPr>
              <w:spacing w:after="0"/>
              <w:rPr>
                <w:sz w:val="11"/>
                <w:szCs w:val="11"/>
                <w:color w:val="auto"/>
              </w:rPr>
            </w:pPr>
          </w:p>
        </w:tc>
        <w:tc>
          <w:tcPr>
            <w:tcW w:w="7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5709920</wp:posOffset>
            </wp:positionH>
            <wp:positionV relativeFrom="paragraph">
              <wp:posOffset>-140970</wp:posOffset>
            </wp:positionV>
            <wp:extent cx="1090930" cy="508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8">
                      <a:extLst>
                        <a:ext uri="{28A0092B-C50C-407E-A947-70E740481C1C}"/>
                      </a:extLst>
                    </a:blip>
                    <a:srcRect/>
                    <a:stretch>
                      <a:fillRect/>
                    </a:stretch>
                  </pic:blipFill>
                  <pic:spPr bwMode="auto">
                    <a:xfrm>
                      <a:off x="0" y="0"/>
                      <a:ext cx="1090930" cy="50800"/>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65" w:lineRule="auto"/>
        <w:tabs>
          <w:tab w:leader="none" w:pos="365" w:val="left"/>
        </w:tabs>
        <w:numPr>
          <w:ilvl w:val="0"/>
          <w:numId w:val="70"/>
        </w:numPr>
        <w:rPr>
          <w:rFonts w:ascii="Arial" w:cs="Arial" w:eastAsia="Arial" w:hAnsi="Arial"/>
          <w:sz w:val="13"/>
          <w:szCs w:val="13"/>
          <w:color w:val="00162F"/>
        </w:rPr>
      </w:pPr>
      <w:r>
        <w:rPr>
          <w:rFonts w:ascii="Arial" w:cs="Arial" w:eastAsia="Arial" w:hAnsi="Arial"/>
          <w:sz w:val="20"/>
          <w:szCs w:val="20"/>
          <w:color w:val="00162F"/>
        </w:rPr>
        <w:t>On April 21, 2025, the aggregate revolving commitments under the 2013, 2014 and 2023 Revolving Facilities were increased from approximately $2.9 billion to $3.0 billion upon the upsize of commitments by certain existing lenders. No other terms were changed and there are no borrowings outstanding under the facilities.</w:t>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142</w:t>
      </w:r>
    </w:p>
    <w:p>
      <w:pPr>
        <w:sectPr>
          <w:pgSz w:w="11880" w:h="15480" w:orient="portrait"/>
          <w:cols w:equalWidth="0" w:num="1">
            <w:col w:w="10685"/>
          </w:cols>
          <w:pgMar w:left="595" w:top="249" w:right="600" w:bottom="0" w:gutter="0" w:footer="0" w:header="0"/>
          <w:type w:val="continuous"/>
        </w:sectPr>
      </w:pPr>
    </w:p>
    <w:bookmarkStart w:id="143" w:name="page144"/>
    <w:bookmarkEnd w:id="143"/>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ind w:left="365" w:hanging="365"/>
        <w:spacing w:after="0" w:line="259" w:lineRule="auto"/>
        <w:tabs>
          <w:tab w:leader="none" w:pos="365" w:val="left"/>
        </w:tabs>
        <w:numPr>
          <w:ilvl w:val="0"/>
          <w:numId w:val="71"/>
        </w:numPr>
        <w:rPr>
          <w:rFonts w:ascii="Arial" w:cs="Arial" w:eastAsia="Arial" w:hAnsi="Arial"/>
          <w:sz w:val="13"/>
          <w:szCs w:val="13"/>
          <w:color w:val="00162F"/>
        </w:rPr>
      </w:pPr>
      <w:r>
        <w:rPr>
          <w:rFonts w:ascii="Arial" w:cs="Arial" w:eastAsia="Arial" w:hAnsi="Arial"/>
          <w:sz w:val="20"/>
          <w:szCs w:val="20"/>
          <w:color w:val="00162F"/>
        </w:rPr>
        <w:t>Includes a revolving credit facility that provides for borrowing capacity of up to $350 million, maturing in March 2027 with an option to extend for an additional year. Additionally, American currently has $47 million of available borrowing base under a cargo receivables facility that is scheduled to expire in December 2026. There are no amounts drawn under these facilities.</w:t>
      </w:r>
    </w:p>
    <w:p>
      <w:pPr>
        <w:spacing w:after="0" w:line="136"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129"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At December 31, 2025, the maturities of long-term debt are as follows (in millions):</w:t>
      </w:r>
    </w:p>
    <w:p>
      <w:pPr>
        <w:spacing w:after="0" w:line="241" w:lineRule="exact"/>
        <w:rPr>
          <w:sz w:val="20"/>
          <w:szCs w:val="20"/>
          <w:color w:val="auto"/>
        </w:rPr>
      </w:pPr>
    </w:p>
    <w:tbl>
      <w:tblPr>
        <w:tblLayout w:type="fixed"/>
        <w:tblInd w:w="5" w:type="dxa"/>
        <w:tblCellMar>
          <w:top w:w="0" w:type="dxa"/>
          <w:left w:w="0" w:type="dxa"/>
          <w:bottom w:w="0" w:type="dxa"/>
          <w:right w:w="0" w:type="dxa"/>
        </w:tblCellMar>
      </w:tblPr>
      <w:tr>
        <w:trPr>
          <w:trHeight w:val="297"/>
        </w:trPr>
        <w:tc>
          <w:tcPr>
            <w:tcW w:w="9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2026</w:t>
            </w:r>
          </w:p>
        </w:tc>
        <w:tc>
          <w:tcPr>
            <w:tcW w:w="580" w:type="dxa"/>
            <w:vAlign w:val="bottom"/>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3,641</w:t>
            </w:r>
          </w:p>
        </w:tc>
      </w:tr>
      <w:tr>
        <w:trPr>
          <w:trHeight w:val="293"/>
        </w:trPr>
        <w:tc>
          <w:tcPr>
            <w:tcW w:w="9000" w:type="dxa"/>
            <w:vAlign w:val="bottom"/>
          </w:tcPr>
          <w:p>
            <w:pPr>
              <w:ind w:left="40"/>
              <w:spacing w:after="0"/>
              <w:rPr>
                <w:sz w:val="20"/>
                <w:szCs w:val="20"/>
                <w:color w:val="auto"/>
              </w:rPr>
            </w:pPr>
            <w:r>
              <w:rPr>
                <w:rFonts w:ascii="Arial" w:cs="Arial" w:eastAsia="Arial" w:hAnsi="Arial"/>
                <w:sz w:val="20"/>
                <w:szCs w:val="20"/>
                <w:color w:val="00162F"/>
              </w:rPr>
              <w:t>2027</w:t>
            </w: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4,455</w:t>
            </w:r>
          </w:p>
        </w:tc>
      </w:tr>
      <w:tr>
        <w:trPr>
          <w:trHeight w:val="301"/>
        </w:trPr>
        <w:tc>
          <w:tcPr>
            <w:tcW w:w="9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2028</w:t>
            </w: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7,324</w:t>
            </w:r>
          </w:p>
        </w:tc>
      </w:tr>
      <w:tr>
        <w:trPr>
          <w:trHeight w:val="293"/>
        </w:trPr>
        <w:tc>
          <w:tcPr>
            <w:tcW w:w="9000" w:type="dxa"/>
            <w:vAlign w:val="bottom"/>
          </w:tcPr>
          <w:p>
            <w:pPr>
              <w:ind w:left="40"/>
              <w:spacing w:after="0"/>
              <w:rPr>
                <w:sz w:val="20"/>
                <w:szCs w:val="20"/>
                <w:color w:val="auto"/>
              </w:rPr>
            </w:pPr>
            <w:r>
              <w:rPr>
                <w:rFonts w:ascii="Arial" w:cs="Arial" w:eastAsia="Arial" w:hAnsi="Arial"/>
                <w:sz w:val="20"/>
                <w:szCs w:val="20"/>
                <w:color w:val="00162F"/>
              </w:rPr>
              <w:t>2029</w:t>
            </w: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4,045</w:t>
            </w:r>
          </w:p>
        </w:tc>
      </w:tr>
      <w:tr>
        <w:trPr>
          <w:trHeight w:val="301"/>
        </w:trPr>
        <w:tc>
          <w:tcPr>
            <w:tcW w:w="90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2030</w:t>
            </w: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730</w:t>
            </w:r>
          </w:p>
        </w:tc>
      </w:tr>
      <w:tr>
        <w:trPr>
          <w:trHeight w:val="287"/>
        </w:trPr>
        <w:tc>
          <w:tcPr>
            <w:tcW w:w="900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2031 and thereafter</w:t>
            </w: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4,653</w:t>
            </w:r>
          </w:p>
        </w:tc>
      </w:tr>
      <w:tr>
        <w:trPr>
          <w:trHeight w:val="297"/>
        </w:trPr>
        <w:tc>
          <w:tcPr>
            <w:tcW w:w="900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Total</w:t>
            </w:r>
          </w:p>
        </w:tc>
        <w:tc>
          <w:tcPr>
            <w:tcW w:w="580" w:type="dxa"/>
            <w:vAlign w:val="bottom"/>
            <w:tcBorders>
              <w:bottom w:val="single" w:sz="8" w:color="00162F"/>
            </w:tcBorders>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24,848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5709920</wp:posOffset>
            </wp:positionH>
            <wp:positionV relativeFrom="paragraph">
              <wp:posOffset>-43815</wp:posOffset>
            </wp:positionV>
            <wp:extent cx="1090930" cy="508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9">
                      <a:extLst>
                        <a:ext uri="{28A0092B-C50C-407E-A947-70E740481C1C}"/>
                      </a:extLst>
                    </a:blip>
                    <a:srcRect/>
                    <a:stretch>
                      <a:fillRect/>
                    </a:stretch>
                  </pic:blipFill>
                  <pic:spPr bwMode="auto">
                    <a:xfrm>
                      <a:off x="0" y="0"/>
                      <a:ext cx="1090930" cy="50800"/>
                    </a:xfrm>
                    <a:prstGeom prst="rect">
                      <a:avLst/>
                    </a:prstGeom>
                    <a:noFill/>
                  </pic:spPr>
                </pic:pic>
              </a:graphicData>
            </a:graphic>
          </wp:anchor>
        </w:drawing>
      </w:r>
    </w:p>
    <w:p>
      <w:pPr>
        <w:spacing w:after="0" w:line="263" w:lineRule="exact"/>
        <w:rPr>
          <w:sz w:val="20"/>
          <w:szCs w:val="20"/>
          <w:color w:val="auto"/>
        </w:rPr>
      </w:pPr>
    </w:p>
    <w:p>
      <w:pPr>
        <w:ind w:left="265" w:right="6700" w:firstLine="2"/>
        <w:spacing w:after="0" w:line="340" w:lineRule="auto"/>
        <w:tabs>
          <w:tab w:leader="none" w:pos="562" w:val="left"/>
        </w:tabs>
        <w:numPr>
          <w:ilvl w:val="0"/>
          <w:numId w:val="72"/>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 xml:space="preserve">2013, 2014 and 2023 Credit Facilities </w:t>
      </w:r>
      <w:r>
        <w:rPr>
          <w:rFonts w:ascii="Arial" w:cs="Arial" w:eastAsia="Arial" w:hAnsi="Arial"/>
          <w:sz w:val="20"/>
          <w:szCs w:val="20"/>
          <w:i w:val="1"/>
          <w:iCs w:val="1"/>
          <w:u w:val="single" w:color="auto"/>
          <w:color w:val="00162F"/>
        </w:rPr>
        <w:t>2013 Credit Facilities</w:t>
      </w:r>
    </w:p>
    <w:p>
      <w:pPr>
        <w:jc w:val="both"/>
        <w:ind w:left="5" w:firstLine="267"/>
        <w:spacing w:after="0" w:line="252" w:lineRule="auto"/>
        <w:rPr>
          <w:sz w:val="20"/>
          <w:szCs w:val="20"/>
          <w:color w:val="auto"/>
        </w:rPr>
      </w:pPr>
      <w:r>
        <w:rPr>
          <w:rFonts w:ascii="Arial" w:cs="Arial" w:eastAsia="Arial" w:hAnsi="Arial"/>
          <w:sz w:val="20"/>
          <w:szCs w:val="20"/>
          <w:color w:val="00162F"/>
        </w:rPr>
        <w:t>The Amended and Restated Credit and Guaranty Agreement dated as of May 21, 2015, as amended (the 2013 Credit Agreement), includes a revolving credit facility (the 2013 Revolving Facility) and term loan facility (the 2013 Term Loan Facility), collectively referred to as the 2013 Credit Facilities. The 2013 Term Loan Facility matures in February 2028 and bears interest at a base rate (subject to a floor of 1.00%) plus an applicable margin of 1.25% per annum or, at American’s option, the SOFR rate for a tenor of one, three or six months, depending on the interest period selected by American (subject to a floor of 0.00%), plus an applicable margin of 2.25% per annum. SOFR borrowings under the 2013 Term Loan Facility are not subject to a credit spread adjustment. As of December 31, 2025, the margin elected was 2.25% per annum.</w:t>
      </w:r>
    </w:p>
    <w:p>
      <w:pPr>
        <w:spacing w:after="0" w:line="147" w:lineRule="exact"/>
        <w:rPr>
          <w:sz w:val="20"/>
          <w:szCs w:val="20"/>
          <w:color w:val="auto"/>
        </w:rPr>
      </w:pPr>
    </w:p>
    <w:p>
      <w:pPr>
        <w:jc w:val="both"/>
        <w:ind w:left="5" w:firstLine="267"/>
        <w:spacing w:after="0" w:line="252" w:lineRule="auto"/>
        <w:rPr>
          <w:sz w:val="20"/>
          <w:szCs w:val="20"/>
          <w:color w:val="auto"/>
        </w:rPr>
      </w:pPr>
      <w:r>
        <w:rPr>
          <w:rFonts w:ascii="Arial" w:cs="Arial" w:eastAsia="Arial" w:hAnsi="Arial"/>
          <w:sz w:val="20"/>
          <w:szCs w:val="20"/>
          <w:color w:val="00162F"/>
        </w:rPr>
        <w:t>The 2013 Revolving Facility matures in June 2029 and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SOFR borrowings under the 2013 Revolving Facility are not subject to a credit spread adjustment. The 2013 Revolving Facility has aggregate commitments of $519 million, with the ability to issue letters of credit up to an aggregate amount of $100 million. As of December 31, 2025, there were no borrowings or letters of credit outstanding under the 2013 Revolving Facility.</w:t>
      </w:r>
    </w:p>
    <w:p>
      <w:pPr>
        <w:spacing w:after="0" w:line="237" w:lineRule="exact"/>
        <w:rPr>
          <w:sz w:val="20"/>
          <w:szCs w:val="20"/>
          <w:color w:val="auto"/>
        </w:rPr>
      </w:pPr>
    </w:p>
    <w:p>
      <w:pPr>
        <w:ind w:left="265"/>
        <w:spacing w:after="0"/>
        <w:rPr>
          <w:sz w:val="20"/>
          <w:szCs w:val="20"/>
          <w:color w:val="auto"/>
        </w:rPr>
      </w:pPr>
      <w:r>
        <w:rPr>
          <w:rFonts w:ascii="Arial" w:cs="Arial" w:eastAsia="Arial" w:hAnsi="Arial"/>
          <w:sz w:val="20"/>
          <w:szCs w:val="20"/>
          <w:i w:val="1"/>
          <w:iCs w:val="1"/>
          <w:u w:val="single" w:color="auto"/>
          <w:color w:val="00162F"/>
        </w:rPr>
        <w:t>2014 Credit Facilities</w:t>
      </w:r>
    </w:p>
    <w:p>
      <w:pPr>
        <w:spacing w:after="0" w:line="95" w:lineRule="exact"/>
        <w:rPr>
          <w:sz w:val="20"/>
          <w:szCs w:val="20"/>
          <w:color w:val="auto"/>
        </w:rPr>
      </w:pPr>
    </w:p>
    <w:p>
      <w:pPr>
        <w:jc w:val="both"/>
        <w:ind w:left="5" w:firstLine="267"/>
        <w:spacing w:after="0" w:line="269" w:lineRule="auto"/>
        <w:rPr>
          <w:sz w:val="20"/>
          <w:szCs w:val="20"/>
          <w:color w:val="auto"/>
        </w:rPr>
      </w:pPr>
      <w:r>
        <w:rPr>
          <w:rFonts w:ascii="Arial" w:cs="Arial" w:eastAsia="Arial" w:hAnsi="Arial"/>
          <w:sz w:val="19"/>
          <w:szCs w:val="19"/>
          <w:color w:val="00162F"/>
        </w:rPr>
        <w:t>The Amended and Restated Credit and Guaranty Agreement, dated as of April 20, 2015, as amended (the 2014 Credit Agreement), includes a revolving credit facility (the 2014 Revolving Facility) and term loan facility (the 2014 Term Loan Facility), collectively referred to as the 2014 Credit Facilities. The 2014 Term Loan Facility matures in January 2027 and bears interest at a base rate (subject to a floor of 1.00%) plus an applicable margin of 0.75% or, at American’s option, the SOFR rate for a tenor of one, three or six months, depending on the interest period selected by American, plus the SOFR adjustment applicable to such interest period (with such SOFR rate plus SOFR adjustment being subject to a floor of 0.00%) plus an applicable margin of 1.75%. As of December 31, 2025, the margin elected was 1.75% per annum.</w:t>
      </w:r>
    </w:p>
    <w:p>
      <w:pPr>
        <w:spacing w:after="0" w:line="127" w:lineRule="exact"/>
        <w:rPr>
          <w:sz w:val="20"/>
          <w:szCs w:val="20"/>
          <w:color w:val="auto"/>
        </w:rPr>
      </w:pPr>
    </w:p>
    <w:p>
      <w:pPr>
        <w:jc w:val="both"/>
        <w:ind w:left="5" w:firstLine="267"/>
        <w:spacing w:after="0" w:line="270" w:lineRule="auto"/>
        <w:rPr>
          <w:sz w:val="20"/>
          <w:szCs w:val="20"/>
          <w:color w:val="auto"/>
        </w:rPr>
      </w:pPr>
      <w:r>
        <w:rPr>
          <w:rFonts w:ascii="Arial" w:cs="Arial" w:eastAsia="Arial" w:hAnsi="Arial"/>
          <w:sz w:val="19"/>
          <w:szCs w:val="19"/>
          <w:color w:val="00162F"/>
        </w:rPr>
        <w:t>The 2014 Revolving Facility matures in June 2029 and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SOFR borrowings under the 2014 Revolving Facility are not subject to a credit spread adjustment. The 2014 Revolving Facility has aggregate commitments of $1.6 billion, with the ability to issue letters of credit up to an aggregate</w:t>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143</w:t>
      </w:r>
    </w:p>
    <w:p>
      <w:pPr>
        <w:sectPr>
          <w:pgSz w:w="11880" w:h="15480" w:orient="portrait"/>
          <w:cols w:equalWidth="0" w:num="1">
            <w:col w:w="10685"/>
          </w:cols>
          <w:pgMar w:left="595" w:top="249" w:right="600" w:bottom="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00162F"/>
        </w:rPr>
        <w:t>amount of $200 million. As of December 31, 2025, there were no borrowings or letters of credit outstanding under the 2014 Revolving Facility.</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2023 Credit Facilities</w:t>
      </w:r>
    </w:p>
    <w:p>
      <w:pPr>
        <w:spacing w:after="0" w:line="95" w:lineRule="exact"/>
        <w:rPr>
          <w:sz w:val="20"/>
          <w:szCs w:val="20"/>
          <w:color w:val="auto"/>
        </w:rPr>
      </w:pPr>
    </w:p>
    <w:p>
      <w:pPr>
        <w:jc w:val="both"/>
        <w:ind w:firstLine="267"/>
        <w:spacing w:after="0" w:line="269" w:lineRule="auto"/>
        <w:rPr>
          <w:sz w:val="20"/>
          <w:szCs w:val="20"/>
          <w:color w:val="auto"/>
        </w:rPr>
      </w:pPr>
      <w:r>
        <w:rPr>
          <w:rFonts w:ascii="Arial" w:cs="Arial" w:eastAsia="Arial" w:hAnsi="Arial"/>
          <w:sz w:val="19"/>
          <w:szCs w:val="19"/>
          <w:color w:val="00162F"/>
        </w:rPr>
        <w:t>The Credit and Guaranty Agreement, dated as of December 4, 2023, as amended (the 2023 Credit Agreement), includes a revolving credit facility (the 2023 Revolving Facility) and term loan facility (the 2023 Term Loan Facility), collectively referred to as the 2023 Credit Facilities. The 2023 Term Loan Facility matures in June 2029 and bears interest at a base rate (subject to a floor of 1.00%) plus an applicable margin of 1.25% per annum or, at American’s option, the SOFR rate for a tenor of one, three or six months, depending on the interest period selected by American (subject to a floor of 0.00%), plus an applicable margin of 2.25% per annum. SOFR borrowings under the 2023 Term Loan Facility are not subject to a credit spread adjustment. As of December 31, 2025, the margin elected was 2.25% per annum.</w:t>
      </w:r>
    </w:p>
    <w:p>
      <w:pPr>
        <w:spacing w:after="0" w:line="127"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The 2023 Revolving Facility matures in June 2029 and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SOFR borrowings under the 2023 Revolving Facility are not subject to a credit spread adjustment. The 2023 Revolving Facility has aggregate commitments of $924 million. As of December 31, 2025, there were no borrowings outstanding under the 2023 Revolving Facility.</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Other Terms of the 2013, 2014 and 2023 Credit Facilities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term loans under the 2013, 2014 and 2023 Credit Facilities (collectively referred to as the Credit Facilities) are repayable in annual installments, in an amount equal to 1.00% of the aggregate principal amount issued, with any unpaid balance due on the respective maturity dates. Voluntary prepayments may be made by American at any time.</w:t>
      </w:r>
    </w:p>
    <w:p>
      <w:pPr>
        <w:spacing w:after="0" w:line="129" w:lineRule="exact"/>
        <w:rPr>
          <w:sz w:val="20"/>
          <w:szCs w:val="20"/>
          <w:color w:val="auto"/>
        </w:rPr>
      </w:pPr>
    </w:p>
    <w:p>
      <w:pPr>
        <w:jc w:val="both"/>
        <w:ind w:firstLine="267"/>
        <w:spacing w:after="0" w:line="310" w:lineRule="auto"/>
        <w:rPr>
          <w:sz w:val="20"/>
          <w:szCs w:val="20"/>
          <w:color w:val="auto"/>
        </w:rPr>
      </w:pPr>
      <w:r>
        <w:rPr>
          <w:rFonts w:ascii="Arial" w:cs="Arial" w:eastAsia="Arial" w:hAnsi="Arial"/>
          <w:sz w:val="19"/>
          <w:szCs w:val="19"/>
          <w:color w:val="00162F"/>
        </w:rPr>
        <w:t>The 2013, 2014 and 2023 Revolving Facilities provide that American may from time to time borrow, repay and reborrow loans thereunder. The 2013, 2014 and 2023 Revolving Facilities are each subject to an undrawn annual fee of 0.75%.</w:t>
      </w:r>
    </w:p>
    <w:p>
      <w:pPr>
        <w:spacing w:after="0" w:line="89"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Subject to certain limitations and exceptions, the Credit Facilities are secured by collateral, including certain slots, route authorities, simulators and leasehold rights. American has the ability to make modifications to the collateral pledged, subject to certain restrictions. American’s obligations under the Credit Facilities are guaranteed by AAG, and such guarantee is AAG’s senior unsecured obligations (all of the collateral is owned by American, and AAG has not granted a security interest in any assets to secure any of the foregoing obligations). The Credit Facilities contain events of default customary for similar financings, including cross default and cross-acceleration to other material indebtedness.</w:t>
      </w:r>
    </w:p>
    <w:p>
      <w:pPr>
        <w:spacing w:after="0" w:line="233" w:lineRule="exact"/>
        <w:rPr>
          <w:sz w:val="20"/>
          <w:szCs w:val="20"/>
          <w:color w:val="auto"/>
        </w:rPr>
      </w:pPr>
    </w:p>
    <w:p>
      <w:pPr>
        <w:ind w:left="560" w:hanging="298"/>
        <w:spacing w:after="0"/>
        <w:tabs>
          <w:tab w:leader="none" w:pos="560" w:val="left"/>
        </w:tabs>
        <w:numPr>
          <w:ilvl w:val="0"/>
          <w:numId w:val="73"/>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Senior Secured Notes</w:t>
      </w:r>
    </w:p>
    <w:p>
      <w:pPr>
        <w:spacing w:after="0" w:line="97" w:lineRule="exact"/>
        <w:rPr>
          <w:rFonts w:ascii="Arial" w:cs="Arial" w:eastAsia="Arial" w:hAnsi="Arial"/>
          <w:sz w:val="20"/>
          <w:szCs w:val="20"/>
          <w:b w:val="1"/>
          <w:bCs w:val="1"/>
          <w:i w:val="1"/>
          <w:iCs w:val="1"/>
          <w:color w:val="00162F"/>
        </w:rPr>
      </w:pPr>
    </w:p>
    <w:p>
      <w:pPr>
        <w:ind w:left="260"/>
        <w:spacing w:after="0"/>
        <w:rPr>
          <w:rFonts w:ascii="Arial" w:cs="Arial" w:eastAsia="Arial" w:hAnsi="Arial"/>
          <w:sz w:val="20"/>
          <w:szCs w:val="20"/>
          <w:b w:val="1"/>
          <w:bCs w:val="1"/>
          <w:i w:val="1"/>
          <w:iCs w:val="1"/>
          <w:color w:val="00162F"/>
        </w:rPr>
      </w:pPr>
      <w:r>
        <w:rPr>
          <w:rFonts w:ascii="Arial" w:cs="Arial" w:eastAsia="Arial" w:hAnsi="Arial"/>
          <w:sz w:val="20"/>
          <w:szCs w:val="20"/>
          <w:i w:val="1"/>
          <w:iCs w:val="1"/>
          <w:u w:val="single" w:color="auto"/>
          <w:color w:val="00162F"/>
        </w:rPr>
        <w:t>10.75% Senior Secured Notes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On September 25, 2020 (the 10.75% Senior Secured Notes Closing Date), American issued $1.0 billion in initial principal amount of senior secured IP notes (the IP Notes) and $200 million in initial principal amount of senior secured LGA/DCA notes (the LGA/DCA Notes and together with the IP Notes, the 10.75% Senior Secured Notes). In February 2025, American prepaid $308 million toward portions of the outstanding principal amounts of the 10.75% Senior Secured Notes. In October 2025, American redeemed in full the $629 million in aggregate principal amount of 10.75% Senior Secured Notes in advance of maturity at par, plus accrued and unpaid interest thereon, using amounts borrowed under a senior unsecured short-term term loan facility, described further below.</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7.25% Senior Secured Notes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On February 15, 2023, American issued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which began on August 15, 2023. The 7.25% Senior Secured Notes will mature on February 15, 2028. The obligations of American under the 7.25% Senior Secured Notes are fully and unconditionally guaranteed on a senior unsecured basis by AAG.</w:t>
      </w:r>
    </w:p>
    <w:p>
      <w:pPr>
        <w:spacing w:after="0" w:line="144"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7.25% Senior Secured Notes were issued pursuant to an indenture, dated as of February 15, 2023 (the 7.25% Senior Secured Notes Indenture), by and among American, AAG and Wilmington Trust, National Association, as trustee</w:t>
      </w:r>
    </w:p>
    <w:p>
      <w:pPr>
        <w:sectPr>
          <w:pgSz w:w="11880" w:h="15480" w:orient="portrait"/>
          <w:cols w:equalWidth="0" w:num="1">
            <w:col w:w="10680"/>
          </w:cols>
          <w:pgMar w:left="600" w:top="249" w:right="600" w:bottom="0" w:gutter="0" w:footer="0" w:header="0"/>
        </w:sect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144</w:t>
      </w:r>
    </w:p>
    <w:p>
      <w:pPr>
        <w:sectPr>
          <w:pgSz w:w="11880" w:h="15480" w:orient="portrait"/>
          <w:cols w:equalWidth="0" w:num="1">
            <w:col w:w="10680"/>
          </w:cols>
          <w:pgMar w:left="600" w:top="249" w:right="600" w:bottom="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00162F"/>
        </w:rPr>
        <w:t>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certain countries in South America and New Zealand (collectively, the 7.25% Senior Secured Notes Collateral). The 7.25% Senior Secured Notes Collateral also secures, on a first lien, pari passu basis with the 7.25% Senior Secured Notes, the 2013 Credit Facilities.</w:t>
      </w:r>
    </w:p>
    <w:p>
      <w:pPr>
        <w:spacing w:after="0" w:line="14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American may redeem the 7.25% Senior Secured Notes, in whole or in part, at the redemption prices described in the 7.25% Senior Secured Notes Indenture, plus any accrued and unpaid interest thereon to but excluding the date of redemption.</w:t>
      </w:r>
    </w:p>
    <w:p>
      <w:pPr>
        <w:spacing w:after="0" w:line="129"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2.00% per annum of the principal amount of the 7.25% Senior Secured Notes until the 7.25% Senior Secured Notes Collateral Coverage Ratio is established to be at least 1.6 to 1.0.</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8.50% Senior Secured Notes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On December 4, 2023, American issued $1.0 billion aggregate principal amount of 8.50% senior secured notes due 2029 (the 8.50% Senior Secured Notes) in a private offering. The 8.50% Senior Secured Notes were issued at par and bear interest at a rate of 8.50% per annum (subject to increase if the collateral coverage ratio described below is not met). Interest on the 8.50% Senior Secured Notes is payable semiannually in arrears on May 15 and November 15 of each year, which began on May 15, 2024. The 8.50% Senior Secured Notes will mature on May 15, 2029. The obligations of American under the 8.50% Senior Secured Notes are fully and unconditionally guaranteed on a senior unsecured basis by AAG.</w:t>
      </w:r>
    </w:p>
    <w:p>
      <w:pPr>
        <w:spacing w:after="0" w:line="144"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The 8.50% Senior Secured Notes were issued pursuant to an indenture, dated as of December 4, 2023 (the 8.50% Senior Secured Notes Indenture), by and among American, AAG and Wilmington Trust, National Association, as trustee and collateral agent. The 8.50%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certain airports in Australia, Canada, the Caribbean, Central America, China, Hong Kong, Japan, Mexico, South Korea and Switzerland (collectively, the 8.50% Senior Secured Notes Collateral) . The 8.50% Senior Secured Notes Collateral also secures, on a first lien, pari passu basis with the 8.50% Senior Secured Notes, the 2023 Term Loan Facility.</w:t>
      </w:r>
    </w:p>
    <w:p>
      <w:pPr>
        <w:spacing w:after="0" w:line="14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American may redeem the 8.50% Senior Secured Notes, in whole or in part, at the redemption prices described in the 8.50% Senior Secured Notes Indenture, plus any accrued and unpaid interest thereon to but excluding the date of redemption.</w:t>
      </w:r>
    </w:p>
    <w:p>
      <w:pPr>
        <w:spacing w:after="0" w:line="129"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Twice per year, American is required to deliver an appraisal of the 8.50% Senior Secured Notes Collateral and an officer’s certificate demonstrating the calculation of a collateral coverage ratio in relation to the 8.50% Senior Secured Notes Collateral (the 8.50% Senior Secured Notes Collateral Coverage Ratio) as of the date of delivery of the appraisal for the applicable period. If the 8.50% Senior Secured Notes Collateral Coverage Ratio is less than 1.6 to 1.0 as of the date of delivery of the appraisal for the applicable period, then, subject to a cure period in which additional collateral can be provided or debt repaid such that American meets the required 8.50% Senior Secured Notes Collateral Coverage Ratio, American will be required to pay special interest in an additional amount equal to 2.00% per annum of the principal amount of the 8.50% Senior Secured Notes until the 8.50% Senior Secured Notes Collateral Coverage Ratio is established to be at least 1.6 to 1.0.</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(c) AAdvantage Financing</w:t>
      </w:r>
    </w:p>
    <w:p>
      <w:pPr>
        <w:spacing w:after="0" w:line="95"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9"/>
          <w:szCs w:val="19"/>
          <w:color w:val="00162F"/>
        </w:rPr>
        <w:t>On March 24, 2021 (the 2021 AAdvantage Financing Closing Date), American and AAdvantage Loyalty IP Ltd., a Cayman Islands exempted company incorporated with limited liability and an indirect wholly-owned subsidiary of American (Loyalty Issuer and, together with American, the AAdvantage Issuers), completed the offering of $3.5 billion aggregate principal amount of 5.50% Senior Secured Notes due 2026 (the 2026 Notes) and $3.0 billion aggregate principal amount</w:t>
      </w:r>
    </w:p>
    <w:p>
      <w:pPr>
        <w:sectPr>
          <w:pgSz w:w="11880" w:h="15480" w:orient="portrait"/>
          <w:cols w:equalWidth="0" w:num="1">
            <w:col w:w="10680"/>
          </w:cols>
          <w:pgMar w:left="600" w:top="249" w:right="600" w:bottom="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145</w:t>
      </w:r>
    </w:p>
    <w:p>
      <w:pPr>
        <w:sectPr>
          <w:pgSz w:w="11880" w:h="15480" w:orient="portrait"/>
          <w:cols w:equalWidth="0" w:num="1">
            <w:col w:w="10680"/>
          </w:cols>
          <w:pgMar w:left="600" w:top="249" w:right="600" w:bottom="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00162F"/>
        </w:rPr>
        <w:t>of 5.75% Senior Secured Notes due 2029 (the 2029 Notes, and together with the 2026 Notes, the AAdvantage Notes). The AAdvantage Notes are fully and unconditionally guaranteed (the AAdvantage Note Guarantees) by an indirect, wholly-owned subsidiary of American, and other wholly-owned subsidiaries (together, the SPV Guarantors) and AAG.</w:t>
      </w:r>
    </w:p>
    <w:p>
      <w:pPr>
        <w:spacing w:after="0" w:line="129"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Concurrent with the issuance of the AAdvantage Notes, the AAdvantage Issuers, as co-borrowers, entered into a term loan credit and guaranty agreement, dated March 24, 2021, as amended, providing for a $3.5 billion term loan facility (the 2021 AAdvantage Term Loan Facility). On March 24, 2025, the AAdvantage Issuers entered into a second amendment to the term loan credit and guaranty agreement dated March 24, 2021 (the Second Amendment). As a result of the Second Amendment, the term loans outstanding with a principal amount of approximately $2.3 billion were replaced with new term loans in the same principal amount. The terms of the new term loans are substantially similar to the prior term loans; however, the new term loans bear interest at a base rate (subject to a floor of 0.00%) plus an applicable margin of 1.25% per annum or, at the AAdvantage Issuers’ option, the SOFR rate for a tenor of three months (subject to a floor of 0.00%), plus an applicable margin of 2.25% per annum. Additionally, the scheduled quarterly principal amortization amount was reduced to 0.25% of the principal amount of term loans outstanding as of March 24, 2025 (approximately $6 million each quarter), which began in July 2025, and the remaining balance is due at maturity in April 2028. Pursuant to the Second Amendment, the new term loans are not subject to a cost spread adjustment. As of December 31, 2025, the margin elected for the 2021 AAdvantage Term Loan Facility was 2.25%.</w:t>
      </w:r>
    </w:p>
    <w:p>
      <w:pPr>
        <w:spacing w:after="0" w:line="152"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On May 28, 2025, the AAdvantage Issuers entered into a third amendment to the term loan credit and guaranty agreement dated March 24, 2021 (the Third Amendment). As a result of the Third Amendment, the AAdvantage Issuers incurred $1.0 billion of incremental term loans (the 2025 AAdvantage Term Loan Facility) due on May 28, 2032. The terms of the 2025 AAdvantage Term Loan Facility are substantially similar to the 2021 AAdvantage Term Loan Facility; however, the 2025 AAdvantage Term Loan Facility bears interest at a base rate (subject to a floor of 0.00%) plus an applicable margin of 2.25% per annum or, at the AAdvantage Issuers’ option, the SOFR rate for a tenor of three months (subject to a floor of 0.00%), plus an applicable margin of 3.25% per annum. Additionally, the scheduled quarterly principal amortization amount is equal to 0.25% of the original aggregate principal amount of the 2025 AAdvantage Term Loan Facility (approximately $3 million each quarter), which began in July 2025, and the remaining balance is due at maturity in May 2032. Pursuant to the Third Amendment, the 2025 AAdvantage Term Loan Facility is not subject to a cost spread adjustment. The net proceeds from the 2025 AAdvantage Term Loan Facility were used, in part, to repay AAG’s 6.50% convertible senior notes. As of December 31, 2025, the margin elected for the 2025 AAdvantage Term Loan Facility was 3.25%.</w:t>
      </w:r>
    </w:p>
    <w:p>
      <w:pPr>
        <w:spacing w:after="0" w:line="152"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9"/>
          <w:szCs w:val="19"/>
          <w:color w:val="00162F"/>
        </w:rPr>
        <w:t>The AAdvantage Notes, 2021 AAdvantage Term Loan Facility and 2025 AAdvantage Term Loan Facility are collectively referred to as the AAdvantage Financing. The term loans drawn under the 2021 AAdvantage Term Loan Facility and 2025 AAdvantage Term Loan Facility (collectively, the AAdvantage Loans) are fully and unconditionally guaranteed (together with the AAdvantage Note Guarantees, the AAdvantage Guarantees) by the SPV Guarantors and AAG.</w:t>
      </w:r>
    </w:p>
    <w:p>
      <w:pPr>
        <w:spacing w:after="0" w:line="120"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Subject to certain permitted liens and other exceptions, the AAdvantage Notes, AAdvantage Loans and AAdvantage Guarantees provided by the SPV Guarantors are secured by a first-priority security interest in, and pledge of, various agreements with respect to the AAdvantage program (the AAdvantage Agreements) (including all payments thereunder) and certain intellectual property licenses, certain deposit accounts that will receive cash under the AAdvantage Agreements, certain reserve accounts, the equity of each of Loyalty Issuer and the SPV Guarantors and substantially all other assets of Loyalty Issuer and the SPV Guarantors, including American’s rights to certain data and other intellectual property used in the AAdvantage program (subject to certain exceptions) (collectively, the AAdvantage Collateral).</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Payment Terms of the AAdvantage Financing</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Interest on the AAdvantage Notes is payable in cash, quarterly in arrears on the 20th day of each January, April, July and October (each, an AAdvantage Payment Date), which began on July 20, 2021. The 2026 Notes will mature on April 20, 2026, and the 2029 Notes will mature on April 20, 2029. The outstanding principal on the 2026 Notes are repaid in quarterly installments of $292 million on each AAdvantage Payment Date, which began in July 2023. The outstanding principal on the 2029 Notes will be repaid in quarterly installments of $250 million on each AAdvantage Payment Date, beginning on July 20, 2026.</w:t>
      </w:r>
    </w:p>
    <w:p>
      <w:pPr>
        <w:spacing w:after="0" w:line="14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AAdvantage Issuers may redeem the AAdvantage Notes, at their option, in whole or in part, at a redemption price equal to 100% of the principal amount of the AAdvantage Notes redeemed plus a “make-whole” premium, together with accrued and unpaid interest to the date of redemption.</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146</w:t>
      </w:r>
    </w:p>
    <w:p>
      <w:pPr>
        <w:sectPr>
          <w:pgSz w:w="11880" w:h="15480" w:orient="portrait"/>
          <w:cols w:equalWidth="0" w:num="1">
            <w:col w:w="10680"/>
          </w:cols>
          <w:pgMar w:left="600" w:top="249" w:right="600" w:bottom="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The scheduled maturity date of the term loans under the 2021 AAdvantage Term Loan Facility is April 20, 2028. The outstanding principal on the loans due under such facility will be repaid in quarterly installments of approximately $6 million, on each AAdvantage Payment Date. The scheduled maturity date of the term loans under the 2025 AAdvantage Term Loan Facility is May 28, 2032. The outstanding principal on the loans due under such facility will be repaid in quarterly installments of approximately $3 million, on each AAdvantage Payment Date.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44"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Prepayment of some or all of the outstanding amounts under the AAdvantage Loans is permitted, although payment of an applicable premium is required as specified in the term loans of the AAdvantage Loans.</w:t>
      </w:r>
    </w:p>
    <w:p>
      <w:pPr>
        <w:spacing w:after="0" w:line="113"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The AAdvantage Indenture and the AAdvantage Loans contain mandatory prepayment provisions triggered upon (i) the issuance or incurrence by Loyalty Issuer or the SPV Guarantors of certain indebtedness or (ii) the receipt by American or its subsidiaries of net proceeds from pre-paid frequent flyer (i.e., AAdvantage) mileage credit sales exceeding $505 million.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Loans, respectively.</w:t>
      </w:r>
    </w:p>
    <w:p>
      <w:pPr>
        <w:spacing w:after="0" w:line="234" w:lineRule="exact"/>
        <w:rPr>
          <w:sz w:val="20"/>
          <w:szCs w:val="20"/>
          <w:color w:val="auto"/>
        </w:rPr>
      </w:pPr>
    </w:p>
    <w:p>
      <w:pPr>
        <w:ind w:left="260" w:right="8060" w:firstLine="2"/>
        <w:spacing w:after="0" w:line="358" w:lineRule="auto"/>
        <w:tabs>
          <w:tab w:leader="none" w:pos="567" w:val="left"/>
        </w:tabs>
        <w:numPr>
          <w:ilvl w:val="0"/>
          <w:numId w:val="74"/>
        </w:numPr>
        <w:rPr>
          <w:rFonts w:ascii="Arial" w:cs="Arial" w:eastAsia="Arial" w:hAnsi="Arial"/>
          <w:sz w:val="19"/>
          <w:szCs w:val="19"/>
          <w:b w:val="1"/>
          <w:bCs w:val="1"/>
          <w:i w:val="1"/>
          <w:iCs w:val="1"/>
          <w:color w:val="00162F"/>
        </w:rPr>
      </w:pPr>
      <w:r>
        <w:rPr>
          <w:rFonts w:ascii="Arial" w:cs="Arial" w:eastAsia="Arial" w:hAnsi="Arial"/>
          <w:sz w:val="19"/>
          <w:szCs w:val="19"/>
          <w:b w:val="1"/>
          <w:bCs w:val="1"/>
          <w:i w:val="1"/>
          <w:iCs w:val="1"/>
          <w:color w:val="00162F"/>
        </w:rPr>
        <w:t xml:space="preserve">EETCs issued in 2025 </w:t>
      </w:r>
      <w:r>
        <w:rPr>
          <w:rFonts w:ascii="Arial" w:cs="Arial" w:eastAsia="Arial" w:hAnsi="Arial"/>
          <w:sz w:val="19"/>
          <w:szCs w:val="19"/>
          <w:i w:val="1"/>
          <w:iCs w:val="1"/>
          <w:u w:val="single" w:color="auto"/>
          <w:color w:val="00162F"/>
        </w:rPr>
        <w:t>2025-1 Aircraft EETCs</w:t>
      </w:r>
    </w:p>
    <w:p>
      <w:pPr>
        <w:jc w:val="both"/>
        <w:ind w:firstLine="267"/>
        <w:spacing w:after="0" w:line="250" w:lineRule="auto"/>
        <w:rPr>
          <w:sz w:val="20"/>
          <w:szCs w:val="20"/>
          <w:color w:val="auto"/>
        </w:rPr>
      </w:pPr>
      <w:r>
        <w:rPr>
          <w:rFonts w:ascii="Arial" w:cs="Arial" w:eastAsia="Arial" w:hAnsi="Arial"/>
          <w:sz w:val="20"/>
          <w:szCs w:val="20"/>
          <w:color w:val="00162F"/>
        </w:rPr>
        <w:t>In November 2025, American created two pass-through trusts which issued approximately $1.1 billion aggregate face amount of Series 2025-1 Class A and Class B EETCs (the 2025-1 Aircraft EETCs) in connection with the financing of 25 aircraft delivered or to be delivered to American from October 2025 through March 2026 (the 2025-1 Aircraft). As of December 31, 2025, approximately $978 million of the proceeds had been used to purchase equipment notes issued by American in connection with the financing of 21 aircraft under the 2025-1 Aircraft EETCs. Interest and principal payments on equipment notes issued in connection with the 2025-1 Aircraft EETCs are payable semi-annually in May and November each year, with interest payments scheduled to begin in May 2026 and principal payments scheduled to begin in November 2026. The remaining proceeds of approximately $127 million as of December 31, 2025 were being held in escrow with a depositary for the benefit of the holders of the 2025-1 Aircraft EETCs until such time as American issues additional equipment notes with respect to the remaining 2025-1 Aircraft to the pass-through trusts, which will purchase such additional equipment notes with the escrowed funds. These escrowed funds are not guaranteed by American and are not reported as debt on its consolidated balance sheet because the proceeds held by the depositary for the benefit of the holders of the 2025-1 Aircraft EETCs are not American’s assets.</w:t>
      </w:r>
    </w:p>
    <w:p>
      <w:pPr>
        <w:spacing w:after="0" w:line="152"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Certain information regarding the 2025-1 Aircraft EETC equipment notes, as of December 31, 2025, is set forth in the table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3400" w:type="dxa"/>
            <w:vAlign w:val="bottom"/>
            <w:tcBorders>
              <w:bottom w:val="single" w:sz="8" w:color="00162F"/>
            </w:tcBorders>
            <w:gridSpan w:val="3"/>
          </w:tcPr>
          <w:p>
            <w:pPr>
              <w:ind w:left="880"/>
              <w:spacing w:after="0"/>
              <w:rPr>
                <w:sz w:val="20"/>
                <w:szCs w:val="20"/>
                <w:color w:val="auto"/>
              </w:rPr>
            </w:pPr>
            <w:r>
              <w:rPr>
                <w:rFonts w:ascii="Arial" w:cs="Arial" w:eastAsia="Arial" w:hAnsi="Arial"/>
                <w:sz w:val="16"/>
                <w:szCs w:val="16"/>
                <w:b w:val="1"/>
                <w:bCs w:val="1"/>
                <w:color w:val="00162F"/>
              </w:rPr>
              <w:t>2025-1 Aircraft EETCs</w:t>
            </w:r>
          </w:p>
        </w:tc>
      </w:tr>
      <w:tr>
        <w:trPr>
          <w:trHeight w:val="232"/>
        </w:trPr>
        <w:tc>
          <w:tcPr>
            <w:tcW w:w="7280" w:type="dxa"/>
            <w:vAlign w:val="bottom"/>
            <w:tcBorders>
              <w:bottom w:val="single" w:sz="8" w:color="EDEDED"/>
            </w:tcBorders>
          </w:tcPr>
          <w:p>
            <w:pPr>
              <w:spacing w:after="0"/>
              <w:rPr>
                <w:sz w:val="20"/>
                <w:szCs w:val="20"/>
                <w:color w:val="auto"/>
              </w:rPr>
            </w:pPr>
          </w:p>
        </w:tc>
        <w:tc>
          <w:tcPr>
            <w:tcW w:w="166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9"/>
              </w:rPr>
              <w:t>Series A</w:t>
            </w:r>
          </w:p>
        </w:tc>
        <w:tc>
          <w:tcPr>
            <w:tcW w:w="80" w:type="dxa"/>
            <w:vAlign w:val="bottom"/>
            <w:tcBorders>
              <w:bottom w:val="single" w:sz="8" w:color="EDEDED"/>
            </w:tcBorders>
          </w:tcPr>
          <w:p>
            <w:pPr>
              <w:spacing w:after="0"/>
              <w:rPr>
                <w:sz w:val="20"/>
                <w:szCs w:val="20"/>
                <w:color w:val="auto"/>
              </w:rPr>
            </w:pPr>
          </w:p>
        </w:tc>
        <w:tc>
          <w:tcPr>
            <w:tcW w:w="166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9"/>
              </w:rPr>
              <w:t>Series B</w:t>
            </w:r>
          </w:p>
        </w:tc>
      </w:tr>
      <w:tr>
        <w:trPr>
          <w:trHeight w:val="272"/>
        </w:trPr>
        <w:tc>
          <w:tcPr>
            <w:tcW w:w="728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Aggregate principal issued</w:t>
            </w:r>
          </w:p>
        </w:tc>
        <w:tc>
          <w:tcPr>
            <w:tcW w:w="166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$884 million</w:t>
            </w:r>
          </w:p>
        </w:tc>
        <w:tc>
          <w:tcPr>
            <w:tcW w:w="80" w:type="dxa"/>
            <w:vAlign w:val="bottom"/>
            <w:shd w:val="clear" w:color="auto" w:fill="EDEDED"/>
          </w:tcPr>
          <w:p>
            <w:pPr>
              <w:spacing w:after="0"/>
              <w:rPr>
                <w:sz w:val="23"/>
                <w:szCs w:val="23"/>
                <w:color w:val="auto"/>
              </w:rPr>
            </w:pPr>
          </w:p>
        </w:tc>
        <w:tc>
          <w:tcPr>
            <w:tcW w:w="166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$221 million</w:t>
            </w:r>
          </w:p>
        </w:tc>
      </w:tr>
      <w:tr>
        <w:trPr>
          <w:trHeight w:val="275"/>
        </w:trPr>
        <w:tc>
          <w:tcPr>
            <w:tcW w:w="7280" w:type="dxa"/>
            <w:vAlign w:val="bottom"/>
          </w:tcPr>
          <w:p>
            <w:pPr>
              <w:ind w:left="40"/>
              <w:spacing w:after="0"/>
              <w:rPr>
                <w:sz w:val="20"/>
                <w:szCs w:val="20"/>
                <w:color w:val="auto"/>
              </w:rPr>
            </w:pPr>
            <w:r>
              <w:rPr>
                <w:rFonts w:ascii="Arial" w:cs="Arial" w:eastAsia="Arial" w:hAnsi="Arial"/>
                <w:sz w:val="20"/>
                <w:szCs w:val="20"/>
                <w:color w:val="00162F"/>
              </w:rPr>
              <w:t>Remaining escrowed proceeds</w:t>
            </w:r>
          </w:p>
        </w:tc>
        <w:tc>
          <w:tcPr>
            <w:tcW w:w="1660" w:type="dxa"/>
            <w:vAlign w:val="bottom"/>
          </w:tcPr>
          <w:p>
            <w:pPr>
              <w:jc w:val="center"/>
              <w:spacing w:after="0"/>
              <w:rPr>
                <w:sz w:val="20"/>
                <w:szCs w:val="20"/>
                <w:color w:val="auto"/>
              </w:rPr>
            </w:pPr>
            <w:r>
              <w:rPr>
                <w:rFonts w:ascii="Arial" w:cs="Arial" w:eastAsia="Arial" w:hAnsi="Arial"/>
                <w:sz w:val="20"/>
                <w:szCs w:val="20"/>
                <w:color w:val="00162F"/>
                <w:w w:val="99"/>
              </w:rPr>
              <w:t>$102 million</w:t>
            </w:r>
          </w:p>
        </w:tc>
        <w:tc>
          <w:tcPr>
            <w:tcW w:w="8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00162F"/>
                <w:w w:val="98"/>
              </w:rPr>
              <w:t>$25 million</w:t>
            </w:r>
          </w:p>
        </w:tc>
      </w:tr>
      <w:tr>
        <w:trPr>
          <w:trHeight w:val="289"/>
        </w:trPr>
        <w:tc>
          <w:tcPr>
            <w:tcW w:w="728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Fixed interest rate per annum</w:t>
            </w:r>
          </w:p>
        </w:tc>
        <w:tc>
          <w:tcPr>
            <w:tcW w:w="166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8"/>
              </w:rPr>
              <w:t>4.90%</w:t>
            </w:r>
          </w:p>
        </w:tc>
        <w:tc>
          <w:tcPr>
            <w:tcW w:w="1740" w:type="dxa"/>
            <w:vAlign w:val="bottom"/>
            <w:gridSpan w:val="2"/>
            <w:shd w:val="clear" w:color="auto" w:fill="EDEDED"/>
          </w:tcPr>
          <w:p>
            <w:pPr>
              <w:jc w:val="center"/>
              <w:ind w:left="41"/>
              <w:spacing w:after="0"/>
              <w:rPr>
                <w:sz w:val="20"/>
                <w:szCs w:val="20"/>
                <w:color w:val="auto"/>
              </w:rPr>
            </w:pPr>
            <w:r>
              <w:rPr>
                <w:rFonts w:ascii="Arial" w:cs="Arial" w:eastAsia="Arial" w:hAnsi="Arial"/>
                <w:sz w:val="20"/>
                <w:szCs w:val="20"/>
                <w:color w:val="00162F"/>
                <w:w w:val="98"/>
              </w:rPr>
              <w:t>5.65%</w:t>
            </w:r>
          </w:p>
        </w:tc>
      </w:tr>
      <w:tr>
        <w:trPr>
          <w:trHeight w:val="268"/>
        </w:trPr>
        <w:tc>
          <w:tcPr>
            <w:tcW w:w="7280" w:type="dxa"/>
            <w:vAlign w:val="bottom"/>
          </w:tcPr>
          <w:p>
            <w:pPr>
              <w:ind w:left="40"/>
              <w:spacing w:after="0"/>
              <w:rPr>
                <w:sz w:val="20"/>
                <w:szCs w:val="20"/>
                <w:color w:val="auto"/>
              </w:rPr>
            </w:pPr>
            <w:r>
              <w:rPr>
                <w:rFonts w:ascii="Arial" w:cs="Arial" w:eastAsia="Arial" w:hAnsi="Arial"/>
                <w:sz w:val="20"/>
                <w:szCs w:val="20"/>
                <w:color w:val="00162F"/>
              </w:rPr>
              <w:t>Maturity date</w:t>
            </w:r>
          </w:p>
        </w:tc>
        <w:tc>
          <w:tcPr>
            <w:tcW w:w="1660" w:type="dxa"/>
            <w:vAlign w:val="bottom"/>
          </w:tcPr>
          <w:p>
            <w:pPr>
              <w:jc w:val="center"/>
              <w:spacing w:after="0"/>
              <w:rPr>
                <w:sz w:val="20"/>
                <w:szCs w:val="20"/>
                <w:color w:val="auto"/>
              </w:rPr>
            </w:pPr>
            <w:r>
              <w:rPr>
                <w:rFonts w:ascii="Arial" w:cs="Arial" w:eastAsia="Arial" w:hAnsi="Arial"/>
                <w:sz w:val="20"/>
                <w:szCs w:val="20"/>
                <w:color w:val="00162F"/>
              </w:rPr>
              <w:t>May 2038</w:t>
            </w:r>
          </w:p>
        </w:tc>
        <w:tc>
          <w:tcPr>
            <w:tcW w:w="8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00162F"/>
                <w:w w:val="99"/>
              </w:rPr>
              <w:t>November 2034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-731520</wp:posOffset>
            </wp:positionV>
            <wp:extent cx="2209165" cy="501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0">
                      <a:extLst>
                        <a:ext uri="{28A0092B-C50C-407E-A947-70E740481C1C}"/>
                      </a:extLst>
                    </a:blip>
                    <a:srcRect/>
                    <a:stretch>
                      <a:fillRect/>
                    </a:stretch>
                  </pic:blipFill>
                  <pic:spPr bwMode="auto">
                    <a:xfrm>
                      <a:off x="0" y="0"/>
                      <a:ext cx="2209165" cy="50165"/>
                    </a:xfrm>
                    <a:prstGeom prst="rect">
                      <a:avLst/>
                    </a:prstGeom>
                    <a:noFill/>
                  </pic:spPr>
                </pic:pic>
              </a:graphicData>
            </a:graphic>
          </wp:anchor>
        </w:drawing>
      </w:r>
    </w:p>
    <w:p>
      <w:pPr>
        <w:spacing w:after="0" w:line="30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(e) Equipment Loans and Other Notes Payable Issued in 2025</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In 2025, American entered into agreements under which it borrowed $1.2 billion in connection with the financing of certain aircraft. Debt incurred under these agreements matures in 2036 through 2037 and bears interest at variable rates (comprised of SOFR plus an applicable margin) averaging 5.72% as of December 31, 2025.</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147</w:t>
      </w:r>
    </w:p>
    <w:p>
      <w:pPr>
        <w:sectPr>
          <w:pgSz w:w="11880" w:h="15480" w:orient="portrait"/>
          <w:cols w:equalWidth="0" w:num="1">
            <w:col w:w="10680"/>
          </w:cols>
          <w:pgMar w:left="600" w:top="249" w:right="600" w:bottom="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(f) Short-Term Term Loan Facility</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In October 2025, American borrowed $629 million under a senior unsecured short-term term loan facility to refinance in full the $629 million outstanding principal amount of the 10.75% Senior Secured Notes, described above. Term loans under the facility were scheduled to mature on January 21, 2026 and bore interest at SOFR for a tenor of one month plus an applicable margin of 2.375% per annum, payable monthly. The term loans were fully and unconditionally guaranteed by AAG. On January 2, 2026, American voluntarily prepaid the remaining outstanding principal amount of the short-term term loan facility.</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Other Financing Activities</w:t>
      </w:r>
    </w:p>
    <w:p>
      <w:pPr>
        <w:spacing w:after="0" w:line="95"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In 2025, American prepaid $487 million of the outstanding principal amounts of certain equipment notes issued under EETCs, and these amounts were applied to repay the related trust certificates.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Guarantees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As of December 31, 2025, American had issued guarantees covering AAG’s $1.8 billion aggregate principal amount of the PSP1 Promissory Note due April 2030, $1.0 billion aggregate principal amount of the PSP2 Promissory Note due January 2031 and $959 million aggregate principal amount of the PSP3 Promissory Note due April 2031.</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Certain Covenants</w:t>
      </w:r>
    </w:p>
    <w:p>
      <w:pPr>
        <w:spacing w:after="0" w:line="95"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American’s debt agreements contain customary terms and conditions as well as various affirmative, negative and financial covenants that, among other things, may restrict American’s ability to incur additional indebtedness. American’s debt agreements also contain customary change of control provisions, which may require it to repay or redeem such indebtedness upon certain events constituting a change of control under the relevant agreement, in certain cases at a premium. Additionally, certain of American’s debt financing agreements (including its secured notes, term loans, revolving credit facilities and spare engine EETCs) contain loan to value (LTV) or collateral coverage ratio covenants and certain agreements require American to appraise the related collateral annually or semiannually. Pursuant to such agreements, if the applicable LTV or collateral coverage ratio exceeds or falls below a specified threshold, as the case may be, American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American’s debt financing agreements contain covenants requiring it to maintain an aggregate of at least $2.0 billion of unrestricted cash and cash equivalents and amounts available to be drawn under revolving credit facilities, and its AAdvantage Financing contains a peak debt service coverage ratio, pursuant to which failure to comply with a certain threshold may result in early repayment, in whole or in part, of the AAdvantage Financing.</w:t>
      </w:r>
    </w:p>
    <w:p>
      <w:pPr>
        <w:spacing w:after="0" w:line="148"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Specifically, American is required to meet certain collateral coverage tests for its Credit Facilities, 7.25% Senior Secured Notes and 8.50% Senior Secured Notes, as described below:</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00162F"/>
        </w:rPr>
        <w:t>LTV Requirement</w:t>
      </w:r>
    </w:p>
    <w:p>
      <w:pPr>
        <w:spacing w:after="0" w:line="153" w:lineRule="exact"/>
        <w:rPr>
          <w:sz w:val="20"/>
          <w:szCs w:val="20"/>
          <w:color w:val="auto"/>
        </w:rPr>
      </w:pPr>
    </w:p>
    <w:p>
      <w:pPr>
        <w:ind w:left="140" w:hanging="88"/>
        <w:spacing w:after="0" w:line="239" w:lineRule="auto"/>
        <w:rPr>
          <w:sz w:val="20"/>
          <w:szCs w:val="20"/>
          <w:color w:val="auto"/>
        </w:rPr>
      </w:pPr>
      <w:r>
        <w:rPr>
          <w:rFonts w:ascii="Arial" w:cs="Arial" w:eastAsia="Arial" w:hAnsi="Arial"/>
          <w:sz w:val="16"/>
          <w:szCs w:val="16"/>
          <w:color w:val="00162F"/>
        </w:rPr>
        <w:t>LTV as of Last Measurement Date</w:t>
      </w:r>
    </w:p>
    <w:p>
      <w:pPr>
        <w:spacing w:after="0" w:line="168" w:lineRule="exact"/>
        <w:rPr>
          <w:sz w:val="20"/>
          <w:szCs w:val="20"/>
          <w:color w:val="auto"/>
        </w:rPr>
      </w:pPr>
    </w:p>
    <w:p>
      <w:pPr>
        <w:ind w:left="140" w:right="140" w:hanging="88"/>
        <w:spacing w:after="0" w:line="239" w:lineRule="auto"/>
        <w:rPr>
          <w:sz w:val="20"/>
          <w:szCs w:val="20"/>
          <w:color w:val="auto"/>
        </w:rPr>
      </w:pPr>
      <w:r>
        <w:rPr>
          <w:rFonts w:ascii="Arial" w:cs="Arial" w:eastAsia="Arial" w:hAnsi="Arial"/>
          <w:sz w:val="16"/>
          <w:szCs w:val="16"/>
          <w:color w:val="00162F"/>
        </w:rPr>
        <w:t>Frequency of Appraisals of Appraised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color w:val="00162F"/>
        </w:rPr>
        <w:t>Collateral Description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00"/>
        <w:spacing w:after="0"/>
        <w:tabs>
          <w:tab w:leader="none" w:pos="1900" w:val="left"/>
          <w:tab w:leader="none" w:pos="3640" w:val="left"/>
          <w:tab w:leader="none" w:pos="5320" w:val="left"/>
          <w:tab w:leader="none" w:pos="6920" w:val="left"/>
        </w:tabs>
        <w:rPr>
          <w:sz w:val="20"/>
          <w:szCs w:val="20"/>
          <w:color w:val="auto"/>
        </w:rPr>
      </w:pPr>
      <w:r>
        <w:rPr>
          <w:rFonts w:ascii="Arial" w:cs="Arial" w:eastAsia="Arial" w:hAnsi="Arial"/>
          <w:sz w:val="16"/>
          <w:szCs w:val="16"/>
          <w:b w:val="1"/>
          <w:bCs w:val="1"/>
          <w:color w:val="00162F"/>
        </w:rPr>
        <w:t>2013 Credit</w:t>
      </w:r>
      <w:r>
        <w:rPr>
          <w:sz w:val="20"/>
          <w:szCs w:val="20"/>
          <w:color w:val="auto"/>
        </w:rPr>
        <w:tab/>
      </w:r>
      <w:r>
        <w:rPr>
          <w:rFonts w:ascii="Arial" w:cs="Arial" w:eastAsia="Arial" w:hAnsi="Arial"/>
          <w:sz w:val="16"/>
          <w:szCs w:val="16"/>
          <w:b w:val="1"/>
          <w:bCs w:val="1"/>
          <w:color w:val="00162F"/>
        </w:rPr>
        <w:t>7.25% Senior</w:t>
      </w:r>
      <w:r>
        <w:rPr>
          <w:sz w:val="20"/>
          <w:szCs w:val="20"/>
          <w:color w:val="auto"/>
        </w:rPr>
        <w:tab/>
      </w:r>
      <w:r>
        <w:rPr>
          <w:rFonts w:ascii="Arial" w:cs="Arial" w:eastAsia="Arial" w:hAnsi="Arial"/>
          <w:sz w:val="16"/>
          <w:szCs w:val="16"/>
          <w:b w:val="1"/>
          <w:bCs w:val="1"/>
          <w:color w:val="00162F"/>
        </w:rPr>
        <w:t>2014 Credit</w:t>
      </w:r>
      <w:r>
        <w:rPr>
          <w:sz w:val="20"/>
          <w:szCs w:val="20"/>
          <w:color w:val="auto"/>
        </w:rPr>
        <w:tab/>
      </w:r>
      <w:r>
        <w:rPr>
          <w:rFonts w:ascii="Arial" w:cs="Arial" w:eastAsia="Arial" w:hAnsi="Arial"/>
          <w:sz w:val="16"/>
          <w:szCs w:val="16"/>
          <w:b w:val="1"/>
          <w:bCs w:val="1"/>
          <w:color w:val="00162F"/>
        </w:rPr>
        <w:t>2023 Credit</w:t>
      </w:r>
      <w:r>
        <w:rPr>
          <w:sz w:val="20"/>
          <w:szCs w:val="20"/>
          <w:color w:val="auto"/>
        </w:rPr>
        <w:tab/>
      </w:r>
      <w:r>
        <w:rPr>
          <w:rFonts w:ascii="Arial" w:cs="Arial" w:eastAsia="Arial" w:hAnsi="Arial"/>
          <w:sz w:val="15"/>
          <w:szCs w:val="15"/>
          <w:b w:val="1"/>
          <w:bCs w:val="1"/>
          <w:color w:val="00162F"/>
        </w:rPr>
        <w:t>8.50% Senior</w:t>
      </w:r>
    </w:p>
    <w:p>
      <w:pPr>
        <w:ind w:left="380"/>
        <w:spacing w:after="0"/>
        <w:tabs>
          <w:tab w:leader="none" w:pos="1820" w:val="left"/>
          <w:tab w:leader="none" w:pos="3720" w:val="left"/>
          <w:tab w:leader="none" w:pos="5400" w:val="left"/>
          <w:tab w:leader="none" w:pos="6860" w:val="left"/>
        </w:tabs>
        <w:rPr>
          <w:sz w:val="20"/>
          <w:szCs w:val="20"/>
          <w:color w:val="auto"/>
        </w:rPr>
      </w:pPr>
      <w:r>
        <w:rPr>
          <w:rFonts w:ascii="Arial" w:cs="Arial" w:eastAsia="Arial" w:hAnsi="Arial"/>
          <w:sz w:val="16"/>
          <w:szCs w:val="16"/>
          <w:b w:val="1"/>
          <w:bCs w:val="1"/>
          <w:color w:val="00162F"/>
        </w:rPr>
        <w:t>Facilities</w:t>
      </w:r>
      <w:r>
        <w:rPr>
          <w:sz w:val="20"/>
          <w:szCs w:val="20"/>
          <w:color w:val="auto"/>
        </w:rPr>
        <w:tab/>
      </w:r>
      <w:r>
        <w:rPr>
          <w:rFonts w:ascii="Arial" w:cs="Arial" w:eastAsia="Arial" w:hAnsi="Arial"/>
          <w:sz w:val="16"/>
          <w:szCs w:val="16"/>
          <w:b w:val="1"/>
          <w:bCs w:val="1"/>
          <w:color w:val="00162F"/>
        </w:rPr>
        <w:t>Secured Notes</w:t>
      </w:r>
      <w:r>
        <w:rPr>
          <w:sz w:val="20"/>
          <w:szCs w:val="20"/>
          <w:color w:val="auto"/>
        </w:rPr>
        <w:tab/>
      </w:r>
      <w:r>
        <w:rPr>
          <w:rFonts w:ascii="Arial" w:cs="Arial" w:eastAsia="Arial" w:hAnsi="Arial"/>
          <w:sz w:val="16"/>
          <w:szCs w:val="16"/>
          <w:b w:val="1"/>
          <w:bCs w:val="1"/>
          <w:color w:val="00162F"/>
        </w:rPr>
        <w:t>Facilities</w:t>
      </w:r>
      <w:r>
        <w:rPr>
          <w:sz w:val="20"/>
          <w:szCs w:val="20"/>
          <w:color w:val="auto"/>
        </w:rPr>
        <w:tab/>
      </w:r>
      <w:r>
        <w:rPr>
          <w:rFonts w:ascii="Arial" w:cs="Arial" w:eastAsia="Arial" w:hAnsi="Arial"/>
          <w:sz w:val="16"/>
          <w:szCs w:val="16"/>
          <w:b w:val="1"/>
          <w:bCs w:val="1"/>
          <w:color w:val="00162F"/>
        </w:rPr>
        <w:t>Facilities</w:t>
      </w:r>
      <w:r>
        <w:rPr>
          <w:sz w:val="20"/>
          <w:szCs w:val="20"/>
          <w:color w:val="auto"/>
        </w:rPr>
        <w:tab/>
      </w:r>
      <w:r>
        <w:rPr>
          <w:rFonts w:ascii="Arial" w:cs="Arial" w:eastAsia="Arial" w:hAnsi="Arial"/>
          <w:sz w:val="15"/>
          <w:szCs w:val="15"/>
          <w:b w:val="1"/>
          <w:bCs w:val="1"/>
          <w:color w:val="00162F"/>
        </w:rPr>
        <w:t>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12065</wp:posOffset>
            </wp:positionV>
            <wp:extent cx="6800850" cy="2012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1">
                      <a:extLst>
                        <a:ext uri="{28A0092B-C50C-407E-A947-70E740481C1C}"/>
                      </a:extLst>
                    </a:blip>
                    <a:srcRect/>
                    <a:stretch>
                      <a:fillRect/>
                    </a:stretch>
                  </pic:blipFill>
                  <pic:spPr bwMode="auto">
                    <a:xfrm>
                      <a:off x="0" y="0"/>
                      <a:ext cx="6800850" cy="201295"/>
                    </a:xfrm>
                    <a:prstGeom prst="rect">
                      <a:avLst/>
                    </a:prstGeom>
                    <a:noFill/>
                  </pic:spPr>
                </pic:pic>
              </a:graphicData>
            </a:graphic>
          </wp:anchor>
        </w:drawing>
      </w:r>
    </w:p>
    <w:p>
      <w:pPr>
        <w:spacing w:after="0" w:line="60" w:lineRule="exact"/>
        <w:rPr>
          <w:sz w:val="20"/>
          <w:szCs w:val="20"/>
          <w:color w:val="auto"/>
        </w:rPr>
      </w:pPr>
    </w:p>
    <w:p>
      <w:pPr>
        <w:ind w:left="1700"/>
        <w:spacing w:after="0"/>
        <w:rPr>
          <w:sz w:val="20"/>
          <w:szCs w:val="20"/>
          <w:color w:val="auto"/>
        </w:rPr>
      </w:pPr>
      <w:r>
        <w:rPr>
          <w:rFonts w:ascii="Arial" w:cs="Arial" w:eastAsia="Arial" w:hAnsi="Arial"/>
          <w:sz w:val="16"/>
          <w:szCs w:val="16"/>
          <w:color w:val="00162F"/>
        </w:rPr>
        <w:t>1.6x Collateral valuation to amount of debt outstanding (62.5% LTV)</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tcPr>
          <w:p>
            <w:pPr>
              <w:jc w:val="center"/>
              <w:ind w:right="1"/>
              <w:spacing w:after="0"/>
              <w:rPr>
                <w:sz w:val="20"/>
                <w:szCs w:val="20"/>
                <w:color w:val="auto"/>
              </w:rPr>
            </w:pPr>
            <w:r>
              <w:rPr>
                <w:rFonts w:ascii="Arial" w:cs="Arial" w:eastAsia="Arial" w:hAnsi="Arial"/>
                <w:sz w:val="16"/>
                <w:szCs w:val="16"/>
                <w:color w:val="00162F"/>
                <w:w w:val="96"/>
              </w:rPr>
              <w:t>38.4%</w:t>
            </w:r>
          </w:p>
        </w:tc>
        <w:tc>
          <w:tcPr>
            <w:tcW w:w="1700" w:type="dxa"/>
            <w:vAlign w:val="bottom"/>
          </w:tcPr>
          <w:p>
            <w:pPr>
              <w:jc w:val="center"/>
              <w:spacing w:after="0"/>
              <w:rPr>
                <w:sz w:val="20"/>
                <w:szCs w:val="20"/>
                <w:color w:val="auto"/>
              </w:rPr>
            </w:pPr>
            <w:r>
              <w:rPr>
                <w:rFonts w:ascii="Arial" w:cs="Arial" w:eastAsia="Arial" w:hAnsi="Arial"/>
                <w:sz w:val="16"/>
                <w:szCs w:val="16"/>
                <w:color w:val="00162F"/>
                <w:w w:val="96"/>
              </w:rPr>
              <w:t>15.3%</w:t>
            </w:r>
          </w:p>
        </w:tc>
        <w:tc>
          <w:tcPr>
            <w:tcW w:w="3220" w:type="dxa"/>
            <w:vAlign w:val="bottom"/>
          </w:tcPr>
          <w:p>
            <w:pPr>
              <w:jc w:val="center"/>
              <w:ind w:left="61"/>
              <w:spacing w:after="0"/>
              <w:rPr>
                <w:sz w:val="20"/>
                <w:szCs w:val="20"/>
                <w:color w:val="auto"/>
              </w:rPr>
            </w:pPr>
            <w:r>
              <w:rPr>
                <w:rFonts w:ascii="Arial" w:cs="Arial" w:eastAsia="Arial" w:hAnsi="Arial"/>
                <w:sz w:val="16"/>
                <w:szCs w:val="16"/>
                <w:color w:val="00162F"/>
                <w:w w:val="96"/>
              </w:rPr>
              <w:t>25.4%</w:t>
            </w:r>
          </w:p>
        </w:tc>
        <w:tc>
          <w:tcPr>
            <w:tcW w:w="0" w:type="dxa"/>
            <w:vAlign w:val="bottom"/>
          </w:tcPr>
          <w:p>
            <w:pPr>
              <w:spacing w:after="0"/>
              <w:rPr>
                <w:sz w:val="1"/>
                <w:szCs w:val="1"/>
                <w:color w:val="auto"/>
              </w:rPr>
            </w:pPr>
          </w:p>
        </w:tc>
      </w:tr>
      <w:tr>
        <w:trPr>
          <w:trHeight w:val="534"/>
        </w:trPr>
        <w:tc>
          <w:tcPr>
            <w:tcW w:w="3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00162F"/>
              </w:rPr>
              <w:t>Semi-Annual</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00162F"/>
                <w:w w:val="98"/>
              </w:rPr>
              <w:t>Generally, certain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7"/>
              </w:rPr>
              <w:t>slots, route</w:t>
            </w:r>
          </w:p>
        </w:tc>
        <w:tc>
          <w:tcPr>
            <w:tcW w:w="3220" w:type="dxa"/>
            <w:vAlign w:val="bottom"/>
            <w:vMerge w:val="restart"/>
          </w:tcPr>
          <w:p>
            <w:pPr>
              <w:jc w:val="center"/>
              <w:ind w:left="21"/>
              <w:spacing w:after="0"/>
              <w:rPr>
                <w:sz w:val="20"/>
                <w:szCs w:val="20"/>
                <w:color w:val="auto"/>
              </w:rPr>
            </w:pPr>
            <w:r>
              <w:rPr>
                <w:rFonts w:ascii="Arial" w:cs="Arial" w:eastAsia="Arial" w:hAnsi="Arial"/>
                <w:sz w:val="16"/>
                <w:szCs w:val="16"/>
                <w:color w:val="00162F"/>
                <w:w w:val="98"/>
              </w:rPr>
              <w:t>Generally, certain slots, route authorities and</w:t>
            </w:r>
          </w:p>
        </w:tc>
        <w:tc>
          <w:tcPr>
            <w:tcW w:w="0" w:type="dxa"/>
            <w:vAlign w:val="bottom"/>
          </w:tcPr>
          <w:p>
            <w:pPr>
              <w:spacing w:after="0"/>
              <w:rPr>
                <w:sz w:val="1"/>
                <w:szCs w:val="1"/>
                <w:color w:val="auto"/>
              </w:rPr>
            </w:pPr>
          </w:p>
        </w:tc>
      </w:tr>
      <w:tr>
        <w:trPr>
          <w:trHeight w:val="158"/>
        </w:trPr>
        <w:tc>
          <w:tcPr>
            <w:tcW w:w="3240" w:type="dxa"/>
            <w:vAlign w:val="bottom"/>
            <w:vMerge w:val="restart"/>
          </w:tcPr>
          <w:p>
            <w:pPr>
              <w:jc w:val="center"/>
              <w:ind w:right="41"/>
              <w:spacing w:after="0"/>
              <w:rPr>
                <w:sz w:val="20"/>
                <w:szCs w:val="20"/>
                <w:color w:val="auto"/>
              </w:rPr>
            </w:pPr>
            <w:r>
              <w:rPr>
                <w:rFonts w:ascii="Arial" w:cs="Arial" w:eastAsia="Arial" w:hAnsi="Arial"/>
                <w:sz w:val="16"/>
                <w:szCs w:val="16"/>
                <w:color w:val="00162F"/>
                <w:w w:val="98"/>
              </w:rPr>
              <w:t>Generally, certain slots, route authorities and</w:t>
            </w: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9"/>
              </w:rPr>
              <w:t>authorities and</w:t>
            </w:r>
          </w:p>
        </w:tc>
        <w:tc>
          <w:tcPr>
            <w:tcW w:w="3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40" w:type="dxa"/>
            <w:vAlign w:val="bottom"/>
            <w:vMerge w:val="continue"/>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8"/>
              </w:rPr>
              <w:t>airport gate</w:t>
            </w:r>
          </w:p>
        </w:tc>
        <w:tc>
          <w:tcPr>
            <w:tcW w:w="3220" w:type="dxa"/>
            <w:vAlign w:val="bottom"/>
          </w:tcPr>
          <w:p>
            <w:pPr>
              <w:jc w:val="center"/>
              <w:ind w:left="21"/>
              <w:spacing w:after="0" w:line="158" w:lineRule="exact"/>
              <w:rPr>
                <w:sz w:val="20"/>
                <w:szCs w:val="20"/>
                <w:color w:val="auto"/>
              </w:rPr>
            </w:pPr>
            <w:r>
              <w:rPr>
                <w:rFonts w:ascii="Arial" w:cs="Arial" w:eastAsia="Arial" w:hAnsi="Arial"/>
                <w:sz w:val="16"/>
                <w:szCs w:val="16"/>
                <w:color w:val="00162F"/>
                <w:w w:val="99"/>
              </w:rPr>
              <w:t>airport gate leasehold rights used by</w:t>
            </w:r>
          </w:p>
        </w:tc>
        <w:tc>
          <w:tcPr>
            <w:tcW w:w="0" w:type="dxa"/>
            <w:vAlign w:val="bottom"/>
          </w:tcPr>
          <w:p>
            <w:pPr>
              <w:spacing w:after="0"/>
              <w:rPr>
                <w:sz w:val="1"/>
                <w:szCs w:val="1"/>
                <w:color w:val="auto"/>
              </w:rPr>
            </w:pPr>
          </w:p>
        </w:tc>
      </w:tr>
      <w:tr>
        <w:trPr>
          <w:trHeight w:val="158"/>
        </w:trPr>
        <w:tc>
          <w:tcPr>
            <w:tcW w:w="3240" w:type="dxa"/>
            <w:vAlign w:val="bottom"/>
          </w:tcPr>
          <w:p>
            <w:pPr>
              <w:jc w:val="center"/>
              <w:ind w:right="41"/>
              <w:spacing w:after="0" w:line="158" w:lineRule="exact"/>
              <w:rPr>
                <w:sz w:val="20"/>
                <w:szCs w:val="20"/>
                <w:color w:val="auto"/>
              </w:rPr>
            </w:pPr>
            <w:r>
              <w:rPr>
                <w:rFonts w:ascii="Arial" w:cs="Arial" w:eastAsia="Arial" w:hAnsi="Arial"/>
                <w:sz w:val="16"/>
                <w:szCs w:val="16"/>
                <w:color w:val="00162F"/>
                <w:w w:val="99"/>
              </w:rPr>
              <w:t>airport gate leasehold rights used by</w:t>
            </w: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7"/>
              </w:rPr>
              <w:t>leasehold rights used</w:t>
            </w:r>
          </w:p>
        </w:tc>
        <w:tc>
          <w:tcPr>
            <w:tcW w:w="3220" w:type="dxa"/>
            <w:vAlign w:val="bottom"/>
          </w:tcPr>
          <w:p>
            <w:pPr>
              <w:jc w:val="center"/>
              <w:ind w:left="21"/>
              <w:spacing w:after="0" w:line="158" w:lineRule="exact"/>
              <w:rPr>
                <w:sz w:val="20"/>
                <w:szCs w:val="20"/>
                <w:color w:val="auto"/>
              </w:rPr>
            </w:pPr>
            <w:r>
              <w:rPr>
                <w:rFonts w:ascii="Arial" w:cs="Arial" w:eastAsia="Arial" w:hAnsi="Arial"/>
                <w:sz w:val="16"/>
                <w:szCs w:val="16"/>
                <w:color w:val="00162F"/>
                <w:w w:val="98"/>
              </w:rPr>
              <w:t>American to operate certain services</w:t>
            </w:r>
          </w:p>
        </w:tc>
        <w:tc>
          <w:tcPr>
            <w:tcW w:w="0" w:type="dxa"/>
            <w:vAlign w:val="bottom"/>
          </w:tcPr>
          <w:p>
            <w:pPr>
              <w:spacing w:after="0"/>
              <w:rPr>
                <w:sz w:val="1"/>
                <w:szCs w:val="1"/>
                <w:color w:val="auto"/>
              </w:rPr>
            </w:pPr>
          </w:p>
        </w:tc>
      </w:tr>
      <w:tr>
        <w:trPr>
          <w:trHeight w:val="158"/>
        </w:trPr>
        <w:tc>
          <w:tcPr>
            <w:tcW w:w="3240" w:type="dxa"/>
            <w:vAlign w:val="bottom"/>
          </w:tcPr>
          <w:p>
            <w:pPr>
              <w:jc w:val="center"/>
              <w:ind w:right="41"/>
              <w:spacing w:after="0" w:line="158" w:lineRule="exact"/>
              <w:rPr>
                <w:sz w:val="20"/>
                <w:szCs w:val="20"/>
                <w:color w:val="auto"/>
              </w:rPr>
            </w:pPr>
            <w:r>
              <w:rPr>
                <w:rFonts w:ascii="Arial" w:cs="Arial" w:eastAsia="Arial" w:hAnsi="Arial"/>
                <w:sz w:val="16"/>
                <w:szCs w:val="16"/>
                <w:color w:val="00162F"/>
                <w:w w:val="98"/>
              </w:rPr>
              <w:t>American to operate certain services</w:t>
            </w: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7"/>
              </w:rPr>
              <w:t>by American to</w:t>
            </w:r>
          </w:p>
        </w:tc>
        <w:tc>
          <w:tcPr>
            <w:tcW w:w="3220" w:type="dxa"/>
            <w:vAlign w:val="bottom"/>
          </w:tcPr>
          <w:p>
            <w:pPr>
              <w:jc w:val="center"/>
              <w:ind w:left="21"/>
              <w:spacing w:after="0" w:line="158" w:lineRule="exact"/>
              <w:rPr>
                <w:sz w:val="20"/>
                <w:szCs w:val="20"/>
                <w:color w:val="auto"/>
              </w:rPr>
            </w:pPr>
            <w:r>
              <w:rPr>
                <w:rFonts w:ascii="Arial" w:cs="Arial" w:eastAsia="Arial" w:hAnsi="Arial"/>
                <w:sz w:val="16"/>
                <w:szCs w:val="16"/>
                <w:color w:val="00162F"/>
                <w:w w:val="98"/>
              </w:rPr>
              <w:t>between the U.S. and Australia, Canada, the</w:t>
            </w:r>
          </w:p>
        </w:tc>
        <w:tc>
          <w:tcPr>
            <w:tcW w:w="0" w:type="dxa"/>
            <w:vAlign w:val="bottom"/>
          </w:tcPr>
          <w:p>
            <w:pPr>
              <w:spacing w:after="0"/>
              <w:rPr>
                <w:sz w:val="1"/>
                <w:szCs w:val="1"/>
                <w:color w:val="auto"/>
              </w:rPr>
            </w:pPr>
          </w:p>
        </w:tc>
      </w:tr>
      <w:tr>
        <w:trPr>
          <w:trHeight w:val="158"/>
        </w:trPr>
        <w:tc>
          <w:tcPr>
            <w:tcW w:w="3240" w:type="dxa"/>
            <w:vAlign w:val="bottom"/>
          </w:tcPr>
          <w:p>
            <w:pPr>
              <w:jc w:val="center"/>
              <w:ind w:right="21"/>
              <w:spacing w:after="0" w:line="158" w:lineRule="exact"/>
              <w:rPr>
                <w:sz w:val="20"/>
                <w:szCs w:val="20"/>
                <w:color w:val="auto"/>
              </w:rPr>
            </w:pPr>
            <w:r>
              <w:rPr>
                <w:rFonts w:ascii="Arial" w:cs="Arial" w:eastAsia="Arial" w:hAnsi="Arial"/>
                <w:sz w:val="16"/>
                <w:szCs w:val="16"/>
                <w:color w:val="00162F"/>
                <w:w w:val="98"/>
              </w:rPr>
              <w:t>between the U.S. and South America and</w:t>
            </w: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7"/>
              </w:rPr>
              <w:t>operate certain</w:t>
            </w:r>
          </w:p>
        </w:tc>
        <w:tc>
          <w:tcPr>
            <w:tcW w:w="3220" w:type="dxa"/>
            <w:vAlign w:val="bottom"/>
          </w:tcPr>
          <w:p>
            <w:pPr>
              <w:jc w:val="center"/>
              <w:ind w:left="21"/>
              <w:spacing w:after="0" w:line="158" w:lineRule="exact"/>
              <w:rPr>
                <w:sz w:val="20"/>
                <w:szCs w:val="20"/>
                <w:color w:val="auto"/>
              </w:rPr>
            </w:pPr>
            <w:r>
              <w:rPr>
                <w:rFonts w:ascii="Arial" w:cs="Arial" w:eastAsia="Arial" w:hAnsi="Arial"/>
                <w:sz w:val="16"/>
                <w:szCs w:val="16"/>
                <w:color w:val="00162F"/>
                <w:w w:val="98"/>
              </w:rPr>
              <w:t>Caribbean, Central America, China, Hong</w:t>
            </w:r>
          </w:p>
        </w:tc>
        <w:tc>
          <w:tcPr>
            <w:tcW w:w="0" w:type="dxa"/>
            <w:vAlign w:val="bottom"/>
          </w:tcPr>
          <w:p>
            <w:pPr>
              <w:spacing w:after="0"/>
              <w:rPr>
                <w:sz w:val="1"/>
                <w:szCs w:val="1"/>
                <w:color w:val="auto"/>
              </w:rPr>
            </w:pPr>
          </w:p>
        </w:tc>
      </w:tr>
      <w:tr>
        <w:trPr>
          <w:trHeight w:val="158"/>
        </w:trPr>
        <w:tc>
          <w:tcPr>
            <w:tcW w:w="3240" w:type="dxa"/>
            <w:vAlign w:val="bottom"/>
          </w:tcPr>
          <w:p>
            <w:pPr>
              <w:jc w:val="center"/>
              <w:ind w:right="21"/>
              <w:spacing w:after="0" w:line="158" w:lineRule="exact"/>
              <w:rPr>
                <w:sz w:val="20"/>
                <w:szCs w:val="20"/>
                <w:color w:val="auto"/>
              </w:rPr>
            </w:pPr>
            <w:r>
              <w:rPr>
                <w:rFonts w:ascii="Arial" w:cs="Arial" w:eastAsia="Arial" w:hAnsi="Arial"/>
                <w:sz w:val="16"/>
                <w:szCs w:val="16"/>
                <w:color w:val="00162F"/>
                <w:w w:val="99"/>
              </w:rPr>
              <w:t>New Zealand</w:t>
            </w: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8"/>
              </w:rPr>
              <w:t>services between the</w:t>
            </w:r>
          </w:p>
        </w:tc>
        <w:tc>
          <w:tcPr>
            <w:tcW w:w="3220" w:type="dxa"/>
            <w:vAlign w:val="bottom"/>
          </w:tcPr>
          <w:p>
            <w:pPr>
              <w:jc w:val="center"/>
              <w:ind w:left="21"/>
              <w:spacing w:after="0" w:line="158" w:lineRule="exact"/>
              <w:rPr>
                <w:sz w:val="20"/>
                <w:szCs w:val="20"/>
                <w:color w:val="auto"/>
              </w:rPr>
            </w:pPr>
            <w:r>
              <w:rPr>
                <w:rFonts w:ascii="Arial" w:cs="Arial" w:eastAsia="Arial" w:hAnsi="Arial"/>
                <w:sz w:val="16"/>
                <w:szCs w:val="16"/>
                <w:color w:val="00162F"/>
                <w:w w:val="99"/>
              </w:rPr>
              <w:t>Kong, Japan, Mexico, South Korea and</w:t>
            </w: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9"/>
              </w:rPr>
              <w:t>U.S. and European</w:t>
            </w:r>
          </w:p>
        </w:tc>
        <w:tc>
          <w:tcPr>
            <w:tcW w:w="3220" w:type="dxa"/>
            <w:vAlign w:val="bottom"/>
          </w:tcPr>
          <w:p>
            <w:pPr>
              <w:jc w:val="center"/>
              <w:ind w:left="1"/>
              <w:spacing w:after="0" w:line="158" w:lineRule="exact"/>
              <w:rPr>
                <w:sz w:val="20"/>
                <w:szCs w:val="20"/>
                <w:color w:val="auto"/>
              </w:rPr>
            </w:pPr>
            <w:r>
              <w:rPr>
                <w:rFonts w:ascii="Arial" w:cs="Arial" w:eastAsia="Arial" w:hAnsi="Arial"/>
                <w:sz w:val="16"/>
                <w:szCs w:val="16"/>
                <w:color w:val="00162F"/>
                <w:w w:val="99"/>
              </w:rPr>
              <w:t>Switzerland</w:t>
            </w: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color w:val="00162F"/>
                <w:w w:val="97"/>
              </w:rPr>
              <w:t>Union (including</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00162F"/>
                <w:w w:val="98"/>
              </w:rPr>
              <w:t>London Heathrow)</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-1534160</wp:posOffset>
            </wp:positionV>
            <wp:extent cx="6788150" cy="3390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2">
                      <a:extLst>
                        <a:ext uri="{28A0092B-C50C-407E-A947-70E740481C1C}"/>
                      </a:extLst>
                    </a:blip>
                    <a:srcRect/>
                    <a:stretch>
                      <a:fillRect/>
                    </a:stretch>
                  </pic:blipFill>
                  <pic:spPr bwMode="auto">
                    <a:xfrm>
                      <a:off x="0" y="0"/>
                      <a:ext cx="6788150" cy="33909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2060" w:space="380"/>
            <w:col w:w="8240"/>
          </w:cols>
          <w:pgMar w:left="600" w:top="249" w:right="600" w:bottom="0" w:gutter="0" w:footer="0" w:header="0"/>
          <w:type w:val="continuous"/>
        </w:sectPr>
      </w:pPr>
    </w:p>
    <w:p>
      <w:pPr>
        <w:spacing w:after="0" w:line="114" w:lineRule="exact"/>
        <w:rPr>
          <w:sz w:val="20"/>
          <w:szCs w:val="20"/>
          <w:color w:val="auto"/>
        </w:rPr>
      </w:pPr>
    </w:p>
    <w:p>
      <w:pPr>
        <w:ind w:firstLine="267"/>
        <w:spacing w:after="0" w:line="282" w:lineRule="auto"/>
        <w:rPr>
          <w:sz w:val="20"/>
          <w:szCs w:val="20"/>
          <w:color w:val="auto"/>
        </w:rPr>
      </w:pPr>
      <w:r>
        <w:rPr>
          <w:rFonts w:ascii="Arial" w:cs="Arial" w:eastAsia="Arial" w:hAnsi="Arial"/>
          <w:sz w:val="20"/>
          <w:szCs w:val="20"/>
          <w:color w:val="00162F"/>
        </w:rPr>
        <w:t>At December 31, 2025, American was in compliance with the applicable collateral coverage tests as of the most recent measurement dates.</w:t>
      </w:r>
    </w:p>
    <w:p>
      <w:pPr>
        <w:sectPr>
          <w:pgSz w:w="11880" w:h="15480" w:orient="portrait"/>
          <w:cols w:equalWidth="0" w:num="1">
            <w:col w:w="10680"/>
          </w:cols>
          <w:pgMar w:left="600" w:top="249" w:right="600" w:bottom="0" w:gutter="0" w:footer="0" w:header="0"/>
          <w:type w:val="continuous"/>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148</w:t>
      </w:r>
    </w:p>
    <w:p>
      <w:pPr>
        <w:sectPr>
          <w:pgSz w:w="11880" w:h="15480" w:orient="portrait"/>
          <w:cols w:equalWidth="0" w:num="1">
            <w:col w:w="10680"/>
          </w:cols>
          <w:pgMar w:left="600" w:top="249" w:right="600" w:bottom="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4. Leases</w:t>
      </w:r>
    </w:p>
    <w:p>
      <w:pPr>
        <w:spacing w:after="0" w:line="9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American leases certain aircraft and engines, including aircraft under capacity purchase agreements. As of December 31, 2025, American operated 677 leased aircraft, including 171 aircraft leased under capacity purchase agreements, with remaining terms ranging from less than one year to approximately 13 years.</w:t>
      </w:r>
    </w:p>
    <w:p>
      <w:pPr>
        <w:spacing w:after="0" w:line="129"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At each airport where American conducts flight operations, American has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American’s level of operations and the operations of the airport. Because of the variable nature of these rates, these leases are not recorded on American’s consolidated balance sheets as a ROU asset or a lease liability. Additionally, at American’s hub locations and in certain other cities it serves, American leases administrative offices, catering, cargo, training, maintenance and other facilities.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The components of lease expense were as follows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3040" w:type="dxa"/>
            <w:vAlign w:val="bottom"/>
            <w:tcBorders>
              <w:bottom w:val="single" w:sz="8" w:color="00162F"/>
            </w:tcBorders>
            <w:gridSpan w:val="6"/>
          </w:tcPr>
          <w:p>
            <w:pPr>
              <w:jc w:val="right"/>
              <w:ind w:right="180"/>
              <w:spacing w:after="0"/>
              <w:rPr>
                <w:sz w:val="20"/>
                <w:szCs w:val="20"/>
                <w:color w:val="auto"/>
              </w:rPr>
            </w:pPr>
            <w:r>
              <w:rPr>
                <w:rFonts w:ascii="Arial" w:cs="Arial" w:eastAsia="Arial" w:hAnsi="Arial"/>
                <w:sz w:val="16"/>
                <w:szCs w:val="16"/>
                <w:b w:val="1"/>
                <w:bCs w:val="1"/>
                <w:color w:val="00162F"/>
              </w:rPr>
              <w:t>Year Ended December 31,</w:t>
            </w:r>
          </w:p>
        </w:tc>
        <w:tc>
          <w:tcPr>
            <w:tcW w:w="1080" w:type="dxa"/>
            <w:vAlign w:val="bottom"/>
            <w:tcBorders>
              <w:bottom w:val="single" w:sz="8" w:color="00162F"/>
            </w:tcBorders>
          </w:tcPr>
          <w:p>
            <w:pPr>
              <w:spacing w:after="0"/>
              <w:rPr>
                <w:sz w:val="18"/>
                <w:szCs w:val="18"/>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47"/>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464"/>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2023</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Operating lease cost</w:t>
            </w:r>
          </w:p>
        </w:tc>
        <w:tc>
          <w:tcPr>
            <w:tcW w:w="340" w:type="dxa"/>
            <w:vAlign w:val="bottom"/>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1,683</w:t>
            </w:r>
          </w:p>
        </w:tc>
        <w:tc>
          <w:tcPr>
            <w:tcW w:w="420" w:type="dxa"/>
            <w:vAlign w:val="bottom"/>
            <w:gridSpan w:val="2"/>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1,828</w:t>
            </w:r>
          </w:p>
        </w:tc>
        <w:tc>
          <w:tcPr>
            <w:tcW w:w="420" w:type="dxa"/>
            <w:vAlign w:val="bottom"/>
            <w:gridSpan w:val="2"/>
            <w:shd w:val="clear" w:color="auto" w:fill="EDEDED"/>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1,992</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Finance lease cost: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Amortization of assets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123</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125</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119</w:t>
            </w:r>
          </w:p>
        </w:tc>
      </w:tr>
      <w:tr>
        <w:trPr>
          <w:trHeight w:val="293"/>
        </w:trPr>
        <w:tc>
          <w:tcPr>
            <w:tcW w:w="6220" w:type="dxa"/>
            <w:vAlign w:val="bottom"/>
          </w:tcPr>
          <w:p>
            <w:pPr>
              <w:ind w:left="180"/>
              <w:spacing w:after="0"/>
              <w:rPr>
                <w:sz w:val="20"/>
                <w:szCs w:val="20"/>
                <w:color w:val="auto"/>
              </w:rPr>
            </w:pPr>
            <w:r>
              <w:rPr>
                <w:rFonts w:ascii="Arial" w:cs="Arial" w:eastAsia="Arial" w:hAnsi="Arial"/>
                <w:sz w:val="20"/>
                <w:szCs w:val="20"/>
                <w:color w:val="00162F"/>
              </w:rPr>
              <w:t>Interest on lease liabilities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48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39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44</w:t>
            </w:r>
          </w:p>
        </w:tc>
      </w:tr>
      <w:tr>
        <w:trPr>
          <w:trHeight w:val="291"/>
        </w:trPr>
        <w:tc>
          <w:tcPr>
            <w:tcW w:w="62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Variable lease cost</w:t>
            </w: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3,382</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4"/>
              <w:spacing w:after="0"/>
              <w:rPr>
                <w:sz w:val="20"/>
                <w:szCs w:val="20"/>
                <w:color w:val="auto"/>
              </w:rPr>
            </w:pPr>
            <w:r>
              <w:rPr>
                <w:rFonts w:ascii="Arial" w:cs="Arial" w:eastAsia="Arial" w:hAnsi="Arial"/>
                <w:sz w:val="20"/>
                <w:szCs w:val="20"/>
                <w:color w:val="00162F"/>
              </w:rPr>
              <w:t>3,059</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2,703</w:t>
            </w:r>
          </w:p>
        </w:tc>
      </w:tr>
      <w:tr>
        <w:trPr>
          <w:trHeight w:val="257"/>
        </w:trPr>
        <w:tc>
          <w:tcPr>
            <w:tcW w:w="6220" w:type="dxa"/>
            <w:vAlign w:val="bottom"/>
          </w:tcPr>
          <w:p>
            <w:pPr>
              <w:ind w:left="40"/>
              <w:spacing w:after="0"/>
              <w:rPr>
                <w:sz w:val="20"/>
                <w:szCs w:val="20"/>
                <w:color w:val="auto"/>
              </w:rPr>
            </w:pPr>
            <w:r>
              <w:rPr>
                <w:rFonts w:ascii="Arial" w:cs="Arial" w:eastAsia="Arial" w:hAnsi="Arial"/>
                <w:sz w:val="20"/>
                <w:szCs w:val="20"/>
                <w:color w:val="00162F"/>
              </w:rPr>
              <w:t>Total net lease cost</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5,236</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5,051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4,858</w:t>
            </w: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10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1080" w:type="dxa"/>
            <w:vAlign w:val="bottom"/>
            <w:tcBorders>
              <w:top w:val="single" w:sz="8" w:color="00162F"/>
              <w:bottom w:val="single" w:sz="8" w:color="00162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-1162685</wp:posOffset>
            </wp:positionV>
            <wp:extent cx="2863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3">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-219710</wp:posOffset>
            </wp:positionV>
            <wp:extent cx="19361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4">
                      <a:extLst>
                        <a:ext uri="{28A0092B-C50C-407E-A947-70E740481C1C}"/>
                      </a:extLst>
                    </a:blip>
                    <a:srcRect/>
                    <a:stretch>
                      <a:fillRect/>
                    </a:stretch>
                  </pic:blipFill>
                  <pic:spPr bwMode="auto">
                    <a:xfrm>
                      <a:off x="0" y="0"/>
                      <a:ext cx="1936115" cy="25400"/>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Included in the table above are $248 million, $225 million and $274 million of lease costs under American’s capacity purchase agreement with Republic for the years ended December 31, 2025, 2024 and 2023, respectively. American holds a 20.8% equity interest in Republic Holdings, the parent company of Republic.</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149</w:t>
      </w:r>
    </w:p>
    <w:p>
      <w:pPr>
        <w:sectPr>
          <w:pgSz w:w="11880" w:h="15480" w:orient="portrait"/>
          <w:cols w:equalWidth="0" w:num="1">
            <w:col w:w="10680"/>
          </w:cols>
          <w:pgMar w:left="600" w:top="249" w:right="600" w:bottom="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ind w:right="220" w:firstLine="267"/>
        <w:spacing w:after="0" w:line="282" w:lineRule="auto"/>
        <w:rPr>
          <w:sz w:val="20"/>
          <w:szCs w:val="20"/>
          <w:color w:val="auto"/>
        </w:rPr>
      </w:pPr>
      <w:r>
        <w:rPr>
          <w:rFonts w:ascii="Arial" w:cs="Arial" w:eastAsia="Arial" w:hAnsi="Arial"/>
          <w:sz w:val="20"/>
          <w:szCs w:val="20"/>
          <w:color w:val="00162F"/>
        </w:rPr>
        <w:t>Supplemental balance sheet information related to leases was as follows (in millions, except lease term and discount rate):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400" w:type="dxa"/>
            <w:vAlign w:val="bottom"/>
            <w:tcBorders>
              <w:bottom w:val="single" w:sz="8" w:color="00162F"/>
            </w:tcBorders>
          </w:tcPr>
          <w:p>
            <w:pPr>
              <w:spacing w:after="0"/>
              <w:rPr>
                <w:sz w:val="18"/>
                <w:szCs w:val="18"/>
                <w:color w:val="auto"/>
              </w:rPr>
            </w:pPr>
          </w:p>
        </w:tc>
        <w:tc>
          <w:tcPr>
            <w:tcW w:w="1920" w:type="dxa"/>
            <w:vAlign w:val="bottom"/>
            <w:tcBorders>
              <w:bottom w:val="single" w:sz="8" w:color="00162F"/>
            </w:tcBorders>
            <w:gridSpan w:val="3"/>
          </w:tcPr>
          <w:p>
            <w:pPr>
              <w:jc w:val="right"/>
              <w:ind w:right="1"/>
              <w:spacing w:after="0"/>
              <w:rPr>
                <w:sz w:val="20"/>
                <w:szCs w:val="20"/>
                <w:color w:val="auto"/>
              </w:rPr>
            </w:pPr>
            <w:r>
              <w:rPr>
                <w:rFonts w:ascii="Arial" w:cs="Arial" w:eastAsia="Arial" w:hAnsi="Arial"/>
                <w:sz w:val="16"/>
                <w:szCs w:val="16"/>
                <w:b w:val="1"/>
                <w:bCs w:val="1"/>
                <w:color w:val="00162F"/>
              </w:rPr>
              <w:t>December 31,</w:t>
            </w:r>
          </w:p>
        </w:tc>
        <w:tc>
          <w:tcPr>
            <w:tcW w:w="1100" w:type="dxa"/>
            <w:vAlign w:val="bottom"/>
            <w:tcBorders>
              <w:bottom w:val="single" w:sz="8" w:color="00162F"/>
            </w:tcBorders>
          </w:tcPr>
          <w:p>
            <w:pPr>
              <w:spacing w:after="0"/>
              <w:rPr>
                <w:sz w:val="18"/>
                <w:szCs w:val="18"/>
                <w:color w:val="auto"/>
              </w:rPr>
            </w:pPr>
          </w:p>
        </w:tc>
      </w:tr>
      <w:tr>
        <w:trPr>
          <w:trHeight w:val="232"/>
        </w:trPr>
        <w:tc>
          <w:tcPr>
            <w:tcW w:w="7260" w:type="dxa"/>
            <w:vAlign w:val="bottom"/>
            <w:tcBorders>
              <w:bottom w:val="single" w:sz="8" w:color="EDEDED"/>
            </w:tcBorders>
          </w:tcPr>
          <w:p>
            <w:pPr>
              <w:spacing w:after="0"/>
              <w:rPr>
                <w:sz w:val="20"/>
                <w:szCs w:val="20"/>
                <w:color w:val="auto"/>
              </w:rPr>
            </w:pPr>
          </w:p>
        </w:tc>
        <w:tc>
          <w:tcPr>
            <w:tcW w:w="400" w:type="dxa"/>
            <w:vAlign w:val="bottom"/>
            <w:tcBorders>
              <w:bottom w:val="single" w:sz="8" w:color="00162F"/>
            </w:tcBorders>
          </w:tcPr>
          <w:p>
            <w:pPr>
              <w:spacing w:after="0"/>
              <w:rPr>
                <w:sz w:val="20"/>
                <w:szCs w:val="20"/>
                <w:color w:val="auto"/>
              </w:rPr>
            </w:pPr>
          </w:p>
        </w:tc>
        <w:tc>
          <w:tcPr>
            <w:tcW w:w="1280" w:type="dxa"/>
            <w:vAlign w:val="bottom"/>
            <w:tcBorders>
              <w:bottom w:val="single" w:sz="8" w:color="00162F"/>
            </w:tcBorders>
          </w:tcPr>
          <w:p>
            <w:pPr>
              <w:jc w:val="right"/>
              <w:ind w:right="584"/>
              <w:spacing w:after="0"/>
              <w:rPr>
                <w:sz w:val="20"/>
                <w:szCs w:val="20"/>
                <w:color w:val="auto"/>
              </w:rPr>
            </w:pPr>
            <w:r>
              <w:rPr>
                <w:rFonts w:ascii="Arial" w:cs="Arial" w:eastAsia="Arial" w:hAnsi="Arial"/>
                <w:sz w:val="16"/>
                <w:szCs w:val="16"/>
                <w:b w:val="1"/>
                <w:bCs w:val="1"/>
                <w:color w:val="00162F"/>
              </w:rPr>
              <w:t>2025</w:t>
            </w:r>
          </w:p>
        </w:tc>
        <w:tc>
          <w:tcPr>
            <w:tcW w:w="60" w:type="dxa"/>
            <w:vAlign w:val="bottom"/>
            <w:tcBorders>
              <w:bottom w:val="single" w:sz="8" w:color="EDEDED"/>
            </w:tcBorders>
          </w:tcPr>
          <w:p>
            <w:pPr>
              <w:spacing w:after="0"/>
              <w:rPr>
                <w:sz w:val="20"/>
                <w:szCs w:val="20"/>
                <w:color w:val="auto"/>
              </w:rPr>
            </w:pPr>
          </w:p>
        </w:tc>
        <w:tc>
          <w:tcPr>
            <w:tcW w:w="5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563"/>
              <w:spacing w:after="0"/>
              <w:rPr>
                <w:sz w:val="20"/>
                <w:szCs w:val="20"/>
                <w:color w:val="auto"/>
              </w:rPr>
            </w:pPr>
            <w:r>
              <w:rPr>
                <w:rFonts w:ascii="Arial" w:cs="Arial" w:eastAsia="Arial" w:hAnsi="Arial"/>
                <w:sz w:val="16"/>
                <w:szCs w:val="16"/>
                <w:b w:val="1"/>
                <w:bCs w:val="1"/>
                <w:color w:val="00162F"/>
              </w:rPr>
              <w:t>2024</w:t>
            </w:r>
          </w:p>
        </w:tc>
      </w:tr>
      <w:tr>
        <w:trPr>
          <w:trHeight w:val="287"/>
        </w:trPr>
        <w:tc>
          <w:tcPr>
            <w:tcW w:w="72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Operating leases:</w:t>
            </w:r>
          </w:p>
        </w:tc>
        <w:tc>
          <w:tcPr>
            <w:tcW w:w="400" w:type="dxa"/>
            <w:vAlign w:val="bottom"/>
            <w:shd w:val="clear" w:color="auto" w:fill="EDEDED"/>
          </w:tcPr>
          <w:p>
            <w:pPr>
              <w:spacing w:after="0"/>
              <w:rPr>
                <w:sz w:val="24"/>
                <w:szCs w:val="24"/>
                <w:color w:val="auto"/>
              </w:rPr>
            </w:pPr>
          </w:p>
        </w:tc>
        <w:tc>
          <w:tcPr>
            <w:tcW w:w="12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Operating lease ROU assets</w:t>
            </w:r>
          </w:p>
        </w:tc>
        <w:tc>
          <w:tcPr>
            <w:tcW w:w="400" w:type="dxa"/>
            <w:vAlign w:val="bottom"/>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tcPr>
          <w:p>
            <w:pPr>
              <w:jc w:val="right"/>
              <w:ind w:right="164"/>
              <w:spacing w:after="0"/>
              <w:rPr>
                <w:sz w:val="20"/>
                <w:szCs w:val="20"/>
                <w:color w:val="auto"/>
              </w:rPr>
            </w:pPr>
            <w:r>
              <w:rPr>
                <w:rFonts w:ascii="Arial" w:cs="Arial" w:eastAsia="Arial" w:hAnsi="Arial"/>
                <w:sz w:val="20"/>
                <w:szCs w:val="20"/>
                <w:color w:val="00162F"/>
              </w:rPr>
              <w:t>7,038</w:t>
            </w:r>
          </w:p>
        </w:tc>
        <w:tc>
          <w:tcPr>
            <w:tcW w:w="640" w:type="dxa"/>
            <w:vAlign w:val="bottom"/>
            <w:gridSpan w:val="2"/>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163"/>
              <w:spacing w:after="0"/>
              <w:rPr>
                <w:sz w:val="20"/>
                <w:szCs w:val="20"/>
                <w:color w:val="auto"/>
              </w:rPr>
            </w:pPr>
            <w:r>
              <w:rPr>
                <w:rFonts w:ascii="Arial" w:cs="Arial" w:eastAsia="Arial" w:hAnsi="Arial"/>
                <w:sz w:val="20"/>
                <w:szCs w:val="20"/>
                <w:color w:val="00162F"/>
              </w:rPr>
              <w:t>7,274</w:t>
            </w:r>
          </w:p>
        </w:tc>
      </w:tr>
      <w:tr>
        <w:trPr>
          <w:trHeight w:val="301"/>
        </w:trPr>
        <w:tc>
          <w:tcPr>
            <w:tcW w:w="726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12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Current operating lease liabilities</w:t>
            </w:r>
          </w:p>
        </w:tc>
        <w:tc>
          <w:tcPr>
            <w:tcW w:w="400" w:type="dxa"/>
            <w:vAlign w:val="bottom"/>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tcPr>
          <w:p>
            <w:pPr>
              <w:jc w:val="right"/>
              <w:ind w:right="164"/>
              <w:spacing w:after="0"/>
              <w:rPr>
                <w:sz w:val="20"/>
                <w:szCs w:val="20"/>
                <w:color w:val="auto"/>
              </w:rPr>
            </w:pPr>
            <w:r>
              <w:rPr>
                <w:rFonts w:ascii="Arial" w:cs="Arial" w:eastAsia="Arial" w:hAnsi="Arial"/>
                <w:sz w:val="20"/>
                <w:szCs w:val="20"/>
                <w:color w:val="00162F"/>
              </w:rPr>
              <w:t>1,048</w:t>
            </w:r>
          </w:p>
        </w:tc>
        <w:tc>
          <w:tcPr>
            <w:tcW w:w="640" w:type="dxa"/>
            <w:vAlign w:val="bottom"/>
            <w:gridSpan w:val="2"/>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163"/>
              <w:spacing w:after="0"/>
              <w:rPr>
                <w:sz w:val="20"/>
                <w:szCs w:val="20"/>
                <w:color w:val="auto"/>
              </w:rPr>
            </w:pPr>
            <w:r>
              <w:rPr>
                <w:rFonts w:ascii="Arial" w:cs="Arial" w:eastAsia="Arial" w:hAnsi="Arial"/>
                <w:sz w:val="20"/>
                <w:szCs w:val="20"/>
                <w:color w:val="00162F"/>
              </w:rPr>
              <w:t>1,082</w:t>
            </w:r>
          </w:p>
        </w:tc>
      </w:tr>
      <w:tr>
        <w:trPr>
          <w:trHeight w:val="291"/>
        </w:trPr>
        <w:tc>
          <w:tcPr>
            <w:tcW w:w="726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Noncurrent operating lease liabilities</w:t>
            </w:r>
          </w:p>
        </w:tc>
        <w:tc>
          <w:tcPr>
            <w:tcW w:w="400" w:type="dxa"/>
            <w:vAlign w:val="bottom"/>
            <w:tcBorders>
              <w:bottom w:val="single" w:sz="8" w:color="00162F"/>
            </w:tcBorders>
            <w:shd w:val="clear" w:color="auto" w:fill="EDEDED"/>
          </w:tcPr>
          <w:p>
            <w:pPr>
              <w:spacing w:after="0"/>
              <w:rPr>
                <w:sz w:val="24"/>
                <w:szCs w:val="24"/>
                <w:color w:val="auto"/>
              </w:rPr>
            </w:pPr>
          </w:p>
        </w:tc>
        <w:tc>
          <w:tcPr>
            <w:tcW w:w="1280" w:type="dxa"/>
            <w:vAlign w:val="bottom"/>
            <w:tcBorders>
              <w:bottom w:val="single" w:sz="8" w:color="00162F"/>
            </w:tcBorders>
            <w:shd w:val="clear" w:color="auto" w:fill="EDEDED"/>
          </w:tcPr>
          <w:p>
            <w:pPr>
              <w:jc w:val="right"/>
              <w:ind w:right="164"/>
              <w:spacing w:after="0"/>
              <w:rPr>
                <w:sz w:val="20"/>
                <w:szCs w:val="20"/>
                <w:color w:val="auto"/>
              </w:rPr>
            </w:pPr>
            <w:r>
              <w:rPr>
                <w:rFonts w:ascii="Arial" w:cs="Arial" w:eastAsia="Arial" w:hAnsi="Arial"/>
                <w:sz w:val="20"/>
                <w:szCs w:val="20"/>
                <w:color w:val="00162F"/>
              </w:rPr>
              <w:t>5,860</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ind w:right="163"/>
              <w:spacing w:after="0"/>
              <w:rPr>
                <w:sz w:val="20"/>
                <w:szCs w:val="20"/>
                <w:color w:val="auto"/>
              </w:rPr>
            </w:pPr>
            <w:r>
              <w:rPr>
                <w:rFonts w:ascii="Arial" w:cs="Arial" w:eastAsia="Arial" w:hAnsi="Arial"/>
                <w:sz w:val="20"/>
                <w:szCs w:val="20"/>
                <w:color w:val="00162F"/>
              </w:rPr>
              <w:t>5,926</w:t>
            </w:r>
          </w:p>
        </w:tc>
      </w:tr>
      <w:tr>
        <w:trPr>
          <w:trHeight w:val="297"/>
        </w:trPr>
        <w:tc>
          <w:tcPr>
            <w:tcW w:w="7260" w:type="dxa"/>
            <w:vAlign w:val="bottom"/>
          </w:tcPr>
          <w:p>
            <w:pPr>
              <w:ind w:left="260"/>
              <w:spacing w:after="0"/>
              <w:rPr>
                <w:sz w:val="20"/>
                <w:szCs w:val="20"/>
                <w:color w:val="auto"/>
              </w:rPr>
            </w:pPr>
            <w:r>
              <w:rPr>
                <w:rFonts w:ascii="Arial" w:cs="Arial" w:eastAsia="Arial" w:hAnsi="Arial"/>
                <w:sz w:val="20"/>
                <w:szCs w:val="20"/>
                <w:color w:val="00162F"/>
              </w:rPr>
              <w:t>Total operating lease liabilities</w:t>
            </w:r>
          </w:p>
        </w:tc>
        <w:tc>
          <w:tcPr>
            <w:tcW w:w="400" w:type="dxa"/>
            <w:vAlign w:val="bottom"/>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tcPr>
          <w:p>
            <w:pPr>
              <w:jc w:val="right"/>
              <w:ind w:right="164"/>
              <w:spacing w:after="0"/>
              <w:rPr>
                <w:sz w:val="20"/>
                <w:szCs w:val="20"/>
                <w:color w:val="auto"/>
              </w:rPr>
            </w:pPr>
            <w:r>
              <w:rPr>
                <w:rFonts w:ascii="Arial" w:cs="Arial" w:eastAsia="Arial" w:hAnsi="Arial"/>
                <w:sz w:val="20"/>
                <w:szCs w:val="20"/>
                <w:color w:val="00162F"/>
              </w:rPr>
              <w:t>6,908</w:t>
            </w:r>
          </w:p>
        </w:tc>
        <w:tc>
          <w:tcPr>
            <w:tcW w:w="640" w:type="dxa"/>
            <w:vAlign w:val="bottom"/>
            <w:gridSpan w:val="2"/>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163"/>
              <w:spacing w:after="0"/>
              <w:rPr>
                <w:sz w:val="20"/>
                <w:szCs w:val="20"/>
                <w:color w:val="auto"/>
              </w:rPr>
            </w:pPr>
            <w:r>
              <w:rPr>
                <w:rFonts w:ascii="Arial" w:cs="Arial" w:eastAsia="Arial" w:hAnsi="Arial"/>
                <w:sz w:val="20"/>
                <w:szCs w:val="20"/>
                <w:color w:val="00162F"/>
              </w:rPr>
              <w:t>7,008</w:t>
            </w:r>
          </w:p>
        </w:tc>
      </w:tr>
      <w:tr>
        <w:trPr>
          <w:trHeight w:val="267"/>
        </w:trPr>
        <w:tc>
          <w:tcPr>
            <w:tcW w:w="7260" w:type="dxa"/>
            <w:vAlign w:val="bottom"/>
            <w:tcBorders>
              <w:top w:val="single" w:sz="8" w:color="EDEDED"/>
            </w:tcBorders>
            <w:shd w:val="clear" w:color="auto" w:fill="EDEDED"/>
          </w:tcPr>
          <w:p>
            <w:pPr>
              <w:spacing w:after="0"/>
              <w:rPr>
                <w:sz w:val="23"/>
                <w:szCs w:val="23"/>
                <w:color w:val="auto"/>
              </w:rPr>
            </w:pPr>
          </w:p>
        </w:tc>
        <w:tc>
          <w:tcPr>
            <w:tcW w:w="400" w:type="dxa"/>
            <w:vAlign w:val="bottom"/>
            <w:tcBorders>
              <w:top w:val="single" w:sz="8" w:color="00162F"/>
            </w:tcBorders>
            <w:shd w:val="clear" w:color="auto" w:fill="EDEDED"/>
          </w:tcPr>
          <w:p>
            <w:pPr>
              <w:spacing w:after="0"/>
              <w:rPr>
                <w:sz w:val="23"/>
                <w:szCs w:val="23"/>
                <w:color w:val="auto"/>
              </w:rPr>
            </w:pPr>
          </w:p>
        </w:tc>
        <w:tc>
          <w:tcPr>
            <w:tcW w:w="1280" w:type="dxa"/>
            <w:vAlign w:val="bottom"/>
            <w:tcBorders>
              <w:top w:val="single" w:sz="8" w:color="00162F"/>
            </w:tcBorders>
            <w:shd w:val="clear" w:color="auto" w:fill="EDEDED"/>
          </w:tcPr>
          <w:p>
            <w:pPr>
              <w:spacing w:after="0"/>
              <w:rPr>
                <w:sz w:val="23"/>
                <w:szCs w:val="23"/>
                <w:color w:val="auto"/>
              </w:rPr>
            </w:pPr>
          </w:p>
        </w:tc>
        <w:tc>
          <w:tcPr>
            <w:tcW w:w="60" w:type="dxa"/>
            <w:vAlign w:val="bottom"/>
            <w:tcBorders>
              <w:top w:val="single" w:sz="8" w:color="EDEDED"/>
            </w:tcBorders>
            <w:shd w:val="clear" w:color="auto" w:fill="EDEDED"/>
          </w:tcPr>
          <w:p>
            <w:pPr>
              <w:spacing w:after="0"/>
              <w:rPr>
                <w:sz w:val="23"/>
                <w:szCs w:val="23"/>
                <w:color w:val="auto"/>
              </w:rPr>
            </w:pPr>
          </w:p>
        </w:tc>
        <w:tc>
          <w:tcPr>
            <w:tcW w:w="580" w:type="dxa"/>
            <w:vAlign w:val="bottom"/>
            <w:tcBorders>
              <w:top w:val="single" w:sz="8" w:color="00162F"/>
            </w:tcBorders>
            <w:shd w:val="clear" w:color="auto" w:fill="EDEDED"/>
          </w:tcPr>
          <w:p>
            <w:pPr>
              <w:spacing w:after="0"/>
              <w:rPr>
                <w:sz w:val="23"/>
                <w:szCs w:val="23"/>
                <w:color w:val="auto"/>
              </w:rPr>
            </w:pPr>
          </w:p>
        </w:tc>
        <w:tc>
          <w:tcPr>
            <w:tcW w:w="1100" w:type="dxa"/>
            <w:vAlign w:val="bottom"/>
            <w:tcBorders>
              <w:top w:val="single" w:sz="8" w:color="00162F"/>
            </w:tcBorders>
            <w:shd w:val="clear" w:color="auto" w:fill="EDEDED"/>
          </w:tcPr>
          <w:p>
            <w:pPr>
              <w:spacing w:after="0"/>
              <w:rPr>
                <w:sz w:val="23"/>
                <w:szCs w:val="23"/>
                <w:color w:val="auto"/>
              </w:rPr>
            </w:pPr>
          </w:p>
        </w:tc>
      </w:tr>
      <w:tr>
        <w:trPr>
          <w:trHeight w:val="293"/>
        </w:trPr>
        <w:tc>
          <w:tcPr>
            <w:tcW w:w="7260" w:type="dxa"/>
            <w:vAlign w:val="bottom"/>
          </w:tcPr>
          <w:p>
            <w:pPr>
              <w:ind w:left="40"/>
              <w:spacing w:after="0"/>
              <w:rPr>
                <w:sz w:val="20"/>
                <w:szCs w:val="20"/>
                <w:color w:val="auto"/>
              </w:rPr>
            </w:pPr>
            <w:r>
              <w:rPr>
                <w:rFonts w:ascii="Arial" w:cs="Arial" w:eastAsia="Arial" w:hAnsi="Arial"/>
                <w:sz w:val="20"/>
                <w:szCs w:val="20"/>
                <w:color w:val="00162F"/>
              </w:rPr>
              <w:t>Finance leases: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1"/>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Property and equipment, at cost</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shd w:val="clear" w:color="auto" w:fill="EDEDED"/>
          </w:tcPr>
          <w:p>
            <w:pPr>
              <w:jc w:val="right"/>
              <w:ind w:right="164"/>
              <w:spacing w:after="0"/>
              <w:rPr>
                <w:sz w:val="20"/>
                <w:szCs w:val="20"/>
                <w:color w:val="auto"/>
              </w:rPr>
            </w:pPr>
            <w:r>
              <w:rPr>
                <w:rFonts w:ascii="Arial" w:cs="Arial" w:eastAsia="Arial" w:hAnsi="Arial"/>
                <w:sz w:val="20"/>
                <w:szCs w:val="20"/>
                <w:color w:val="00162F"/>
              </w:rPr>
              <w:t>1,412</w:t>
            </w:r>
          </w:p>
        </w:tc>
        <w:tc>
          <w:tcPr>
            <w:tcW w:w="640" w:type="dxa"/>
            <w:vAlign w:val="bottom"/>
            <w:gridSpan w:val="2"/>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163"/>
              <w:spacing w:after="0"/>
              <w:rPr>
                <w:sz w:val="20"/>
                <w:szCs w:val="20"/>
                <w:color w:val="auto"/>
              </w:rPr>
            </w:pPr>
            <w:r>
              <w:rPr>
                <w:rFonts w:ascii="Arial" w:cs="Arial" w:eastAsia="Arial" w:hAnsi="Arial"/>
                <w:sz w:val="20"/>
                <w:szCs w:val="20"/>
                <w:color w:val="00162F"/>
              </w:rPr>
              <w:t>1,604</w:t>
            </w:r>
          </w:p>
        </w:tc>
      </w:tr>
      <w:tr>
        <w:trPr>
          <w:trHeight w:val="287"/>
        </w:trPr>
        <w:tc>
          <w:tcPr>
            <w:tcW w:w="7260" w:type="dxa"/>
            <w:vAlign w:val="bottom"/>
            <w:tcBorders>
              <w:bottom w:val="single" w:sz="8" w:color="EDEDED"/>
            </w:tcBorders>
          </w:tcPr>
          <w:p>
            <w:pPr>
              <w:ind w:left="180"/>
              <w:spacing w:after="0"/>
              <w:rPr>
                <w:sz w:val="20"/>
                <w:szCs w:val="20"/>
                <w:color w:val="auto"/>
              </w:rPr>
            </w:pPr>
            <w:r>
              <w:rPr>
                <w:rFonts w:ascii="Arial" w:cs="Arial" w:eastAsia="Arial" w:hAnsi="Arial"/>
                <w:sz w:val="20"/>
                <w:szCs w:val="20"/>
                <w:color w:val="00162F"/>
              </w:rPr>
              <w:t>Accumulated amortization</w:t>
            </w:r>
          </w:p>
        </w:tc>
        <w:tc>
          <w:tcPr>
            <w:tcW w:w="400" w:type="dxa"/>
            <w:vAlign w:val="bottom"/>
            <w:tcBorders>
              <w:bottom w:val="single" w:sz="8" w:color="00162F"/>
            </w:tcBorders>
          </w:tcPr>
          <w:p>
            <w:pPr>
              <w:spacing w:after="0"/>
              <w:rPr>
                <w:sz w:val="24"/>
                <w:szCs w:val="24"/>
                <w:color w:val="auto"/>
              </w:rPr>
            </w:pPr>
          </w:p>
        </w:tc>
        <w:tc>
          <w:tcPr>
            <w:tcW w:w="1280" w:type="dxa"/>
            <w:vAlign w:val="bottom"/>
            <w:tcBorders>
              <w:bottom w:val="single" w:sz="8" w:color="00162F"/>
            </w:tcBorders>
          </w:tcPr>
          <w:p>
            <w:pPr>
              <w:jc w:val="right"/>
              <w:ind w:right="104"/>
              <w:spacing w:after="0"/>
              <w:rPr>
                <w:sz w:val="20"/>
                <w:szCs w:val="20"/>
                <w:color w:val="auto"/>
              </w:rPr>
            </w:pPr>
            <w:r>
              <w:rPr>
                <w:rFonts w:ascii="Arial" w:cs="Arial" w:eastAsia="Arial" w:hAnsi="Arial"/>
                <w:sz w:val="20"/>
                <w:szCs w:val="20"/>
                <w:color w:val="00162F"/>
              </w:rPr>
              <w:t>(640)</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83"/>
              <w:spacing w:after="0"/>
              <w:rPr>
                <w:sz w:val="20"/>
                <w:szCs w:val="20"/>
                <w:color w:val="auto"/>
              </w:rPr>
            </w:pPr>
            <w:r>
              <w:rPr>
                <w:rFonts w:ascii="Arial" w:cs="Arial" w:eastAsia="Arial" w:hAnsi="Arial"/>
                <w:sz w:val="20"/>
                <w:szCs w:val="20"/>
                <w:color w:val="00162F"/>
              </w:rPr>
              <w:t>(924)</w:t>
            </w:r>
          </w:p>
        </w:tc>
      </w:tr>
      <w:tr>
        <w:trPr>
          <w:trHeight w:val="297"/>
        </w:trPr>
        <w:tc>
          <w:tcPr>
            <w:tcW w:w="7260" w:type="dxa"/>
            <w:vAlign w:val="bottom"/>
            <w:shd w:val="clear" w:color="auto" w:fill="EDEDED"/>
          </w:tcPr>
          <w:p>
            <w:pPr>
              <w:ind w:left="260"/>
              <w:spacing w:after="0"/>
              <w:rPr>
                <w:sz w:val="20"/>
                <w:szCs w:val="20"/>
                <w:color w:val="auto"/>
              </w:rPr>
            </w:pPr>
            <w:r>
              <w:rPr>
                <w:rFonts w:ascii="Arial" w:cs="Arial" w:eastAsia="Arial" w:hAnsi="Arial"/>
                <w:sz w:val="20"/>
                <w:szCs w:val="20"/>
                <w:color w:val="00162F"/>
              </w:rPr>
              <w:t>Property and equipment, net</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shd w:val="clear" w:color="auto" w:fill="EDEDED"/>
          </w:tcPr>
          <w:p>
            <w:pPr>
              <w:jc w:val="right"/>
              <w:ind w:right="164"/>
              <w:spacing w:after="0"/>
              <w:rPr>
                <w:sz w:val="20"/>
                <w:szCs w:val="20"/>
                <w:color w:val="auto"/>
              </w:rPr>
            </w:pPr>
            <w:r>
              <w:rPr>
                <w:rFonts w:ascii="Arial" w:cs="Arial" w:eastAsia="Arial" w:hAnsi="Arial"/>
                <w:sz w:val="20"/>
                <w:szCs w:val="20"/>
                <w:color w:val="00162F"/>
              </w:rPr>
              <w:t>772</w:t>
            </w:r>
          </w:p>
        </w:tc>
        <w:tc>
          <w:tcPr>
            <w:tcW w:w="640" w:type="dxa"/>
            <w:vAlign w:val="bottom"/>
            <w:gridSpan w:val="2"/>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163"/>
              <w:spacing w:after="0"/>
              <w:rPr>
                <w:sz w:val="20"/>
                <w:szCs w:val="20"/>
                <w:color w:val="auto"/>
              </w:rPr>
            </w:pPr>
            <w:r>
              <w:rPr>
                <w:rFonts w:ascii="Arial" w:cs="Arial" w:eastAsia="Arial" w:hAnsi="Arial"/>
                <w:sz w:val="20"/>
                <w:szCs w:val="20"/>
                <w:color w:val="00162F"/>
              </w:rPr>
              <w:t>680</w:t>
            </w:r>
          </w:p>
        </w:tc>
      </w:tr>
      <w:tr>
        <w:trPr>
          <w:trHeight w:val="267"/>
        </w:trPr>
        <w:tc>
          <w:tcPr>
            <w:tcW w:w="7260" w:type="dxa"/>
            <w:vAlign w:val="bottom"/>
            <w:tcBorders>
              <w:top w:val="single" w:sz="8" w:color="EDEDED"/>
            </w:tcBorders>
          </w:tcPr>
          <w:p>
            <w:pPr>
              <w:spacing w:after="0"/>
              <w:rPr>
                <w:sz w:val="23"/>
                <w:szCs w:val="23"/>
                <w:color w:val="auto"/>
              </w:rPr>
            </w:pPr>
          </w:p>
        </w:tc>
        <w:tc>
          <w:tcPr>
            <w:tcW w:w="400" w:type="dxa"/>
            <w:vAlign w:val="bottom"/>
            <w:tcBorders>
              <w:top w:val="single" w:sz="8" w:color="00162F"/>
            </w:tcBorders>
          </w:tcPr>
          <w:p>
            <w:pPr>
              <w:spacing w:after="0"/>
              <w:rPr>
                <w:sz w:val="23"/>
                <w:szCs w:val="23"/>
                <w:color w:val="auto"/>
              </w:rPr>
            </w:pPr>
          </w:p>
        </w:tc>
        <w:tc>
          <w:tcPr>
            <w:tcW w:w="1280" w:type="dxa"/>
            <w:vAlign w:val="bottom"/>
            <w:tcBorders>
              <w:top w:val="single" w:sz="8" w:color="00162F"/>
            </w:tcBorders>
          </w:tcPr>
          <w:p>
            <w:pPr>
              <w:spacing w:after="0"/>
              <w:rPr>
                <w:sz w:val="23"/>
                <w:szCs w:val="23"/>
                <w:color w:val="auto"/>
              </w:rPr>
            </w:pPr>
          </w:p>
        </w:tc>
        <w:tc>
          <w:tcPr>
            <w:tcW w:w="60" w:type="dxa"/>
            <w:vAlign w:val="bottom"/>
            <w:tcBorders>
              <w:top w:val="single" w:sz="8" w:color="EDEDED"/>
            </w:tcBorders>
          </w:tcPr>
          <w:p>
            <w:pPr>
              <w:spacing w:after="0"/>
              <w:rPr>
                <w:sz w:val="23"/>
                <w:szCs w:val="23"/>
                <w:color w:val="auto"/>
              </w:rPr>
            </w:pPr>
          </w:p>
        </w:tc>
        <w:tc>
          <w:tcPr>
            <w:tcW w:w="580" w:type="dxa"/>
            <w:vAlign w:val="bottom"/>
            <w:tcBorders>
              <w:top w:val="single" w:sz="8" w:color="00162F"/>
            </w:tcBorders>
          </w:tcPr>
          <w:p>
            <w:pPr>
              <w:spacing w:after="0"/>
              <w:rPr>
                <w:sz w:val="23"/>
                <w:szCs w:val="23"/>
                <w:color w:val="auto"/>
              </w:rPr>
            </w:pPr>
          </w:p>
        </w:tc>
        <w:tc>
          <w:tcPr>
            <w:tcW w:w="1100" w:type="dxa"/>
            <w:vAlign w:val="bottom"/>
            <w:tcBorders>
              <w:top w:val="single" w:sz="8" w:color="00162F"/>
            </w:tcBorders>
          </w:tcPr>
          <w:p>
            <w:pPr>
              <w:spacing w:after="0"/>
              <w:rPr>
                <w:sz w:val="23"/>
                <w:szCs w:val="23"/>
                <w:color w:val="auto"/>
              </w:rPr>
            </w:pPr>
          </w:p>
        </w:tc>
      </w:tr>
      <w:tr>
        <w:trPr>
          <w:trHeight w:val="297"/>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Current finance lease liabilities</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shd w:val="clear" w:color="auto" w:fill="EDEDED"/>
          </w:tcPr>
          <w:p>
            <w:pPr>
              <w:jc w:val="right"/>
              <w:ind w:right="164"/>
              <w:spacing w:after="0"/>
              <w:rPr>
                <w:sz w:val="20"/>
                <w:szCs w:val="20"/>
                <w:color w:val="auto"/>
              </w:rPr>
            </w:pPr>
            <w:r>
              <w:rPr>
                <w:rFonts w:ascii="Arial" w:cs="Arial" w:eastAsia="Arial" w:hAnsi="Arial"/>
                <w:sz w:val="20"/>
                <w:szCs w:val="20"/>
                <w:color w:val="00162F"/>
              </w:rPr>
              <w:t>114</w:t>
            </w:r>
          </w:p>
        </w:tc>
        <w:tc>
          <w:tcPr>
            <w:tcW w:w="640" w:type="dxa"/>
            <w:vAlign w:val="bottom"/>
            <w:gridSpan w:val="2"/>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ind w:right="163"/>
              <w:spacing w:after="0"/>
              <w:rPr>
                <w:sz w:val="20"/>
                <w:szCs w:val="20"/>
                <w:color w:val="auto"/>
              </w:rPr>
            </w:pPr>
            <w:r>
              <w:rPr>
                <w:rFonts w:ascii="Arial" w:cs="Arial" w:eastAsia="Arial" w:hAnsi="Arial"/>
                <w:sz w:val="20"/>
                <w:szCs w:val="20"/>
                <w:color w:val="00162F"/>
              </w:rPr>
              <w:t>132</w:t>
            </w:r>
          </w:p>
        </w:tc>
      </w:tr>
      <w:tr>
        <w:trPr>
          <w:trHeight w:val="287"/>
        </w:trPr>
        <w:tc>
          <w:tcPr>
            <w:tcW w:w="7260" w:type="dxa"/>
            <w:vAlign w:val="bottom"/>
            <w:tcBorders>
              <w:bottom w:val="single" w:sz="8" w:color="EDEDED"/>
            </w:tcBorders>
          </w:tcPr>
          <w:p>
            <w:pPr>
              <w:ind w:left="180"/>
              <w:spacing w:after="0"/>
              <w:rPr>
                <w:sz w:val="20"/>
                <w:szCs w:val="20"/>
                <w:color w:val="auto"/>
              </w:rPr>
            </w:pPr>
            <w:r>
              <w:rPr>
                <w:rFonts w:ascii="Arial" w:cs="Arial" w:eastAsia="Arial" w:hAnsi="Arial"/>
                <w:sz w:val="20"/>
                <w:szCs w:val="20"/>
                <w:color w:val="00162F"/>
              </w:rPr>
              <w:t>Noncurrent finance lease liabilities</w:t>
            </w:r>
          </w:p>
        </w:tc>
        <w:tc>
          <w:tcPr>
            <w:tcW w:w="400" w:type="dxa"/>
            <w:vAlign w:val="bottom"/>
            <w:tcBorders>
              <w:bottom w:val="single" w:sz="8" w:color="00162F"/>
            </w:tcBorders>
          </w:tcPr>
          <w:p>
            <w:pPr>
              <w:spacing w:after="0"/>
              <w:rPr>
                <w:sz w:val="24"/>
                <w:szCs w:val="24"/>
                <w:color w:val="auto"/>
              </w:rPr>
            </w:pPr>
          </w:p>
        </w:tc>
        <w:tc>
          <w:tcPr>
            <w:tcW w:w="1280" w:type="dxa"/>
            <w:vAlign w:val="bottom"/>
            <w:tcBorders>
              <w:bottom w:val="single" w:sz="8" w:color="00162F"/>
            </w:tcBorders>
          </w:tcPr>
          <w:p>
            <w:pPr>
              <w:jc w:val="right"/>
              <w:ind w:right="164"/>
              <w:spacing w:after="0"/>
              <w:rPr>
                <w:sz w:val="20"/>
                <w:szCs w:val="20"/>
                <w:color w:val="auto"/>
              </w:rPr>
            </w:pPr>
            <w:r>
              <w:rPr>
                <w:rFonts w:ascii="Arial" w:cs="Arial" w:eastAsia="Arial" w:hAnsi="Arial"/>
                <w:sz w:val="20"/>
                <w:szCs w:val="20"/>
                <w:color w:val="00162F"/>
              </w:rPr>
              <w:t>610</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ind w:right="163"/>
              <w:spacing w:after="0"/>
              <w:rPr>
                <w:sz w:val="20"/>
                <w:szCs w:val="20"/>
                <w:color w:val="auto"/>
              </w:rPr>
            </w:pPr>
            <w:r>
              <w:rPr>
                <w:rFonts w:ascii="Arial" w:cs="Arial" w:eastAsia="Arial" w:hAnsi="Arial"/>
                <w:sz w:val="20"/>
                <w:szCs w:val="20"/>
                <w:color w:val="00162F"/>
              </w:rPr>
              <w:t>531</w:t>
            </w:r>
          </w:p>
        </w:tc>
      </w:tr>
      <w:tr>
        <w:trPr>
          <w:trHeight w:val="297"/>
        </w:trPr>
        <w:tc>
          <w:tcPr>
            <w:tcW w:w="726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20"/>
                <w:szCs w:val="20"/>
                <w:color w:val="00162F"/>
              </w:rPr>
              <w:t>Total finance lease liabilities</w:t>
            </w:r>
          </w:p>
        </w:tc>
        <w:tc>
          <w:tcPr>
            <w:tcW w:w="400" w:type="dxa"/>
            <w:vAlign w:val="bottom"/>
            <w:tcBorders>
              <w:bottom w:val="single" w:sz="8" w:color="00162F"/>
            </w:tcBorders>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tcBorders>
              <w:bottom w:val="single" w:sz="8" w:color="00162F"/>
            </w:tcBorders>
            <w:shd w:val="clear" w:color="auto" w:fill="EDEDED"/>
          </w:tcPr>
          <w:p>
            <w:pPr>
              <w:jc w:val="right"/>
              <w:ind w:right="164"/>
              <w:spacing w:after="0"/>
              <w:rPr>
                <w:sz w:val="20"/>
                <w:szCs w:val="20"/>
                <w:color w:val="auto"/>
              </w:rPr>
            </w:pPr>
            <w:r>
              <w:rPr>
                <w:rFonts w:ascii="Arial" w:cs="Arial" w:eastAsia="Arial" w:hAnsi="Arial"/>
                <w:sz w:val="20"/>
                <w:szCs w:val="20"/>
                <w:color w:val="00162F"/>
              </w:rPr>
              <w:t>724</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ind w:right="163"/>
              <w:spacing w:after="0"/>
              <w:rPr>
                <w:sz w:val="20"/>
                <w:szCs w:val="20"/>
                <w:color w:val="auto"/>
              </w:rPr>
            </w:pPr>
            <w:r>
              <w:rPr>
                <w:rFonts w:ascii="Arial" w:cs="Arial" w:eastAsia="Arial" w:hAnsi="Arial"/>
                <w:sz w:val="20"/>
                <w:szCs w:val="20"/>
                <w:color w:val="00162F"/>
              </w:rPr>
              <w:t>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6788150"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5">
                      <a:extLst>
                        <a:ext uri="{28A0092B-C50C-407E-A947-70E740481C1C}"/>
                      </a:extLst>
                    </a:blip>
                    <a:srcRect/>
                    <a:stretch>
                      <a:fillRect/>
                    </a:stretch>
                  </pic:blipFill>
                  <pic:spPr bwMode="auto">
                    <a:xfrm>
                      <a:off x="0" y="0"/>
                      <a:ext cx="6788150" cy="18859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-2859405</wp:posOffset>
            </wp:positionV>
            <wp:extent cx="220345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6">
                      <a:extLst>
                        <a:ext uri="{28A0092B-C50C-407E-A947-70E740481C1C}"/>
                      </a:extLst>
                    </a:blip>
                    <a:srcRect/>
                    <a:stretch>
                      <a:fillRect/>
                    </a:stretch>
                  </pic:blipFill>
                  <pic:spPr bwMode="auto">
                    <a:xfrm>
                      <a:off x="0" y="0"/>
                      <a:ext cx="22034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-1916430</wp:posOffset>
            </wp:positionV>
            <wp:extent cx="112522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7">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-1740535</wp:posOffset>
            </wp:positionV>
            <wp:extent cx="2203450" cy="508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8">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-974090</wp:posOffset>
            </wp:positionV>
            <wp:extent cx="112522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9">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-797560</wp:posOffset>
            </wp:positionV>
            <wp:extent cx="2203450" cy="508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0">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-219710</wp:posOffset>
            </wp:positionV>
            <wp:extent cx="112522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1">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-43815</wp:posOffset>
            </wp:positionV>
            <wp:extent cx="2203450" cy="508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2">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274" w:lineRule="exact"/>
        <w:rPr>
          <w:sz w:val="20"/>
          <w:szCs w:val="20"/>
          <w:color w:val="auto"/>
        </w:rPr>
      </w:pPr>
    </w:p>
    <w:p>
      <w:pPr>
        <w:ind w:left="40"/>
        <w:spacing w:after="0"/>
        <w:rPr>
          <w:sz w:val="20"/>
          <w:szCs w:val="20"/>
          <w:color w:val="auto"/>
        </w:rPr>
      </w:pPr>
      <w:r>
        <w:rPr>
          <w:rFonts w:ascii="Arial" w:cs="Arial" w:eastAsia="Arial" w:hAnsi="Arial"/>
          <w:sz w:val="20"/>
          <w:szCs w:val="20"/>
          <w:color w:val="00162F"/>
        </w:rPr>
        <w:t>Weighted average remaining lease term (in years):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300" w:type="dxa"/>
            <w:vAlign w:val="bottom"/>
          </w:tcPr>
          <w:p>
            <w:pPr>
              <w:ind w:left="180"/>
              <w:spacing w:after="0"/>
              <w:rPr>
                <w:sz w:val="20"/>
                <w:szCs w:val="20"/>
                <w:color w:val="auto"/>
              </w:rPr>
            </w:pPr>
            <w:r>
              <w:rPr>
                <w:rFonts w:ascii="Arial" w:cs="Arial" w:eastAsia="Arial" w:hAnsi="Arial"/>
                <w:sz w:val="20"/>
                <w:szCs w:val="20"/>
                <w:color w:val="00162F"/>
              </w:rPr>
              <w:t>Operating leases</w:t>
            </w: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ind w:right="223"/>
              <w:spacing w:after="0"/>
              <w:rPr>
                <w:sz w:val="20"/>
                <w:szCs w:val="20"/>
                <w:color w:val="auto"/>
              </w:rPr>
            </w:pPr>
            <w:r>
              <w:rPr>
                <w:rFonts w:ascii="Arial" w:cs="Arial" w:eastAsia="Arial" w:hAnsi="Arial"/>
                <w:sz w:val="20"/>
                <w:szCs w:val="20"/>
                <w:color w:val="00162F"/>
              </w:rPr>
              <w:t>8.4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8.2</w:t>
            </w:r>
          </w:p>
        </w:tc>
      </w:tr>
      <w:tr>
        <w:trPr>
          <w:trHeight w:val="301"/>
        </w:trPr>
        <w:tc>
          <w:tcPr>
            <w:tcW w:w="630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Finance leases</w:t>
            </w: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jc w:val="right"/>
              <w:ind w:right="223"/>
              <w:spacing w:after="0"/>
              <w:rPr>
                <w:sz w:val="20"/>
                <w:szCs w:val="20"/>
                <w:color w:val="auto"/>
              </w:rPr>
            </w:pPr>
            <w:r>
              <w:rPr>
                <w:rFonts w:ascii="Arial" w:cs="Arial" w:eastAsia="Arial" w:hAnsi="Arial"/>
                <w:sz w:val="20"/>
                <w:szCs w:val="20"/>
                <w:color w:val="00162F"/>
              </w:rPr>
              <w:t>7.8</w:t>
            </w: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7.4</w:t>
            </w:r>
          </w:p>
        </w:tc>
      </w:tr>
      <w:tr>
        <w:trPr>
          <w:trHeight w:val="297"/>
        </w:trPr>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630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Weighted average discount rate:</w:t>
            </w: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r>
      <w:tr>
        <w:trPr>
          <w:trHeight w:val="293"/>
        </w:trPr>
        <w:tc>
          <w:tcPr>
            <w:tcW w:w="6300" w:type="dxa"/>
            <w:vAlign w:val="bottom"/>
          </w:tcPr>
          <w:p>
            <w:pPr>
              <w:ind w:left="180"/>
              <w:spacing w:after="0"/>
              <w:rPr>
                <w:sz w:val="20"/>
                <w:szCs w:val="20"/>
                <w:color w:val="auto"/>
              </w:rPr>
            </w:pPr>
            <w:r>
              <w:rPr>
                <w:rFonts w:ascii="Arial" w:cs="Arial" w:eastAsia="Arial" w:hAnsi="Arial"/>
                <w:sz w:val="20"/>
                <w:szCs w:val="20"/>
                <w:color w:val="00162F"/>
              </w:rPr>
              <w:t>Operating leases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183"/>
              <w:spacing w:after="0"/>
              <w:rPr>
                <w:sz w:val="20"/>
                <w:szCs w:val="20"/>
                <w:color w:val="auto"/>
              </w:rPr>
            </w:pPr>
            <w:r>
              <w:rPr>
                <w:rFonts w:ascii="Arial" w:cs="Arial" w:eastAsia="Arial" w:hAnsi="Arial"/>
                <w:sz w:val="20"/>
                <w:szCs w:val="20"/>
                <w:color w:val="00162F"/>
              </w:rPr>
              <w:t>7.3 %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7.5 %</w:t>
            </w:r>
          </w:p>
        </w:tc>
      </w:tr>
      <w:tr>
        <w:trPr>
          <w:trHeight w:val="301"/>
        </w:trPr>
        <w:tc>
          <w:tcPr>
            <w:tcW w:w="630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Finance leases</w:t>
            </w: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jc w:val="right"/>
              <w:ind w:right="183"/>
              <w:spacing w:after="0"/>
              <w:rPr>
                <w:sz w:val="20"/>
                <w:szCs w:val="20"/>
                <w:color w:val="auto"/>
              </w:rPr>
            </w:pPr>
            <w:r>
              <w:rPr>
                <w:rFonts w:ascii="Arial" w:cs="Arial" w:eastAsia="Arial" w:hAnsi="Arial"/>
                <w:sz w:val="20"/>
                <w:szCs w:val="20"/>
                <w:color w:val="00162F"/>
              </w:rPr>
              <w:t>7.1 %</w:t>
            </w: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7.0 %</w:t>
            </w:r>
          </w:p>
        </w:tc>
      </w:tr>
      <w:tr>
        <w:trPr>
          <w:trHeight w:val="485"/>
        </w:trPr>
        <w:tc>
          <w:tcPr>
            <w:tcW w:w="8280" w:type="dxa"/>
            <w:vAlign w:val="bottom"/>
            <w:gridSpan w:val="5"/>
          </w:tcPr>
          <w:p>
            <w:pPr>
              <w:ind w:left="260"/>
              <w:spacing w:after="0"/>
              <w:rPr>
                <w:sz w:val="20"/>
                <w:szCs w:val="20"/>
                <w:color w:val="auto"/>
              </w:rPr>
            </w:pPr>
            <w:r>
              <w:rPr>
                <w:rFonts w:ascii="Arial" w:cs="Arial" w:eastAsia="Arial" w:hAnsi="Arial"/>
                <w:sz w:val="20"/>
                <w:szCs w:val="20"/>
                <w:color w:val="00162F"/>
                <w:w w:val="99"/>
              </w:rPr>
              <w:t>Supplemental cash flow and other information related to leases was as follows (in millions):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1"/>
        </w:trPr>
        <w:tc>
          <w:tcPr>
            <w:tcW w:w="6300" w:type="dxa"/>
            <w:vAlign w:val="bottom"/>
          </w:tcPr>
          <w:p>
            <w:pPr>
              <w:spacing w:after="0"/>
              <w:rPr>
                <w:sz w:val="24"/>
                <w:szCs w:val="24"/>
                <w:color w:val="auto"/>
              </w:rPr>
            </w:pPr>
          </w:p>
        </w:tc>
        <w:tc>
          <w:tcPr>
            <w:tcW w:w="360" w:type="dxa"/>
            <w:vAlign w:val="bottom"/>
            <w:tcBorders>
              <w:bottom w:val="single" w:sz="8" w:color="00162F"/>
            </w:tcBorders>
          </w:tcPr>
          <w:p>
            <w:pPr>
              <w:spacing w:after="0"/>
              <w:rPr>
                <w:sz w:val="24"/>
                <w:szCs w:val="24"/>
                <w:color w:val="auto"/>
              </w:rPr>
            </w:pPr>
          </w:p>
        </w:tc>
        <w:tc>
          <w:tcPr>
            <w:tcW w:w="2980" w:type="dxa"/>
            <w:vAlign w:val="bottom"/>
            <w:tcBorders>
              <w:bottom w:val="single" w:sz="8" w:color="00162F"/>
            </w:tcBorders>
            <w:gridSpan w:val="6"/>
          </w:tcPr>
          <w:p>
            <w:pPr>
              <w:jc w:val="right"/>
              <w:ind w:right="180"/>
              <w:spacing w:after="0"/>
              <w:rPr>
                <w:sz w:val="20"/>
                <w:szCs w:val="20"/>
                <w:color w:val="auto"/>
              </w:rPr>
            </w:pPr>
            <w:r>
              <w:rPr>
                <w:rFonts w:ascii="Arial" w:cs="Arial" w:eastAsia="Arial" w:hAnsi="Arial"/>
                <w:sz w:val="16"/>
                <w:szCs w:val="16"/>
                <w:b w:val="1"/>
                <w:bCs w:val="1"/>
                <w:color w:val="00162F"/>
              </w:rPr>
              <w:t>Year Ended December 31,</w:t>
            </w:r>
          </w:p>
        </w:tc>
        <w:tc>
          <w:tcPr>
            <w:tcW w:w="1040" w:type="dxa"/>
            <w:vAlign w:val="bottom"/>
            <w:tcBorders>
              <w:bottom w:val="single" w:sz="8" w:color="00162F"/>
            </w:tcBorders>
          </w:tcPr>
          <w:p>
            <w:pPr>
              <w:spacing w:after="0"/>
              <w:rPr>
                <w:sz w:val="24"/>
                <w:szCs w:val="24"/>
                <w:color w:val="auto"/>
              </w:rPr>
            </w:pPr>
          </w:p>
        </w:tc>
      </w:tr>
      <w:tr>
        <w:trPr>
          <w:trHeight w:val="232"/>
        </w:trPr>
        <w:tc>
          <w:tcPr>
            <w:tcW w:w="630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60" w:type="dxa"/>
            <w:vAlign w:val="bottom"/>
            <w:tcBorders>
              <w:bottom w:val="single" w:sz="8" w:color="00162F"/>
            </w:tcBorders>
          </w:tcPr>
          <w:p>
            <w:pPr>
              <w:jc w:val="right"/>
              <w:ind w:right="448"/>
              <w:spacing w:after="0"/>
              <w:rPr>
                <w:sz w:val="20"/>
                <w:szCs w:val="20"/>
                <w:color w:val="auto"/>
              </w:rPr>
            </w:pPr>
            <w:r>
              <w:rPr>
                <w:rFonts w:ascii="Arial" w:cs="Arial" w:eastAsia="Arial" w:hAnsi="Arial"/>
                <w:sz w:val="16"/>
                <w:szCs w:val="16"/>
                <w:b w:val="1"/>
                <w:bCs w:val="1"/>
                <w:color w:val="00162F"/>
              </w:rPr>
              <w:t>2025</w:t>
            </w:r>
          </w:p>
        </w:tc>
        <w:tc>
          <w:tcPr>
            <w:tcW w:w="60" w:type="dxa"/>
            <w:vAlign w:val="bottom"/>
            <w:tcBorders>
              <w:bottom w:val="single" w:sz="8" w:color="EDEDED"/>
            </w:tcBorders>
          </w:tcPr>
          <w:p>
            <w:pPr>
              <w:spacing w:after="0"/>
              <w:rPr>
                <w:sz w:val="20"/>
                <w:szCs w:val="20"/>
                <w:color w:val="auto"/>
              </w:rPr>
            </w:pPr>
          </w:p>
        </w:tc>
        <w:tc>
          <w:tcPr>
            <w:tcW w:w="500" w:type="dxa"/>
            <w:vAlign w:val="bottom"/>
            <w:tcBorders>
              <w:bottom w:val="single" w:sz="8" w:color="00162F"/>
            </w:tcBorders>
          </w:tcPr>
          <w:p>
            <w:pPr>
              <w:spacing w:after="0"/>
              <w:rPr>
                <w:sz w:val="20"/>
                <w:szCs w:val="20"/>
                <w:color w:val="auto"/>
              </w:rPr>
            </w:pPr>
          </w:p>
        </w:tc>
        <w:tc>
          <w:tcPr>
            <w:tcW w:w="920" w:type="dxa"/>
            <w:vAlign w:val="bottom"/>
            <w:tcBorders>
              <w:bottom w:val="single" w:sz="8" w:color="00162F"/>
            </w:tcBorders>
          </w:tcPr>
          <w:p>
            <w:pPr>
              <w:jc w:val="right"/>
              <w:ind w:right="423"/>
              <w:spacing w:after="0"/>
              <w:rPr>
                <w:sz w:val="20"/>
                <w:szCs w:val="20"/>
                <w:color w:val="auto"/>
              </w:rPr>
            </w:pPr>
            <w:r>
              <w:rPr>
                <w:rFonts w:ascii="Arial" w:cs="Arial" w:eastAsia="Arial" w:hAnsi="Arial"/>
                <w:sz w:val="16"/>
                <w:szCs w:val="16"/>
                <w:b w:val="1"/>
                <w:bCs w:val="1"/>
                <w:color w:val="00162F"/>
              </w:rPr>
              <w:t>2024</w:t>
            </w:r>
          </w:p>
        </w:tc>
        <w:tc>
          <w:tcPr>
            <w:tcW w:w="80" w:type="dxa"/>
            <w:vAlign w:val="bottom"/>
            <w:tcBorders>
              <w:bottom w:val="single" w:sz="8" w:color="EDEDED"/>
            </w:tcBorders>
          </w:tcPr>
          <w:p>
            <w:pPr>
              <w:spacing w:after="0"/>
              <w:rPr>
                <w:sz w:val="20"/>
                <w:szCs w:val="20"/>
                <w:color w:val="auto"/>
              </w:rPr>
            </w:pPr>
          </w:p>
        </w:tc>
        <w:tc>
          <w:tcPr>
            <w:tcW w:w="360" w:type="dxa"/>
            <w:vAlign w:val="bottom"/>
            <w:tcBorders>
              <w:bottom w:val="single" w:sz="8" w:color="00162F"/>
            </w:tcBorders>
          </w:tcPr>
          <w:p>
            <w:pPr>
              <w:spacing w:after="0"/>
              <w:rPr>
                <w:sz w:val="20"/>
                <w:szCs w:val="20"/>
                <w:color w:val="auto"/>
              </w:rPr>
            </w:pPr>
          </w:p>
        </w:tc>
        <w:tc>
          <w:tcPr>
            <w:tcW w:w="1040" w:type="dxa"/>
            <w:vAlign w:val="bottom"/>
            <w:tcBorders>
              <w:bottom w:val="single" w:sz="8" w:color="00162F"/>
            </w:tcBorders>
          </w:tcPr>
          <w:p>
            <w:pPr>
              <w:jc w:val="right"/>
              <w:ind w:right="423"/>
              <w:spacing w:after="0"/>
              <w:rPr>
                <w:sz w:val="20"/>
                <w:szCs w:val="20"/>
                <w:color w:val="auto"/>
              </w:rPr>
            </w:pPr>
            <w:r>
              <w:rPr>
                <w:rFonts w:ascii="Arial" w:cs="Arial" w:eastAsia="Arial" w:hAnsi="Arial"/>
                <w:sz w:val="16"/>
                <w:szCs w:val="16"/>
                <w:b w:val="1"/>
                <w:bCs w:val="1"/>
                <w:color w:val="00162F"/>
              </w:rPr>
              <w:t>2023</w:t>
            </w:r>
          </w:p>
        </w:tc>
      </w:tr>
      <w:tr>
        <w:trPr>
          <w:trHeight w:val="287"/>
        </w:trPr>
        <w:tc>
          <w:tcPr>
            <w:tcW w:w="6300" w:type="dxa"/>
            <w:vAlign w:val="bottom"/>
            <w:shd w:val="clear" w:color="auto" w:fill="EDEDED"/>
          </w:tcPr>
          <w:p>
            <w:pPr>
              <w:ind w:left="40"/>
              <w:spacing w:after="0"/>
              <w:rPr>
                <w:sz w:val="20"/>
                <w:szCs w:val="20"/>
                <w:color w:val="auto"/>
              </w:rPr>
            </w:pPr>
            <w:r>
              <w:rPr>
                <w:rFonts w:ascii="Arial" w:cs="Arial" w:eastAsia="Arial" w:hAnsi="Arial"/>
                <w:sz w:val="20"/>
                <w:szCs w:val="20"/>
                <w:color w:val="00162F"/>
                <w:w w:val="99"/>
              </w:rPr>
              <w:t>Cash paid for amounts included in the measurement of lease liabilities:</w:t>
            </w: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r>
      <w:tr>
        <w:trPr>
          <w:trHeight w:val="293"/>
        </w:trPr>
        <w:tc>
          <w:tcPr>
            <w:tcW w:w="6300" w:type="dxa"/>
            <w:vAlign w:val="bottom"/>
          </w:tcPr>
          <w:p>
            <w:pPr>
              <w:ind w:left="180"/>
              <w:spacing w:after="0"/>
              <w:rPr>
                <w:sz w:val="20"/>
                <w:szCs w:val="20"/>
                <w:color w:val="auto"/>
              </w:rPr>
            </w:pPr>
            <w:r>
              <w:rPr>
                <w:rFonts w:ascii="Arial" w:cs="Arial" w:eastAsia="Arial" w:hAnsi="Arial"/>
                <w:sz w:val="20"/>
                <w:szCs w:val="20"/>
                <w:color w:val="00162F"/>
              </w:rPr>
              <w:t>Operating cash flows from operating leases</w:t>
            </w:r>
          </w:p>
        </w:tc>
        <w:tc>
          <w:tcPr>
            <w:tcW w:w="360" w:type="dxa"/>
            <w:vAlign w:val="bottom"/>
          </w:tcPr>
          <w:p>
            <w:pPr>
              <w:jc w:val="right"/>
              <w:ind w:right="101"/>
              <w:spacing w:after="0"/>
              <w:rPr>
                <w:sz w:val="20"/>
                <w:szCs w:val="20"/>
                <w:color w:val="auto"/>
              </w:rPr>
            </w:pPr>
            <w:r>
              <w:rPr>
                <w:rFonts w:ascii="Arial" w:cs="Arial" w:eastAsia="Arial" w:hAnsi="Arial"/>
                <w:sz w:val="20"/>
                <w:szCs w:val="20"/>
                <w:color w:val="00162F"/>
              </w:rPr>
              <w:t>$</w:t>
            </w:r>
          </w:p>
        </w:tc>
        <w:tc>
          <w:tcPr>
            <w:tcW w:w="1060" w:type="dxa"/>
            <w:vAlign w:val="bottom"/>
          </w:tcPr>
          <w:p>
            <w:pPr>
              <w:jc w:val="right"/>
              <w:spacing w:after="0"/>
              <w:rPr>
                <w:sz w:val="20"/>
                <w:szCs w:val="20"/>
                <w:color w:val="auto"/>
              </w:rPr>
            </w:pPr>
            <w:r>
              <w:rPr>
                <w:rFonts w:ascii="Arial" w:cs="Arial" w:eastAsia="Arial" w:hAnsi="Arial"/>
                <w:sz w:val="20"/>
                <w:szCs w:val="20"/>
                <w:color w:val="00162F"/>
              </w:rPr>
              <w:t>1,633</w:t>
            </w:r>
          </w:p>
        </w:tc>
        <w:tc>
          <w:tcPr>
            <w:tcW w:w="560" w:type="dxa"/>
            <w:vAlign w:val="bottom"/>
            <w:gridSpan w:val="2"/>
          </w:tcPr>
          <w:p>
            <w:pPr>
              <w:jc w:val="right"/>
              <w:ind w:right="320"/>
              <w:spacing w:after="0"/>
              <w:rPr>
                <w:sz w:val="20"/>
                <w:szCs w:val="20"/>
                <w:color w:val="auto"/>
              </w:rPr>
            </w:pPr>
            <w:r>
              <w:rPr>
                <w:rFonts w:ascii="Arial" w:cs="Arial" w:eastAsia="Arial" w:hAnsi="Arial"/>
                <w:sz w:val="20"/>
                <w:szCs w:val="20"/>
                <w:color w:val="00162F"/>
              </w:rPr>
              <w:t>$</w:t>
            </w:r>
          </w:p>
        </w:tc>
        <w:tc>
          <w:tcPr>
            <w:tcW w:w="920" w:type="dxa"/>
            <w:vAlign w:val="bottom"/>
          </w:tcPr>
          <w:p>
            <w:pPr>
              <w:jc w:val="right"/>
              <w:spacing w:after="0"/>
              <w:rPr>
                <w:sz w:val="20"/>
                <w:szCs w:val="20"/>
                <w:color w:val="auto"/>
              </w:rPr>
            </w:pPr>
            <w:r>
              <w:rPr>
                <w:rFonts w:ascii="Arial" w:cs="Arial" w:eastAsia="Arial" w:hAnsi="Arial"/>
                <w:sz w:val="20"/>
                <w:szCs w:val="20"/>
                <w:color w:val="00162F"/>
              </w:rPr>
              <w:t>1,810</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2,011</w:t>
            </w:r>
          </w:p>
        </w:tc>
      </w:tr>
      <w:tr>
        <w:trPr>
          <w:trHeight w:val="301"/>
        </w:trPr>
        <w:tc>
          <w:tcPr>
            <w:tcW w:w="630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Operating cash flows from finance leases</w:t>
            </w: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48</w:t>
            </w: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40</w:t>
            </w: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47</w:t>
            </w:r>
          </w:p>
        </w:tc>
      </w:tr>
      <w:tr>
        <w:trPr>
          <w:trHeight w:val="293"/>
        </w:trPr>
        <w:tc>
          <w:tcPr>
            <w:tcW w:w="6300" w:type="dxa"/>
            <w:vAlign w:val="bottom"/>
          </w:tcPr>
          <w:p>
            <w:pPr>
              <w:ind w:left="180"/>
              <w:spacing w:after="0"/>
              <w:rPr>
                <w:sz w:val="20"/>
                <w:szCs w:val="20"/>
                <w:color w:val="auto"/>
              </w:rPr>
            </w:pPr>
            <w:r>
              <w:rPr>
                <w:rFonts w:ascii="Arial" w:cs="Arial" w:eastAsia="Arial" w:hAnsi="Arial"/>
                <w:sz w:val="20"/>
                <w:szCs w:val="20"/>
                <w:color w:val="00162F"/>
              </w:rPr>
              <w:t>Financing cash flows from finance leases</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120</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145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255</w:t>
            </w:r>
          </w:p>
        </w:tc>
      </w:tr>
      <w:tr>
        <w:trPr>
          <w:trHeight w:val="301"/>
        </w:trPr>
        <w:tc>
          <w:tcPr>
            <w:tcW w:w="630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r>
      <w:tr>
        <w:trPr>
          <w:trHeight w:val="290"/>
        </w:trPr>
        <w:tc>
          <w:tcPr>
            <w:tcW w:w="6300" w:type="dxa"/>
            <w:vAlign w:val="bottom"/>
          </w:tcPr>
          <w:p>
            <w:pPr>
              <w:ind w:left="40"/>
              <w:spacing w:after="0"/>
              <w:rPr>
                <w:sz w:val="20"/>
                <w:szCs w:val="20"/>
                <w:color w:val="auto"/>
              </w:rPr>
            </w:pPr>
            <w:r>
              <w:rPr>
                <w:rFonts w:ascii="Arial" w:cs="Arial" w:eastAsia="Arial" w:hAnsi="Arial"/>
                <w:sz w:val="20"/>
                <w:szCs w:val="20"/>
                <w:color w:val="00162F"/>
              </w:rPr>
              <w:t>Gain (loss) on sale leaseback transactions, net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(13)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0162F"/>
              </w:rPr>
              <w:t>76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-1138555</wp:posOffset>
            </wp:positionV>
            <wp:extent cx="280670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3">
                      <a:extLst>
                        <a:ext uri="{28A0092B-C50C-407E-A947-70E740481C1C}"/>
                      </a:extLst>
                    </a:blip>
                    <a:srcRect/>
                    <a:stretch>
                      <a:fillRect/>
                    </a:stretch>
                  </pic:blipFill>
                  <pic:spPr bwMode="auto">
                    <a:xfrm>
                      <a:off x="0" y="0"/>
                      <a:ext cx="2806700" cy="25400"/>
                    </a:xfrm>
                    <a:prstGeom prst="rect">
                      <a:avLst/>
                    </a:prstGeom>
                    <a:noFill/>
                  </pic:spPr>
                </pic:pic>
              </a:graphicData>
            </a:graphic>
          </wp:anchor>
        </w:drawing>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150</w:t>
      </w:r>
    </w:p>
    <w:p>
      <w:pPr>
        <w:sectPr>
          <w:pgSz w:w="11880" w:h="15480" w:orient="portrait"/>
          <w:cols w:equalWidth="0" w:num="1">
            <w:col w:w="10680"/>
          </w:cols>
          <w:pgMar w:left="600" w:top="249" w:right="600" w:bottom="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Maturities of lease liabilities were as follows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340" w:type="dxa"/>
            <w:vAlign w:val="bottom"/>
            <w:tcBorders>
              <w:bottom w:val="single" w:sz="8" w:color="00162F"/>
            </w:tcBorders>
          </w:tcPr>
          <w:p>
            <w:pPr>
              <w:spacing w:after="0"/>
              <w:rPr>
                <w:sz w:val="18"/>
                <w:szCs w:val="18"/>
                <w:color w:val="auto"/>
              </w:rPr>
            </w:pPr>
          </w:p>
        </w:tc>
        <w:tc>
          <w:tcPr>
            <w:tcW w:w="1660" w:type="dxa"/>
            <w:vAlign w:val="bottom"/>
            <w:tcBorders>
              <w:bottom w:val="single" w:sz="8" w:color="00162F"/>
            </w:tcBorders>
            <w:gridSpan w:val="5"/>
          </w:tcPr>
          <w:p>
            <w:pPr>
              <w:jc w:val="right"/>
              <w:spacing w:after="0"/>
              <w:rPr>
                <w:sz w:val="20"/>
                <w:szCs w:val="20"/>
                <w:color w:val="auto"/>
              </w:rPr>
            </w:pPr>
            <w:r>
              <w:rPr>
                <w:rFonts w:ascii="Arial" w:cs="Arial" w:eastAsia="Arial" w:hAnsi="Arial"/>
                <w:sz w:val="16"/>
                <w:szCs w:val="16"/>
                <w:b w:val="1"/>
                <w:bCs w:val="1"/>
                <w:color w:val="00162F"/>
              </w:rPr>
              <w:t>December 31, 2025</w:t>
            </w:r>
          </w:p>
        </w:tc>
        <w:tc>
          <w:tcPr>
            <w:tcW w:w="940" w:type="dxa"/>
            <w:vAlign w:val="bottom"/>
            <w:tcBorders>
              <w:bottom w:val="single" w:sz="8" w:color="00162F"/>
            </w:tcBorders>
          </w:tcPr>
          <w:p>
            <w:pPr>
              <w:spacing w:after="0"/>
              <w:rPr>
                <w:sz w:val="18"/>
                <w:szCs w:val="18"/>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960" w:type="dxa"/>
            <w:vAlign w:val="bottom"/>
            <w:tcBorders>
              <w:bottom w:val="single" w:sz="8" w:color="EDEDED"/>
            </w:tcBorders>
          </w:tcPr>
          <w:p>
            <w:pPr>
              <w:spacing w:after="0"/>
              <w:rPr>
                <w:sz w:val="20"/>
                <w:szCs w:val="20"/>
                <w:color w:val="auto"/>
              </w:rPr>
            </w:pPr>
          </w:p>
        </w:tc>
        <w:tc>
          <w:tcPr>
            <w:tcW w:w="100" w:type="dxa"/>
            <w:vAlign w:val="bottom"/>
            <w:tcBorders>
              <w:bottom w:val="single" w:sz="8" w:color="EDEDED"/>
            </w:tcBorders>
          </w:tcPr>
          <w:p>
            <w:pPr>
              <w:spacing w:after="0"/>
              <w:rPr>
                <w:sz w:val="20"/>
                <w:szCs w:val="20"/>
                <w:color w:val="auto"/>
              </w:rPr>
            </w:pPr>
          </w:p>
        </w:tc>
        <w:tc>
          <w:tcPr>
            <w:tcW w:w="1660" w:type="dxa"/>
            <w:vAlign w:val="bottom"/>
            <w:tcBorders>
              <w:bottom w:val="single" w:sz="8" w:color="00162F"/>
            </w:tcBorders>
            <w:gridSpan w:val="4"/>
          </w:tcPr>
          <w:p>
            <w:pPr>
              <w:jc w:val="right"/>
              <w:ind w:right="63"/>
              <w:spacing w:after="0"/>
              <w:rPr>
                <w:sz w:val="20"/>
                <w:szCs w:val="20"/>
                <w:color w:val="auto"/>
              </w:rPr>
            </w:pPr>
            <w:r>
              <w:rPr>
                <w:rFonts w:ascii="Arial" w:cs="Arial" w:eastAsia="Arial" w:hAnsi="Arial"/>
                <w:sz w:val="16"/>
                <w:szCs w:val="16"/>
                <w:b w:val="1"/>
                <w:bCs w:val="1"/>
                <w:color w:val="00162F"/>
              </w:rPr>
              <w:t>Operating Leases</w:t>
            </w:r>
          </w:p>
        </w:tc>
        <w:tc>
          <w:tcPr>
            <w:tcW w:w="80" w:type="dxa"/>
            <w:vAlign w:val="bottom"/>
            <w:tcBorders>
              <w:bottom w:val="single" w:sz="8" w:color="EDEDED"/>
            </w:tcBorders>
          </w:tcPr>
          <w:p>
            <w:pPr>
              <w:spacing w:after="0"/>
              <w:rPr>
                <w:sz w:val="20"/>
                <w:szCs w:val="20"/>
                <w:color w:val="auto"/>
              </w:rPr>
            </w:pPr>
          </w:p>
        </w:tc>
        <w:tc>
          <w:tcPr>
            <w:tcW w:w="160" w:type="dxa"/>
            <w:vAlign w:val="bottom"/>
            <w:tcBorders>
              <w:bottom w:val="single" w:sz="8" w:color="00162F"/>
            </w:tcBorders>
          </w:tcPr>
          <w:p>
            <w:pPr>
              <w:spacing w:after="0"/>
              <w:rPr>
                <w:sz w:val="20"/>
                <w:szCs w:val="20"/>
                <w:color w:val="auto"/>
              </w:rPr>
            </w:pPr>
          </w:p>
        </w:tc>
        <w:tc>
          <w:tcPr>
            <w:tcW w:w="60" w:type="dxa"/>
            <w:vAlign w:val="bottom"/>
            <w:tcBorders>
              <w:bottom w:val="single" w:sz="8" w:color="00162F"/>
            </w:tcBorders>
          </w:tcPr>
          <w:p>
            <w:pPr>
              <w:spacing w:after="0"/>
              <w:rPr>
                <w:sz w:val="20"/>
                <w:szCs w:val="20"/>
                <w:color w:val="auto"/>
              </w:rPr>
            </w:pPr>
          </w:p>
        </w:tc>
        <w:tc>
          <w:tcPr>
            <w:tcW w:w="1440" w:type="dxa"/>
            <w:vAlign w:val="bottom"/>
            <w:tcBorders>
              <w:bottom w:val="single" w:sz="8" w:color="00162F"/>
            </w:tcBorders>
            <w:gridSpan w:val="2"/>
          </w:tcPr>
          <w:p>
            <w:pPr>
              <w:jc w:val="right"/>
              <w:ind w:right="142"/>
              <w:spacing w:after="0"/>
              <w:rPr>
                <w:sz w:val="20"/>
                <w:szCs w:val="20"/>
                <w:color w:val="auto"/>
              </w:rPr>
            </w:pPr>
            <w:r>
              <w:rPr>
                <w:rFonts w:ascii="Arial" w:cs="Arial" w:eastAsia="Arial" w:hAnsi="Arial"/>
                <w:sz w:val="16"/>
                <w:szCs w:val="16"/>
                <w:b w:val="1"/>
                <w:bCs w:val="1"/>
                <w:color w:val="00162F"/>
                <w:w w:val="98"/>
              </w:rPr>
              <w:t>Finance Leases</w:t>
            </w: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2026</w:t>
            </w:r>
          </w:p>
        </w:tc>
        <w:tc>
          <w:tcPr>
            <w:tcW w:w="960" w:type="dxa"/>
            <w:vAlign w:val="bottom"/>
            <w:shd w:val="clear" w:color="auto" w:fill="EDEDED"/>
          </w:tcPr>
          <w:p>
            <w:pPr>
              <w:spacing w:after="0"/>
              <w:rPr>
                <w:sz w:val="24"/>
                <w:szCs w:val="24"/>
                <w:color w:val="auto"/>
              </w:rPr>
            </w:pPr>
          </w:p>
        </w:tc>
        <w:tc>
          <w:tcPr>
            <w:tcW w:w="480" w:type="dxa"/>
            <w:vAlign w:val="bottom"/>
            <w:gridSpan w:val="2"/>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1,487</w:t>
            </w:r>
          </w:p>
        </w:tc>
        <w:tc>
          <w:tcPr>
            <w:tcW w:w="300" w:type="dxa"/>
            <w:vAlign w:val="bottom"/>
            <w:gridSpan w:val="3"/>
            <w:shd w:val="clear" w:color="auto" w:fill="EDEDED"/>
          </w:tcPr>
          <w:p>
            <w:pPr>
              <w:jc w:val="right"/>
              <w:ind w:right="60"/>
              <w:spacing w:after="0"/>
              <w:rPr>
                <w:sz w:val="20"/>
                <w:szCs w:val="20"/>
                <w:color w:val="auto"/>
              </w:rPr>
            </w:pPr>
            <w:r>
              <w:rPr>
                <w:rFonts w:ascii="Arial" w:cs="Arial" w:eastAsia="Arial" w:hAnsi="Arial"/>
                <w:sz w:val="20"/>
                <w:szCs w:val="20"/>
                <w:color w:val="00162F"/>
              </w:rPr>
              <w:t>$</w:t>
            </w: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161</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2027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1,358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0162F"/>
              </w:rPr>
              <w:t>152</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2028</w:t>
            </w:r>
          </w:p>
        </w:tc>
        <w:tc>
          <w:tcPr>
            <w:tcW w:w="960" w:type="dxa"/>
            <w:vAlign w:val="bottom"/>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3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1,238</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110</w:t>
            </w: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2029</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0162F"/>
              </w:rPr>
              <w:t>1,131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0162F"/>
              </w:rPr>
              <w:t>102</w:t>
            </w:r>
          </w:p>
        </w:tc>
      </w:tr>
      <w:tr>
        <w:trPr>
          <w:trHeight w:val="301"/>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2030</w:t>
            </w:r>
          </w:p>
        </w:tc>
        <w:tc>
          <w:tcPr>
            <w:tcW w:w="960" w:type="dxa"/>
            <w:vAlign w:val="bottom"/>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3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948</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100</w:t>
            </w:r>
          </w:p>
        </w:tc>
      </w:tr>
      <w:tr>
        <w:trPr>
          <w:trHeight w:val="287"/>
        </w:trPr>
        <w:tc>
          <w:tcPr>
            <w:tcW w:w="622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2031 and thereafter</w:t>
            </w:r>
          </w:p>
        </w:tc>
        <w:tc>
          <w:tcPr>
            <w:tcW w:w="960" w:type="dxa"/>
            <w:vAlign w:val="bottom"/>
            <w:tcBorders>
              <w:bottom w:val="single" w:sz="8" w:color="EDEDED"/>
            </w:tcBorders>
          </w:tcPr>
          <w:p>
            <w:pPr>
              <w:spacing w:after="0"/>
              <w:rPr>
                <w:sz w:val="24"/>
                <w:szCs w:val="24"/>
                <w:color w:val="auto"/>
              </w:rPr>
            </w:pPr>
          </w:p>
        </w:tc>
        <w:tc>
          <w:tcPr>
            <w:tcW w:w="100" w:type="dxa"/>
            <w:vAlign w:val="bottom"/>
            <w:tcBorders>
              <w:bottom w:val="single" w:sz="8" w:color="EDEDED"/>
            </w:tcBorders>
          </w:tcPr>
          <w:p>
            <w:pPr>
              <w:spacing w:after="0"/>
              <w:rPr>
                <w:sz w:val="24"/>
                <w:szCs w:val="24"/>
                <w:color w:val="auto"/>
              </w:rPr>
            </w:pPr>
          </w:p>
        </w:tc>
        <w:tc>
          <w:tcPr>
            <w:tcW w:w="380" w:type="dxa"/>
            <w:vAlign w:val="bottom"/>
            <w:tcBorders>
              <w:bottom w:val="single" w:sz="8" w:color="00162F"/>
            </w:tcBorders>
          </w:tcPr>
          <w:p>
            <w:pPr>
              <w:spacing w:after="0"/>
              <w:rPr>
                <w:sz w:val="24"/>
                <w:szCs w:val="24"/>
                <w:color w:val="auto"/>
              </w:rPr>
            </w:pPr>
          </w:p>
        </w:tc>
        <w:tc>
          <w:tcPr>
            <w:tcW w:w="80" w:type="dxa"/>
            <w:vAlign w:val="bottom"/>
            <w:tcBorders>
              <w:bottom w:val="single" w:sz="8" w:color="00162F"/>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8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2,987</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00162F"/>
            </w:tcBorders>
          </w:tcPr>
          <w:p>
            <w:pPr>
              <w:spacing w:after="0"/>
              <w:rPr>
                <w:sz w:val="24"/>
                <w:szCs w:val="24"/>
                <w:color w:val="auto"/>
              </w:rPr>
            </w:pPr>
          </w:p>
        </w:tc>
        <w:tc>
          <w:tcPr>
            <w:tcW w:w="60" w:type="dxa"/>
            <w:vAlign w:val="bottom"/>
            <w:tcBorders>
              <w:bottom w:val="single" w:sz="8" w:color="00162F"/>
            </w:tcBorders>
          </w:tcPr>
          <w:p>
            <w:pPr>
              <w:spacing w:after="0"/>
              <w:rPr>
                <w:sz w:val="24"/>
                <w:szCs w:val="24"/>
                <w:color w:val="auto"/>
              </w:rPr>
            </w:pPr>
          </w:p>
        </w:tc>
        <w:tc>
          <w:tcPr>
            <w:tcW w:w="500" w:type="dxa"/>
            <w:vAlign w:val="bottom"/>
            <w:tcBorders>
              <w:bottom w:val="single" w:sz="8" w:color="00162F"/>
            </w:tcBorders>
          </w:tcPr>
          <w:p>
            <w:pPr>
              <w:spacing w:after="0"/>
              <w:rPr>
                <w:sz w:val="24"/>
                <w:szCs w:val="24"/>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310</w:t>
            </w:r>
          </w:p>
        </w:tc>
      </w:tr>
      <w:tr>
        <w:trPr>
          <w:trHeight w:val="287"/>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Total lease payments</w:t>
            </w:r>
          </w:p>
        </w:tc>
        <w:tc>
          <w:tcPr>
            <w:tcW w:w="960" w:type="dxa"/>
            <w:vAlign w:val="bottom"/>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3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9,149</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935</w:t>
            </w:r>
          </w:p>
        </w:tc>
      </w:tr>
      <w:tr>
        <w:trPr>
          <w:trHeight w:val="287"/>
        </w:trPr>
        <w:tc>
          <w:tcPr>
            <w:tcW w:w="622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Less: Imputed interest</w:t>
            </w:r>
          </w:p>
        </w:tc>
        <w:tc>
          <w:tcPr>
            <w:tcW w:w="960" w:type="dxa"/>
            <w:vAlign w:val="bottom"/>
            <w:tcBorders>
              <w:bottom w:val="single" w:sz="8" w:color="EDEDED"/>
            </w:tcBorders>
          </w:tcPr>
          <w:p>
            <w:pPr>
              <w:spacing w:after="0"/>
              <w:rPr>
                <w:sz w:val="24"/>
                <w:szCs w:val="24"/>
                <w:color w:val="auto"/>
              </w:rPr>
            </w:pPr>
          </w:p>
        </w:tc>
        <w:tc>
          <w:tcPr>
            <w:tcW w:w="100" w:type="dxa"/>
            <w:vAlign w:val="bottom"/>
            <w:tcBorders>
              <w:bottom w:val="single" w:sz="8" w:color="EDEDED"/>
            </w:tcBorders>
          </w:tcPr>
          <w:p>
            <w:pPr>
              <w:spacing w:after="0"/>
              <w:rPr>
                <w:sz w:val="24"/>
                <w:szCs w:val="24"/>
                <w:color w:val="auto"/>
              </w:rPr>
            </w:pPr>
          </w:p>
        </w:tc>
        <w:tc>
          <w:tcPr>
            <w:tcW w:w="380" w:type="dxa"/>
            <w:vAlign w:val="bottom"/>
            <w:tcBorders>
              <w:bottom w:val="single" w:sz="8" w:color="00162F"/>
            </w:tcBorders>
          </w:tcPr>
          <w:p>
            <w:pPr>
              <w:spacing w:after="0"/>
              <w:rPr>
                <w:sz w:val="24"/>
                <w:szCs w:val="24"/>
                <w:color w:val="auto"/>
              </w:rPr>
            </w:pPr>
          </w:p>
        </w:tc>
        <w:tc>
          <w:tcPr>
            <w:tcW w:w="80" w:type="dxa"/>
            <w:vAlign w:val="bottom"/>
            <w:tcBorders>
              <w:bottom w:val="single" w:sz="8" w:color="00162F"/>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8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(2,241)</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00162F"/>
            </w:tcBorders>
          </w:tcPr>
          <w:p>
            <w:pPr>
              <w:spacing w:after="0"/>
              <w:rPr>
                <w:sz w:val="24"/>
                <w:szCs w:val="24"/>
                <w:color w:val="auto"/>
              </w:rPr>
            </w:pPr>
          </w:p>
        </w:tc>
        <w:tc>
          <w:tcPr>
            <w:tcW w:w="60" w:type="dxa"/>
            <w:vAlign w:val="bottom"/>
            <w:tcBorders>
              <w:bottom w:val="single" w:sz="8" w:color="00162F"/>
            </w:tcBorders>
          </w:tcPr>
          <w:p>
            <w:pPr>
              <w:spacing w:after="0"/>
              <w:rPr>
                <w:sz w:val="24"/>
                <w:szCs w:val="24"/>
                <w:color w:val="auto"/>
              </w:rPr>
            </w:pPr>
          </w:p>
        </w:tc>
        <w:tc>
          <w:tcPr>
            <w:tcW w:w="500" w:type="dxa"/>
            <w:vAlign w:val="bottom"/>
            <w:tcBorders>
              <w:bottom w:val="single" w:sz="8" w:color="00162F"/>
            </w:tcBorders>
          </w:tcPr>
          <w:p>
            <w:pPr>
              <w:spacing w:after="0"/>
              <w:rPr>
                <w:sz w:val="24"/>
                <w:szCs w:val="24"/>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(211)</w:t>
            </w:r>
          </w:p>
        </w:tc>
      </w:tr>
      <w:tr>
        <w:trPr>
          <w:trHeight w:val="287"/>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Total lease obligations</w:t>
            </w:r>
          </w:p>
        </w:tc>
        <w:tc>
          <w:tcPr>
            <w:tcW w:w="960" w:type="dxa"/>
            <w:vAlign w:val="bottom"/>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3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6,908</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724</w:t>
            </w:r>
          </w:p>
        </w:tc>
      </w:tr>
      <w:tr>
        <w:trPr>
          <w:trHeight w:val="287"/>
        </w:trPr>
        <w:tc>
          <w:tcPr>
            <w:tcW w:w="622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Less: Current obligations</w:t>
            </w:r>
          </w:p>
        </w:tc>
        <w:tc>
          <w:tcPr>
            <w:tcW w:w="960" w:type="dxa"/>
            <w:vAlign w:val="bottom"/>
            <w:tcBorders>
              <w:bottom w:val="single" w:sz="8" w:color="EDEDED"/>
            </w:tcBorders>
          </w:tcPr>
          <w:p>
            <w:pPr>
              <w:spacing w:after="0"/>
              <w:rPr>
                <w:sz w:val="24"/>
                <w:szCs w:val="24"/>
                <w:color w:val="auto"/>
              </w:rPr>
            </w:pPr>
          </w:p>
        </w:tc>
        <w:tc>
          <w:tcPr>
            <w:tcW w:w="100" w:type="dxa"/>
            <w:vAlign w:val="bottom"/>
            <w:tcBorders>
              <w:bottom w:val="single" w:sz="8" w:color="EDEDED"/>
            </w:tcBorders>
          </w:tcPr>
          <w:p>
            <w:pPr>
              <w:spacing w:after="0"/>
              <w:rPr>
                <w:sz w:val="24"/>
                <w:szCs w:val="24"/>
                <w:color w:val="auto"/>
              </w:rPr>
            </w:pPr>
          </w:p>
        </w:tc>
        <w:tc>
          <w:tcPr>
            <w:tcW w:w="380" w:type="dxa"/>
            <w:vAlign w:val="bottom"/>
            <w:tcBorders>
              <w:bottom w:val="single" w:sz="8" w:color="00162F"/>
            </w:tcBorders>
          </w:tcPr>
          <w:p>
            <w:pPr>
              <w:spacing w:after="0"/>
              <w:rPr>
                <w:sz w:val="24"/>
                <w:szCs w:val="24"/>
                <w:color w:val="auto"/>
              </w:rPr>
            </w:pPr>
          </w:p>
        </w:tc>
        <w:tc>
          <w:tcPr>
            <w:tcW w:w="80" w:type="dxa"/>
            <w:vAlign w:val="bottom"/>
            <w:tcBorders>
              <w:bottom w:val="single" w:sz="8" w:color="00162F"/>
            </w:tcBorders>
          </w:tcPr>
          <w:p>
            <w:pPr>
              <w:spacing w:after="0"/>
              <w:rPr>
                <w:sz w:val="24"/>
                <w:szCs w:val="24"/>
                <w:color w:val="auto"/>
              </w:rPr>
            </w:pPr>
          </w:p>
        </w:tc>
        <w:tc>
          <w:tcPr>
            <w:tcW w:w="340" w:type="dxa"/>
            <w:vAlign w:val="bottom"/>
            <w:tcBorders>
              <w:bottom w:val="single" w:sz="8" w:color="00162F"/>
            </w:tcBorders>
          </w:tcPr>
          <w:p>
            <w:pPr>
              <w:spacing w:after="0"/>
              <w:rPr>
                <w:sz w:val="24"/>
                <w:szCs w:val="24"/>
                <w:color w:val="auto"/>
              </w:rPr>
            </w:pPr>
          </w:p>
        </w:tc>
        <w:tc>
          <w:tcPr>
            <w:tcW w:w="8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(1,048)</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00162F"/>
            </w:tcBorders>
          </w:tcPr>
          <w:p>
            <w:pPr>
              <w:spacing w:after="0"/>
              <w:rPr>
                <w:sz w:val="24"/>
                <w:szCs w:val="24"/>
                <w:color w:val="auto"/>
              </w:rPr>
            </w:pPr>
          </w:p>
        </w:tc>
        <w:tc>
          <w:tcPr>
            <w:tcW w:w="60" w:type="dxa"/>
            <w:vAlign w:val="bottom"/>
            <w:tcBorders>
              <w:bottom w:val="single" w:sz="8" w:color="00162F"/>
            </w:tcBorders>
          </w:tcPr>
          <w:p>
            <w:pPr>
              <w:spacing w:after="0"/>
              <w:rPr>
                <w:sz w:val="24"/>
                <w:szCs w:val="24"/>
                <w:color w:val="auto"/>
              </w:rPr>
            </w:pPr>
          </w:p>
        </w:tc>
        <w:tc>
          <w:tcPr>
            <w:tcW w:w="500" w:type="dxa"/>
            <w:vAlign w:val="bottom"/>
            <w:tcBorders>
              <w:bottom w:val="single" w:sz="8" w:color="00162F"/>
            </w:tcBorders>
          </w:tcPr>
          <w:p>
            <w:pPr>
              <w:spacing w:after="0"/>
              <w:rPr>
                <w:sz w:val="24"/>
                <w:szCs w:val="24"/>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(114)</w:t>
            </w:r>
          </w:p>
        </w:tc>
      </w:tr>
      <w:tr>
        <w:trPr>
          <w:trHeight w:val="297"/>
        </w:trPr>
        <w:tc>
          <w:tcPr>
            <w:tcW w:w="622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Long-term lease obligations</w:t>
            </w:r>
          </w:p>
        </w:tc>
        <w:tc>
          <w:tcPr>
            <w:tcW w:w="960" w:type="dxa"/>
            <w:vAlign w:val="bottom"/>
            <w:shd w:val="clear" w:color="auto" w:fill="EDEDED"/>
          </w:tcPr>
          <w:p>
            <w:pPr>
              <w:spacing w:after="0"/>
              <w:rPr>
                <w:sz w:val="24"/>
                <w:szCs w:val="24"/>
                <w:color w:val="auto"/>
              </w:rPr>
            </w:pPr>
          </w:p>
        </w:tc>
        <w:tc>
          <w:tcPr>
            <w:tcW w:w="480" w:type="dxa"/>
            <w:vAlign w:val="bottom"/>
            <w:gridSpan w:val="2"/>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5,860</w:t>
            </w:r>
          </w:p>
        </w:tc>
        <w:tc>
          <w:tcPr>
            <w:tcW w:w="300" w:type="dxa"/>
            <w:vAlign w:val="bottom"/>
            <w:gridSpan w:val="3"/>
            <w:shd w:val="clear" w:color="auto" w:fill="EDEDED"/>
          </w:tcPr>
          <w:p>
            <w:pPr>
              <w:jc w:val="right"/>
              <w:ind w:right="60"/>
              <w:spacing w:after="0"/>
              <w:rPr>
                <w:sz w:val="20"/>
                <w:szCs w:val="20"/>
                <w:color w:val="auto"/>
              </w:rPr>
            </w:pPr>
            <w:r>
              <w:rPr>
                <w:rFonts w:ascii="Arial" w:cs="Arial" w:eastAsia="Arial" w:hAnsi="Arial"/>
                <w:sz w:val="20"/>
                <w:szCs w:val="20"/>
                <w:color w:val="00162F"/>
              </w:rPr>
              <w:t>$</w:t>
            </w:r>
          </w:p>
        </w:tc>
        <w:tc>
          <w:tcPr>
            <w:tcW w:w="50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610</w:t>
            </w:r>
          </w:p>
        </w:tc>
      </w:tr>
      <w:tr>
        <w:trPr>
          <w:trHeight w:val="555"/>
        </w:trPr>
        <w:tc>
          <w:tcPr>
            <w:tcW w:w="6220" w:type="dxa"/>
            <w:vAlign w:val="bottom"/>
            <w:tcBorders>
              <w:top w:val="single" w:sz="8" w:color="EDEDED"/>
            </w:tcBorders>
          </w:tcPr>
          <w:p>
            <w:pPr>
              <w:spacing w:after="0"/>
              <w:rPr>
                <w:sz w:val="20"/>
                <w:szCs w:val="20"/>
                <w:color w:val="auto"/>
              </w:rPr>
            </w:pPr>
            <w:r>
              <w:rPr>
                <w:rFonts w:ascii="Arial" w:cs="Arial" w:eastAsia="Arial" w:hAnsi="Arial"/>
                <w:sz w:val="20"/>
                <w:szCs w:val="20"/>
                <w:b w:val="1"/>
                <w:bCs w:val="1"/>
                <w:color w:val="00162F"/>
              </w:rPr>
              <w:t>5. Income Taxes</w:t>
            </w:r>
          </w:p>
        </w:tc>
        <w:tc>
          <w:tcPr>
            <w:tcW w:w="960" w:type="dxa"/>
            <w:vAlign w:val="bottom"/>
            <w:tcBorders>
              <w:top w:val="single" w:sz="8" w:color="EDEDED"/>
            </w:tcBorders>
          </w:tcPr>
          <w:p>
            <w:pPr>
              <w:spacing w:after="0"/>
              <w:rPr>
                <w:sz w:val="24"/>
                <w:szCs w:val="24"/>
                <w:color w:val="auto"/>
              </w:rPr>
            </w:pPr>
          </w:p>
        </w:tc>
        <w:tc>
          <w:tcPr>
            <w:tcW w:w="100" w:type="dxa"/>
            <w:vAlign w:val="bottom"/>
            <w:tcBorders>
              <w:top w:val="single" w:sz="8" w:color="EDEDED"/>
            </w:tcBorders>
          </w:tcPr>
          <w:p>
            <w:pPr>
              <w:spacing w:after="0"/>
              <w:rPr>
                <w:sz w:val="24"/>
                <w:szCs w:val="24"/>
                <w:color w:val="auto"/>
              </w:rPr>
            </w:pPr>
          </w:p>
        </w:tc>
        <w:tc>
          <w:tcPr>
            <w:tcW w:w="380" w:type="dxa"/>
            <w:vAlign w:val="bottom"/>
            <w:tcBorders>
              <w:top w:val="single" w:sz="8" w:color="00162F"/>
            </w:tcBorders>
          </w:tcPr>
          <w:p>
            <w:pPr>
              <w:spacing w:after="0"/>
              <w:rPr>
                <w:sz w:val="24"/>
                <w:szCs w:val="24"/>
                <w:color w:val="auto"/>
              </w:rPr>
            </w:pPr>
          </w:p>
        </w:tc>
        <w:tc>
          <w:tcPr>
            <w:tcW w:w="80" w:type="dxa"/>
            <w:vAlign w:val="bottom"/>
            <w:tcBorders>
              <w:top w:val="single" w:sz="8" w:color="00162F"/>
            </w:tcBorders>
          </w:tcPr>
          <w:p>
            <w:pPr>
              <w:spacing w:after="0"/>
              <w:rPr>
                <w:sz w:val="24"/>
                <w:szCs w:val="24"/>
                <w:color w:val="auto"/>
              </w:rPr>
            </w:pPr>
          </w:p>
        </w:tc>
        <w:tc>
          <w:tcPr>
            <w:tcW w:w="340" w:type="dxa"/>
            <w:vAlign w:val="bottom"/>
            <w:tcBorders>
              <w:top w:val="single" w:sz="8" w:color="00162F"/>
            </w:tcBorders>
          </w:tcPr>
          <w:p>
            <w:pPr>
              <w:spacing w:after="0"/>
              <w:rPr>
                <w:sz w:val="24"/>
                <w:szCs w:val="24"/>
                <w:color w:val="auto"/>
              </w:rPr>
            </w:pPr>
          </w:p>
        </w:tc>
        <w:tc>
          <w:tcPr>
            <w:tcW w:w="860" w:type="dxa"/>
            <w:vAlign w:val="bottom"/>
            <w:tcBorders>
              <w:top w:val="single" w:sz="8" w:color="00162F"/>
            </w:tcBorders>
          </w:tcPr>
          <w:p>
            <w:pPr>
              <w:spacing w:after="0"/>
              <w:rPr>
                <w:sz w:val="24"/>
                <w:szCs w:val="24"/>
                <w:color w:val="auto"/>
              </w:rPr>
            </w:pPr>
          </w:p>
        </w:tc>
        <w:tc>
          <w:tcPr>
            <w:tcW w:w="80" w:type="dxa"/>
            <w:vAlign w:val="bottom"/>
            <w:tcBorders>
              <w:top w:val="single" w:sz="8" w:color="EDEDED"/>
            </w:tcBorders>
          </w:tcPr>
          <w:p>
            <w:pPr>
              <w:spacing w:after="0"/>
              <w:rPr>
                <w:sz w:val="24"/>
                <w:szCs w:val="24"/>
                <w:color w:val="auto"/>
              </w:rPr>
            </w:pPr>
          </w:p>
        </w:tc>
        <w:tc>
          <w:tcPr>
            <w:tcW w:w="160" w:type="dxa"/>
            <w:vAlign w:val="bottom"/>
            <w:tcBorders>
              <w:top w:val="single" w:sz="8" w:color="00162F"/>
            </w:tcBorders>
          </w:tcPr>
          <w:p>
            <w:pPr>
              <w:spacing w:after="0"/>
              <w:rPr>
                <w:sz w:val="24"/>
                <w:szCs w:val="24"/>
                <w:color w:val="auto"/>
              </w:rPr>
            </w:pPr>
          </w:p>
        </w:tc>
        <w:tc>
          <w:tcPr>
            <w:tcW w:w="60" w:type="dxa"/>
            <w:vAlign w:val="bottom"/>
            <w:tcBorders>
              <w:top w:val="single" w:sz="8" w:color="00162F"/>
            </w:tcBorders>
          </w:tcPr>
          <w:p>
            <w:pPr>
              <w:spacing w:after="0"/>
              <w:rPr>
                <w:sz w:val="24"/>
                <w:szCs w:val="24"/>
                <w:color w:val="auto"/>
              </w:rPr>
            </w:pPr>
          </w:p>
        </w:tc>
        <w:tc>
          <w:tcPr>
            <w:tcW w:w="500" w:type="dxa"/>
            <w:vAlign w:val="bottom"/>
            <w:tcBorders>
              <w:top w:val="single" w:sz="8" w:color="00162F"/>
            </w:tcBorders>
          </w:tcPr>
          <w:p>
            <w:pPr>
              <w:spacing w:after="0"/>
              <w:rPr>
                <w:sz w:val="24"/>
                <w:szCs w:val="24"/>
                <w:color w:val="auto"/>
              </w:rPr>
            </w:pPr>
          </w:p>
        </w:tc>
        <w:tc>
          <w:tcPr>
            <w:tcW w:w="940" w:type="dxa"/>
            <w:vAlign w:val="bottom"/>
            <w:tcBorders>
              <w:top w:val="single" w:sz="8" w:color="00162F"/>
            </w:tcBorders>
          </w:tcPr>
          <w:p>
            <w:pPr>
              <w:spacing w:after="0"/>
              <w:rPr>
                <w:sz w:val="24"/>
                <w:szCs w:val="24"/>
                <w:color w:val="auto"/>
              </w:rPr>
            </w:pPr>
          </w:p>
        </w:tc>
      </w:tr>
      <w:tr>
        <w:trPr>
          <w:trHeight w:val="317"/>
        </w:trPr>
        <w:tc>
          <w:tcPr>
            <w:tcW w:w="7180" w:type="dxa"/>
            <w:vAlign w:val="bottom"/>
            <w:gridSpan w:val="2"/>
          </w:tcPr>
          <w:p>
            <w:pPr>
              <w:ind w:left="260"/>
              <w:spacing w:after="0"/>
              <w:rPr>
                <w:sz w:val="20"/>
                <w:szCs w:val="20"/>
                <w:color w:val="auto"/>
              </w:rPr>
            </w:pPr>
            <w:r>
              <w:rPr>
                <w:rFonts w:ascii="Arial" w:cs="Arial" w:eastAsia="Arial" w:hAnsi="Arial"/>
                <w:sz w:val="20"/>
                <w:szCs w:val="20"/>
                <w:color w:val="00162F"/>
              </w:rPr>
              <w:t>The significant components of the income tax provision were (in millions):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1"/>
        </w:trPr>
        <w:tc>
          <w:tcPr>
            <w:tcW w:w="6220" w:type="dxa"/>
            <w:vAlign w:val="bottom"/>
          </w:tcPr>
          <w:p>
            <w:pPr>
              <w:spacing w:after="0"/>
              <w:rPr>
                <w:sz w:val="24"/>
                <w:szCs w:val="24"/>
                <w:color w:val="auto"/>
              </w:rPr>
            </w:pPr>
          </w:p>
        </w:tc>
        <w:tc>
          <w:tcPr>
            <w:tcW w:w="960" w:type="dxa"/>
            <w:vAlign w:val="bottom"/>
            <w:tcBorders>
              <w:bottom w:val="single" w:sz="8" w:color="00162F"/>
            </w:tcBorders>
          </w:tcPr>
          <w:p>
            <w:pPr>
              <w:spacing w:after="0"/>
              <w:rPr>
                <w:sz w:val="24"/>
                <w:szCs w:val="24"/>
                <w:color w:val="auto"/>
              </w:rPr>
            </w:pPr>
          </w:p>
        </w:tc>
        <w:tc>
          <w:tcPr>
            <w:tcW w:w="100" w:type="dxa"/>
            <w:vAlign w:val="bottom"/>
            <w:tcBorders>
              <w:bottom w:val="single" w:sz="8" w:color="00162F"/>
            </w:tcBorders>
          </w:tcPr>
          <w:p>
            <w:pPr>
              <w:spacing w:after="0"/>
              <w:rPr>
                <w:sz w:val="24"/>
                <w:szCs w:val="24"/>
                <w:color w:val="auto"/>
              </w:rPr>
            </w:pPr>
          </w:p>
        </w:tc>
        <w:tc>
          <w:tcPr>
            <w:tcW w:w="2460" w:type="dxa"/>
            <w:vAlign w:val="bottom"/>
            <w:tcBorders>
              <w:bottom w:val="single" w:sz="8" w:color="00162F"/>
            </w:tcBorders>
            <w:gridSpan w:val="8"/>
          </w:tcPr>
          <w:p>
            <w:pPr>
              <w:jc w:val="right"/>
              <w:ind w:right="228"/>
              <w:spacing w:after="0"/>
              <w:rPr>
                <w:sz w:val="20"/>
                <w:szCs w:val="20"/>
                <w:color w:val="auto"/>
              </w:rPr>
            </w:pPr>
            <w:r>
              <w:rPr>
                <w:rFonts w:ascii="Arial" w:cs="Arial" w:eastAsia="Arial" w:hAnsi="Arial"/>
                <w:sz w:val="16"/>
                <w:szCs w:val="16"/>
                <w:b w:val="1"/>
                <w:bCs w:val="1"/>
                <w:color w:val="00162F"/>
              </w:rPr>
              <w:t>Year Ended December 31,</w:t>
            </w:r>
          </w:p>
        </w:tc>
        <w:tc>
          <w:tcPr>
            <w:tcW w:w="940" w:type="dxa"/>
            <w:vAlign w:val="bottom"/>
            <w:tcBorders>
              <w:bottom w:val="single" w:sz="8" w:color="00162F"/>
            </w:tcBorders>
          </w:tcPr>
          <w:p>
            <w:pPr>
              <w:spacing w:after="0"/>
              <w:rPr>
                <w:sz w:val="24"/>
                <w:szCs w:val="24"/>
                <w:color w:val="auto"/>
              </w:rPr>
            </w:pPr>
          </w:p>
        </w:tc>
      </w:tr>
      <w:tr>
        <w:trPr>
          <w:trHeight w:val="232"/>
        </w:trPr>
        <w:tc>
          <w:tcPr>
            <w:tcW w:w="6220" w:type="dxa"/>
            <w:vAlign w:val="bottom"/>
            <w:tcBorders>
              <w:bottom w:val="single" w:sz="8" w:color="EDEDED"/>
            </w:tcBorders>
          </w:tcPr>
          <w:p>
            <w:pPr>
              <w:spacing w:after="0"/>
              <w:rPr>
                <w:sz w:val="20"/>
                <w:szCs w:val="20"/>
                <w:color w:val="auto"/>
              </w:rPr>
            </w:pPr>
          </w:p>
        </w:tc>
        <w:tc>
          <w:tcPr>
            <w:tcW w:w="96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2025</w:t>
            </w:r>
          </w:p>
        </w:tc>
        <w:tc>
          <w:tcPr>
            <w:tcW w:w="100" w:type="dxa"/>
            <w:vAlign w:val="bottom"/>
            <w:tcBorders>
              <w:bottom w:val="single" w:sz="8" w:color="00162F"/>
            </w:tcBorders>
          </w:tcPr>
          <w:p>
            <w:pPr>
              <w:spacing w:after="0"/>
              <w:rPr>
                <w:sz w:val="20"/>
                <w:szCs w:val="20"/>
                <w:color w:val="auto"/>
              </w:rPr>
            </w:pPr>
          </w:p>
        </w:tc>
        <w:tc>
          <w:tcPr>
            <w:tcW w:w="380" w:type="dxa"/>
            <w:vAlign w:val="bottom"/>
            <w:tcBorders>
              <w:bottom w:val="single" w:sz="8" w:color="00162F"/>
            </w:tcBorders>
          </w:tcPr>
          <w:p>
            <w:pPr>
              <w:spacing w:after="0"/>
              <w:rPr>
                <w:sz w:val="20"/>
                <w:szCs w:val="20"/>
                <w:color w:val="auto"/>
              </w:rPr>
            </w:pPr>
          </w:p>
        </w:tc>
        <w:tc>
          <w:tcPr>
            <w:tcW w:w="80" w:type="dxa"/>
            <w:vAlign w:val="bottom"/>
            <w:tcBorders>
              <w:bottom w:val="single" w:sz="8" w:color="EDEDED"/>
            </w:tcBorders>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860" w:type="dxa"/>
            <w:vAlign w:val="bottom"/>
            <w:tcBorders>
              <w:bottom w:val="single" w:sz="8" w:color="00162F"/>
            </w:tcBorders>
          </w:tcPr>
          <w:p>
            <w:pPr>
              <w:jc w:val="right"/>
              <w:ind w:right="223"/>
              <w:spacing w:after="0"/>
              <w:rPr>
                <w:sz w:val="20"/>
                <w:szCs w:val="20"/>
                <w:color w:val="auto"/>
              </w:rPr>
            </w:pPr>
            <w:r>
              <w:rPr>
                <w:rFonts w:ascii="Arial" w:cs="Arial" w:eastAsia="Arial" w:hAnsi="Arial"/>
                <w:sz w:val="16"/>
                <w:szCs w:val="16"/>
                <w:b w:val="1"/>
                <w:bCs w:val="1"/>
                <w:color w:val="00162F"/>
              </w:rPr>
              <w:t>2024</w:t>
            </w:r>
          </w:p>
        </w:tc>
        <w:tc>
          <w:tcPr>
            <w:tcW w:w="80" w:type="dxa"/>
            <w:vAlign w:val="bottom"/>
            <w:tcBorders>
              <w:bottom w:val="single" w:sz="8" w:color="00162F"/>
            </w:tcBorders>
          </w:tcPr>
          <w:p>
            <w:pPr>
              <w:spacing w:after="0"/>
              <w:rPr>
                <w:sz w:val="20"/>
                <w:szCs w:val="20"/>
                <w:color w:val="auto"/>
              </w:rPr>
            </w:pPr>
          </w:p>
        </w:tc>
        <w:tc>
          <w:tcPr>
            <w:tcW w:w="160" w:type="dxa"/>
            <w:vAlign w:val="bottom"/>
            <w:tcBorders>
              <w:bottom w:val="single" w:sz="8" w:color="00162F"/>
            </w:tcBorders>
          </w:tcPr>
          <w:p>
            <w:pPr>
              <w:spacing w:after="0"/>
              <w:rPr>
                <w:sz w:val="20"/>
                <w:szCs w:val="20"/>
                <w:color w:val="auto"/>
              </w:rPr>
            </w:pPr>
          </w:p>
        </w:tc>
        <w:tc>
          <w:tcPr>
            <w:tcW w:w="60" w:type="dxa"/>
            <w:vAlign w:val="bottom"/>
            <w:tcBorders>
              <w:bottom w:val="single" w:sz="8" w:color="EDEDED"/>
            </w:tcBorders>
          </w:tcPr>
          <w:p>
            <w:pPr>
              <w:spacing w:after="0"/>
              <w:rPr>
                <w:sz w:val="20"/>
                <w:szCs w:val="20"/>
                <w:color w:val="auto"/>
              </w:rPr>
            </w:pPr>
          </w:p>
        </w:tc>
        <w:tc>
          <w:tcPr>
            <w:tcW w:w="500" w:type="dxa"/>
            <w:vAlign w:val="bottom"/>
            <w:tcBorders>
              <w:bottom w:val="single" w:sz="8" w:color="00162F"/>
            </w:tcBorders>
          </w:tcPr>
          <w:p>
            <w:pPr>
              <w:spacing w:after="0"/>
              <w:rPr>
                <w:sz w:val="20"/>
                <w:szCs w:val="20"/>
                <w:color w:val="auto"/>
              </w:rPr>
            </w:pPr>
          </w:p>
        </w:tc>
        <w:tc>
          <w:tcPr>
            <w:tcW w:w="940" w:type="dxa"/>
            <w:vAlign w:val="bottom"/>
            <w:tcBorders>
              <w:bottom w:val="single" w:sz="8" w:color="00162F"/>
            </w:tcBorders>
          </w:tcPr>
          <w:p>
            <w:pPr>
              <w:jc w:val="right"/>
              <w:ind w:right="442"/>
              <w:spacing w:after="0"/>
              <w:rPr>
                <w:sz w:val="20"/>
                <w:szCs w:val="20"/>
                <w:color w:val="auto"/>
              </w:rPr>
            </w:pPr>
            <w:r>
              <w:rPr>
                <w:rFonts w:ascii="Arial" w:cs="Arial" w:eastAsia="Arial" w:hAnsi="Arial"/>
                <w:sz w:val="16"/>
                <w:szCs w:val="16"/>
                <w:b w:val="1"/>
                <w:bCs w:val="1"/>
                <w:color w:val="00162F"/>
              </w:rPr>
              <w:t>2023</w:t>
            </w:r>
          </w:p>
        </w:tc>
      </w:tr>
      <w:tr>
        <w:trPr>
          <w:trHeight w:val="267"/>
        </w:trPr>
        <w:tc>
          <w:tcPr>
            <w:tcW w:w="62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Deferred income tax provision:</w:t>
            </w:r>
          </w:p>
        </w:tc>
        <w:tc>
          <w:tcPr>
            <w:tcW w:w="960" w:type="dxa"/>
            <w:vAlign w:val="bottom"/>
            <w:tcBorders>
              <w:bottom w:val="single" w:sz="8" w:color="EDEDED"/>
            </w:tcBorders>
            <w:shd w:val="clear" w:color="auto" w:fill="EDEDED"/>
          </w:tcPr>
          <w:p>
            <w:pPr>
              <w:spacing w:after="0"/>
              <w:rPr>
                <w:sz w:val="23"/>
                <w:szCs w:val="23"/>
                <w:color w:val="auto"/>
              </w:rPr>
            </w:pPr>
          </w:p>
        </w:tc>
        <w:tc>
          <w:tcPr>
            <w:tcW w:w="100" w:type="dxa"/>
            <w:vAlign w:val="bottom"/>
            <w:tcBorders>
              <w:bottom w:val="single" w:sz="8" w:color="EDEDED"/>
            </w:tcBorders>
            <w:shd w:val="clear" w:color="auto" w:fill="EDEDED"/>
          </w:tcPr>
          <w:p>
            <w:pPr>
              <w:spacing w:after="0"/>
              <w:rPr>
                <w:sz w:val="23"/>
                <w:szCs w:val="23"/>
                <w:color w:val="auto"/>
              </w:rPr>
            </w:pPr>
          </w:p>
        </w:tc>
        <w:tc>
          <w:tcPr>
            <w:tcW w:w="38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340" w:type="dxa"/>
            <w:vAlign w:val="bottom"/>
            <w:tcBorders>
              <w:bottom w:val="single" w:sz="8" w:color="EDEDED"/>
            </w:tcBorders>
            <w:shd w:val="clear" w:color="auto" w:fill="EDEDED"/>
          </w:tcPr>
          <w:p>
            <w:pPr>
              <w:spacing w:after="0"/>
              <w:rPr>
                <w:sz w:val="23"/>
                <w:szCs w:val="23"/>
                <w:color w:val="auto"/>
              </w:rPr>
            </w:pPr>
          </w:p>
        </w:tc>
        <w:tc>
          <w:tcPr>
            <w:tcW w:w="860" w:type="dxa"/>
            <w:vAlign w:val="bottom"/>
            <w:tcBorders>
              <w:bottom w:val="single" w:sz="8" w:color="EDEDED"/>
            </w:tcBorders>
            <w:shd w:val="clear" w:color="auto" w:fill="EDEDED"/>
          </w:tcPr>
          <w:p>
            <w:pPr>
              <w:spacing w:after="0"/>
              <w:rPr>
                <w:sz w:val="23"/>
                <w:szCs w:val="23"/>
                <w:color w:val="auto"/>
              </w:rPr>
            </w:pPr>
          </w:p>
        </w:tc>
        <w:tc>
          <w:tcPr>
            <w:tcW w:w="8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c>
          <w:tcPr>
            <w:tcW w:w="500" w:type="dxa"/>
            <w:vAlign w:val="bottom"/>
            <w:tcBorders>
              <w:bottom w:val="single" w:sz="8" w:color="EDEDED"/>
            </w:tcBorders>
            <w:shd w:val="clear" w:color="auto" w:fill="EDEDED"/>
          </w:tcPr>
          <w:p>
            <w:pPr>
              <w:spacing w:after="0"/>
              <w:rPr>
                <w:sz w:val="23"/>
                <w:szCs w:val="23"/>
                <w:color w:val="auto"/>
              </w:rPr>
            </w:pPr>
          </w:p>
        </w:tc>
        <w:tc>
          <w:tcPr>
            <w:tcW w:w="940" w:type="dxa"/>
            <w:vAlign w:val="bottom"/>
            <w:tcBorders>
              <w:bottom w:val="single" w:sz="8" w:color="EDEDED"/>
            </w:tcBorders>
            <w:shd w:val="clear" w:color="auto" w:fill="EDEDED"/>
          </w:tcPr>
          <w:p>
            <w:pPr>
              <w:spacing w:after="0"/>
              <w:rPr>
                <w:sz w:val="23"/>
                <w:szCs w:val="23"/>
                <w:color w:val="auto"/>
              </w:rPr>
            </w:pPr>
          </w:p>
        </w:tc>
      </w:tr>
      <w:tr>
        <w:trPr>
          <w:trHeight w:val="293"/>
        </w:trPr>
        <w:tc>
          <w:tcPr>
            <w:tcW w:w="6220" w:type="dxa"/>
            <w:vAlign w:val="bottom"/>
          </w:tcPr>
          <w:p>
            <w:pPr>
              <w:ind w:left="180"/>
              <w:spacing w:after="0"/>
              <w:rPr>
                <w:sz w:val="20"/>
                <w:szCs w:val="20"/>
                <w:color w:val="auto"/>
              </w:rPr>
            </w:pPr>
            <w:r>
              <w:rPr>
                <w:rFonts w:ascii="Arial" w:cs="Arial" w:eastAsia="Arial" w:hAnsi="Arial"/>
                <w:sz w:val="20"/>
                <w:szCs w:val="20"/>
                <w:color w:val="00162F"/>
              </w:rPr>
              <w:t>Federal</w:t>
            </w:r>
          </w:p>
        </w:tc>
        <w:tc>
          <w:tcPr>
            <w:tcW w:w="960" w:type="dxa"/>
            <w:vAlign w:val="bottom"/>
          </w:tcPr>
          <w:p>
            <w:pPr>
              <w:jc w:val="right"/>
              <w:ind w:right="708"/>
              <w:spacing w:after="0"/>
              <w:rPr>
                <w:sz w:val="20"/>
                <w:szCs w:val="20"/>
                <w:color w:val="auto"/>
              </w:rPr>
            </w:pPr>
            <w:r>
              <w:rPr>
                <w:rFonts w:ascii="Arial" w:cs="Arial" w:eastAsia="Arial" w:hAnsi="Arial"/>
                <w:sz w:val="20"/>
                <w:szCs w:val="20"/>
                <w:color w:val="00162F"/>
              </w:rPr>
              <w:t>$</w:t>
            </w:r>
          </w:p>
        </w:tc>
        <w:tc>
          <w:tcPr>
            <w:tcW w:w="480" w:type="dxa"/>
            <w:vAlign w:val="bottom"/>
            <w:gridSpan w:val="2"/>
          </w:tcPr>
          <w:p>
            <w:pPr>
              <w:jc w:val="right"/>
              <w:ind w:right="1"/>
              <w:spacing w:after="0"/>
              <w:rPr>
                <w:sz w:val="20"/>
                <w:szCs w:val="20"/>
                <w:color w:val="auto"/>
              </w:rPr>
            </w:pPr>
            <w:r>
              <w:rPr>
                <w:rFonts w:ascii="Arial" w:cs="Arial" w:eastAsia="Arial" w:hAnsi="Arial"/>
                <w:sz w:val="20"/>
                <w:szCs w:val="20"/>
                <w:color w:val="00162F"/>
              </w:rPr>
              <w:t>183</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gridSpan w:val="3"/>
          </w:tcPr>
          <w:p>
            <w:pPr>
              <w:jc w:val="right"/>
              <w:ind w:right="100"/>
              <w:spacing w:after="0"/>
              <w:rPr>
                <w:sz w:val="20"/>
                <w:szCs w:val="20"/>
                <w:color w:val="auto"/>
              </w:rPr>
            </w:pPr>
            <w:r>
              <w:rPr>
                <w:rFonts w:ascii="Arial" w:cs="Arial" w:eastAsia="Arial" w:hAnsi="Arial"/>
                <w:sz w:val="20"/>
                <w:szCs w:val="20"/>
                <w:color w:val="00162F"/>
              </w:rPr>
              <w:t>391</w:t>
            </w:r>
          </w:p>
        </w:tc>
        <w:tc>
          <w:tcPr>
            <w:tcW w:w="60" w:type="dxa"/>
            <w:vAlign w:val="bottom"/>
          </w:tcPr>
          <w:p>
            <w:pPr>
              <w:spacing w:after="0"/>
              <w:rPr>
                <w:sz w:val="24"/>
                <w:szCs w:val="24"/>
                <w:color w:val="auto"/>
              </w:rPr>
            </w:pPr>
          </w:p>
        </w:tc>
        <w:tc>
          <w:tcPr>
            <w:tcW w:w="500" w:type="dxa"/>
            <w:vAlign w:val="bottom"/>
          </w:tcPr>
          <w:p>
            <w:pPr>
              <w:jc w:val="right"/>
              <w:ind w:right="248"/>
              <w:spacing w:after="0"/>
              <w:rPr>
                <w:sz w:val="20"/>
                <w:szCs w:val="20"/>
                <w:color w:val="auto"/>
              </w:rPr>
            </w:pPr>
            <w:r>
              <w:rPr>
                <w:rFonts w:ascii="Arial" w:cs="Arial" w:eastAsia="Arial" w:hAnsi="Arial"/>
                <w:sz w:val="20"/>
                <w:szCs w:val="20"/>
                <w:color w:val="00162F"/>
              </w:rPr>
              <w:t>$</w:t>
            </w:r>
          </w:p>
        </w:tc>
        <w:tc>
          <w:tcPr>
            <w:tcW w:w="940" w:type="dxa"/>
            <w:vAlign w:val="bottom"/>
          </w:tcPr>
          <w:p>
            <w:pPr>
              <w:jc w:val="right"/>
              <w:spacing w:after="0"/>
              <w:rPr>
                <w:sz w:val="20"/>
                <w:szCs w:val="20"/>
                <w:color w:val="auto"/>
              </w:rPr>
            </w:pPr>
            <w:r>
              <w:rPr>
                <w:rFonts w:ascii="Arial" w:cs="Arial" w:eastAsia="Arial" w:hAnsi="Arial"/>
                <w:sz w:val="20"/>
                <w:szCs w:val="20"/>
                <w:color w:val="00162F"/>
              </w:rPr>
              <w:t>361</w:t>
            </w:r>
          </w:p>
        </w:tc>
      </w:tr>
      <w:tr>
        <w:trPr>
          <w:trHeight w:val="311"/>
        </w:trPr>
        <w:tc>
          <w:tcPr>
            <w:tcW w:w="622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State and local</w:t>
            </w:r>
          </w:p>
        </w:tc>
        <w:tc>
          <w:tcPr>
            <w:tcW w:w="960" w:type="dxa"/>
            <w:vAlign w:val="bottom"/>
            <w:tcBorders>
              <w:bottom w:val="single" w:sz="8" w:color="00162F"/>
            </w:tcBorders>
            <w:shd w:val="clear" w:color="auto" w:fill="EDEDED"/>
          </w:tcPr>
          <w:p>
            <w:pPr>
              <w:spacing w:after="0"/>
              <w:rPr>
                <w:sz w:val="24"/>
                <w:szCs w:val="24"/>
                <w:color w:val="auto"/>
              </w:rPr>
            </w:pPr>
          </w:p>
        </w:tc>
        <w:tc>
          <w:tcPr>
            <w:tcW w:w="480" w:type="dxa"/>
            <w:vAlign w:val="bottom"/>
            <w:tcBorders>
              <w:bottom w:val="single" w:sz="8" w:color="00162F"/>
            </w:tcBorders>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14</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gridSpan w:val="3"/>
            <w:shd w:val="clear" w:color="auto" w:fill="EDEDED"/>
          </w:tcPr>
          <w:p>
            <w:pPr>
              <w:jc w:val="right"/>
              <w:ind w:right="100"/>
              <w:spacing w:after="0"/>
              <w:rPr>
                <w:sz w:val="20"/>
                <w:szCs w:val="20"/>
                <w:color w:val="auto"/>
              </w:rPr>
            </w:pPr>
            <w:r>
              <w:rPr>
                <w:rFonts w:ascii="Arial" w:cs="Arial" w:eastAsia="Arial" w:hAnsi="Arial"/>
                <w:sz w:val="20"/>
                <w:szCs w:val="20"/>
                <w:color w:val="00162F"/>
              </w:rPr>
              <w:t>35</w:t>
            </w:r>
          </w:p>
        </w:tc>
        <w:tc>
          <w:tcPr>
            <w:tcW w:w="60" w:type="dxa"/>
            <w:vAlign w:val="bottom"/>
            <w:tcBorders>
              <w:bottom w:val="single" w:sz="8" w:color="EDEDED"/>
            </w:tcBorders>
            <w:shd w:val="clear" w:color="auto" w:fill="EDEDED"/>
          </w:tcPr>
          <w:p>
            <w:pPr>
              <w:spacing w:after="0"/>
              <w:rPr>
                <w:sz w:val="24"/>
                <w:szCs w:val="24"/>
                <w:color w:val="auto"/>
              </w:rPr>
            </w:pPr>
          </w:p>
        </w:tc>
        <w:tc>
          <w:tcPr>
            <w:tcW w:w="500" w:type="dxa"/>
            <w:vAlign w:val="bottom"/>
            <w:tcBorders>
              <w:bottom w:val="single" w:sz="8" w:color="00162F"/>
            </w:tcBorders>
            <w:shd w:val="clear" w:color="auto" w:fill="EDEDED"/>
          </w:tcPr>
          <w:p>
            <w:pPr>
              <w:spacing w:after="0"/>
              <w:rPr>
                <w:sz w:val="24"/>
                <w:szCs w:val="24"/>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33</w:t>
            </w:r>
          </w:p>
        </w:tc>
      </w:tr>
      <w:tr>
        <w:trPr>
          <w:trHeight w:val="257"/>
        </w:trPr>
        <w:tc>
          <w:tcPr>
            <w:tcW w:w="6220" w:type="dxa"/>
            <w:vAlign w:val="bottom"/>
            <w:tcBorders>
              <w:bottom w:val="single" w:sz="8" w:color="EDEDED"/>
            </w:tcBorders>
          </w:tcPr>
          <w:p>
            <w:pPr>
              <w:ind w:left="400"/>
              <w:spacing w:after="0"/>
              <w:rPr>
                <w:sz w:val="20"/>
                <w:szCs w:val="20"/>
                <w:color w:val="auto"/>
              </w:rPr>
            </w:pPr>
            <w:r>
              <w:rPr>
                <w:rFonts w:ascii="Arial" w:cs="Arial" w:eastAsia="Arial" w:hAnsi="Arial"/>
                <w:sz w:val="20"/>
                <w:szCs w:val="20"/>
                <w:color w:val="00162F"/>
              </w:rPr>
              <w:t>Deferred income tax provision</w:t>
            </w:r>
          </w:p>
        </w:tc>
        <w:tc>
          <w:tcPr>
            <w:tcW w:w="960" w:type="dxa"/>
            <w:vAlign w:val="bottom"/>
            <w:tcBorders>
              <w:bottom w:val="single" w:sz="8" w:color="00162F"/>
            </w:tcBorders>
          </w:tcPr>
          <w:p>
            <w:pPr>
              <w:spacing w:after="0"/>
              <w:rPr>
                <w:sz w:val="22"/>
                <w:szCs w:val="22"/>
                <w:color w:val="auto"/>
              </w:rPr>
            </w:pPr>
          </w:p>
        </w:tc>
        <w:tc>
          <w:tcPr>
            <w:tcW w:w="480" w:type="dxa"/>
            <w:vAlign w:val="bottom"/>
            <w:tcBorders>
              <w:bottom w:val="single" w:sz="8" w:color="00162F"/>
            </w:tcBorders>
            <w:gridSpan w:val="2"/>
          </w:tcPr>
          <w:p>
            <w:pPr>
              <w:jc w:val="right"/>
              <w:ind w:right="1"/>
              <w:spacing w:after="0"/>
              <w:rPr>
                <w:sz w:val="20"/>
                <w:szCs w:val="20"/>
                <w:color w:val="auto"/>
              </w:rPr>
            </w:pPr>
            <w:r>
              <w:rPr>
                <w:rFonts w:ascii="Arial" w:cs="Arial" w:eastAsia="Arial" w:hAnsi="Arial"/>
                <w:sz w:val="20"/>
                <w:szCs w:val="20"/>
                <w:color w:val="00162F"/>
              </w:rPr>
              <w:t>197</w:t>
            </w:r>
          </w:p>
        </w:tc>
        <w:tc>
          <w:tcPr>
            <w:tcW w:w="80" w:type="dxa"/>
            <w:vAlign w:val="bottom"/>
            <w:tcBorders>
              <w:bottom w:val="single" w:sz="8" w:color="EDEDED"/>
            </w:tcBorders>
          </w:tcPr>
          <w:p>
            <w:pPr>
              <w:spacing w:after="0"/>
              <w:rPr>
                <w:sz w:val="22"/>
                <w:szCs w:val="22"/>
                <w:color w:val="auto"/>
              </w:rPr>
            </w:pPr>
          </w:p>
        </w:tc>
        <w:tc>
          <w:tcPr>
            <w:tcW w:w="340" w:type="dxa"/>
            <w:vAlign w:val="bottom"/>
            <w:tcBorders>
              <w:bottom w:val="single" w:sz="8" w:color="00162F"/>
            </w:tcBorders>
          </w:tcPr>
          <w:p>
            <w:pPr>
              <w:spacing w:after="0"/>
              <w:rPr>
                <w:sz w:val="22"/>
                <w:szCs w:val="22"/>
                <w:color w:val="auto"/>
              </w:rPr>
            </w:pPr>
          </w:p>
        </w:tc>
        <w:tc>
          <w:tcPr>
            <w:tcW w:w="1100" w:type="dxa"/>
            <w:vAlign w:val="bottom"/>
            <w:tcBorders>
              <w:bottom w:val="single" w:sz="8" w:color="00162F"/>
            </w:tcBorders>
            <w:gridSpan w:val="3"/>
          </w:tcPr>
          <w:p>
            <w:pPr>
              <w:jc w:val="right"/>
              <w:ind w:right="100"/>
              <w:spacing w:after="0"/>
              <w:rPr>
                <w:sz w:val="20"/>
                <w:szCs w:val="20"/>
                <w:color w:val="auto"/>
              </w:rPr>
            </w:pPr>
            <w:r>
              <w:rPr>
                <w:rFonts w:ascii="Arial" w:cs="Arial" w:eastAsia="Arial" w:hAnsi="Arial"/>
                <w:sz w:val="20"/>
                <w:szCs w:val="20"/>
                <w:color w:val="00162F"/>
              </w:rPr>
              <w:t>426</w:t>
            </w:r>
          </w:p>
        </w:tc>
        <w:tc>
          <w:tcPr>
            <w:tcW w:w="60" w:type="dxa"/>
            <w:vAlign w:val="bottom"/>
            <w:tcBorders>
              <w:bottom w:val="single" w:sz="8" w:color="EDEDED"/>
            </w:tcBorders>
          </w:tcPr>
          <w:p>
            <w:pPr>
              <w:spacing w:after="0"/>
              <w:rPr>
                <w:sz w:val="22"/>
                <w:szCs w:val="22"/>
                <w:color w:val="auto"/>
              </w:rPr>
            </w:pPr>
          </w:p>
        </w:tc>
        <w:tc>
          <w:tcPr>
            <w:tcW w:w="500" w:type="dxa"/>
            <w:vAlign w:val="bottom"/>
            <w:tcBorders>
              <w:bottom w:val="single" w:sz="8" w:color="00162F"/>
            </w:tcBorders>
          </w:tcPr>
          <w:p>
            <w:pPr>
              <w:spacing w:after="0"/>
              <w:rPr>
                <w:sz w:val="22"/>
                <w:szCs w:val="22"/>
                <w:color w:val="auto"/>
              </w:rPr>
            </w:pPr>
          </w:p>
        </w:tc>
        <w:tc>
          <w:tcPr>
            <w:tcW w:w="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394</w:t>
            </w:r>
          </w:p>
        </w:tc>
      </w:tr>
      <w:tr>
        <w:trPr>
          <w:trHeight w:val="297"/>
        </w:trPr>
        <w:tc>
          <w:tcPr>
            <w:tcW w:w="62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Total income tax provision</w:t>
            </w:r>
          </w:p>
        </w:tc>
        <w:tc>
          <w:tcPr>
            <w:tcW w:w="960" w:type="dxa"/>
            <w:vAlign w:val="bottom"/>
            <w:tcBorders>
              <w:bottom w:val="single" w:sz="8" w:color="00162F"/>
            </w:tcBorders>
            <w:shd w:val="clear" w:color="auto" w:fill="EDEDED"/>
          </w:tcPr>
          <w:p>
            <w:pPr>
              <w:jc w:val="right"/>
              <w:ind w:right="708"/>
              <w:spacing w:after="0"/>
              <w:rPr>
                <w:sz w:val="20"/>
                <w:szCs w:val="20"/>
                <w:color w:val="auto"/>
              </w:rPr>
            </w:pPr>
            <w:r>
              <w:rPr>
                <w:rFonts w:ascii="Arial" w:cs="Arial" w:eastAsia="Arial" w:hAnsi="Arial"/>
                <w:sz w:val="20"/>
                <w:szCs w:val="20"/>
                <w:color w:val="00162F"/>
              </w:rPr>
              <w:t>$</w:t>
            </w:r>
          </w:p>
        </w:tc>
        <w:tc>
          <w:tcPr>
            <w:tcW w:w="480" w:type="dxa"/>
            <w:vAlign w:val="bottom"/>
            <w:tcBorders>
              <w:bottom w:val="single" w:sz="8" w:color="00162F"/>
            </w:tcBorders>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197</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gridSpan w:val="3"/>
            <w:shd w:val="clear" w:color="auto" w:fill="EDEDED"/>
          </w:tcPr>
          <w:p>
            <w:pPr>
              <w:jc w:val="right"/>
              <w:ind w:right="100"/>
              <w:spacing w:after="0"/>
              <w:rPr>
                <w:sz w:val="20"/>
                <w:szCs w:val="20"/>
                <w:color w:val="auto"/>
              </w:rPr>
            </w:pPr>
            <w:r>
              <w:rPr>
                <w:rFonts w:ascii="Arial" w:cs="Arial" w:eastAsia="Arial" w:hAnsi="Arial"/>
                <w:sz w:val="20"/>
                <w:szCs w:val="20"/>
                <w:color w:val="00162F"/>
              </w:rPr>
              <w:t>426</w:t>
            </w:r>
          </w:p>
        </w:tc>
        <w:tc>
          <w:tcPr>
            <w:tcW w:w="60" w:type="dxa"/>
            <w:vAlign w:val="bottom"/>
            <w:tcBorders>
              <w:bottom w:val="single" w:sz="8" w:color="EDEDED"/>
            </w:tcBorders>
            <w:shd w:val="clear" w:color="auto" w:fill="EDEDED"/>
          </w:tcPr>
          <w:p>
            <w:pPr>
              <w:spacing w:after="0"/>
              <w:rPr>
                <w:sz w:val="24"/>
                <w:szCs w:val="24"/>
                <w:color w:val="auto"/>
              </w:rPr>
            </w:pPr>
          </w:p>
        </w:tc>
        <w:tc>
          <w:tcPr>
            <w:tcW w:w="500" w:type="dxa"/>
            <w:vAlign w:val="bottom"/>
            <w:tcBorders>
              <w:bottom w:val="single" w:sz="8" w:color="00162F"/>
            </w:tcBorders>
            <w:shd w:val="clear" w:color="auto" w:fill="EDEDED"/>
          </w:tcPr>
          <w:p>
            <w:pPr>
              <w:jc w:val="right"/>
              <w:ind w:right="248"/>
              <w:spacing w:after="0"/>
              <w:rPr>
                <w:sz w:val="20"/>
                <w:szCs w:val="20"/>
                <w:color w:val="auto"/>
              </w:rPr>
            </w:pPr>
            <w:r>
              <w:rPr>
                <w:rFonts w:ascii="Arial" w:cs="Arial" w:eastAsia="Arial" w:hAnsi="Arial"/>
                <w:sz w:val="20"/>
                <w:szCs w:val="20"/>
                <w:color w:val="00162F"/>
              </w:rPr>
              <w:t>$</w:t>
            </w: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4613275</wp:posOffset>
            </wp:positionH>
            <wp:positionV relativeFrom="paragraph">
              <wp:posOffset>-4022090</wp:posOffset>
            </wp:positionV>
            <wp:extent cx="218440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4">
                      <a:extLst>
                        <a:ext uri="{28A0092B-C50C-407E-A947-70E740481C1C}"/>
                      </a:extLst>
                    </a:blip>
                    <a:srcRect/>
                    <a:stretch>
                      <a:fillRect/>
                    </a:stretch>
                  </pic:blipFill>
                  <pic:spPr bwMode="auto">
                    <a:xfrm>
                      <a:off x="0" y="0"/>
                      <a:ext cx="2184400" cy="25400"/>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-2890520</wp:posOffset>
            </wp:positionV>
            <wp:extent cx="111569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5">
                      <a:extLst>
                        <a:ext uri="{28A0092B-C50C-407E-A947-70E740481C1C}"/>
                      </a:extLst>
                    </a:blip>
                    <a:srcRect/>
                    <a:stretch>
                      <a:fillRect/>
                    </a:stretch>
                  </pic:blipFill>
                  <pic:spPr bwMode="auto">
                    <a:xfrm>
                      <a:off x="0" y="0"/>
                      <a:ext cx="1115695" cy="25400"/>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-2513965</wp:posOffset>
            </wp:positionV>
            <wp:extent cx="111569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6">
                      <a:extLst>
                        <a:ext uri="{28A0092B-C50C-407E-A947-70E740481C1C}"/>
                      </a:extLst>
                    </a:blip>
                    <a:srcRect/>
                    <a:stretch>
                      <a:fillRect/>
                    </a:stretch>
                  </pic:blipFill>
                  <pic:spPr bwMode="auto">
                    <a:xfrm>
                      <a:off x="0" y="0"/>
                      <a:ext cx="1115695" cy="25400"/>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-2136775</wp:posOffset>
            </wp:positionV>
            <wp:extent cx="111569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7">
                      <a:extLst>
                        <a:ext uri="{28A0092B-C50C-407E-A947-70E740481C1C}"/>
                      </a:extLst>
                    </a:blip>
                    <a:srcRect/>
                    <a:stretch>
                      <a:fillRect/>
                    </a:stretch>
                  </pic:blipFill>
                  <pic:spPr bwMode="auto">
                    <a:xfrm>
                      <a:off x="0" y="0"/>
                      <a:ext cx="1115695" cy="25400"/>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-1960880</wp:posOffset>
            </wp:positionV>
            <wp:extent cx="2184400" cy="508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8">
                      <a:extLst>
                        <a:ext uri="{28A0092B-C50C-407E-A947-70E740481C1C}"/>
                      </a:extLst>
                    </a:blip>
                    <a:srcRect/>
                    <a:stretch>
                      <a:fillRect/>
                    </a:stretch>
                  </pic:blipFill>
                  <pic:spPr bwMode="auto">
                    <a:xfrm>
                      <a:off x="0" y="0"/>
                      <a:ext cx="2184400" cy="508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-974090</wp:posOffset>
            </wp:positionV>
            <wp:extent cx="2863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9">
                      <a:extLst>
                        <a:ext uri="{28A0092B-C50C-407E-A947-70E740481C1C}"/>
                      </a:extLst>
                    </a:blip>
                    <a:srcRect/>
                    <a:stretch>
                      <a:fillRect/>
                    </a:stretch>
                  </pic:blipFill>
                  <pic:spPr bwMode="auto">
                    <a:xfrm>
                      <a:off x="0" y="0"/>
                      <a:ext cx="28632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-408305</wp:posOffset>
            </wp:positionV>
            <wp:extent cx="19361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0">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-219710</wp:posOffset>
            </wp:positionV>
            <wp:extent cx="19361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1">
                      <a:extLst>
                        <a:ext uri="{28A0092B-C50C-407E-A947-70E740481C1C}"/>
                      </a:extLst>
                    </a:blip>
                    <a:srcRect/>
                    <a:stretch>
                      <a:fillRect/>
                    </a:stretch>
                  </pic:blipFill>
                  <pic:spPr bwMode="auto">
                    <a:xfrm>
                      <a:off x="0" y="0"/>
                      <a:ext cx="193611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-43815</wp:posOffset>
            </wp:positionV>
            <wp:extent cx="2863215" cy="50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2">
                      <a:extLst>
                        <a:ext uri="{28A0092B-C50C-407E-A947-70E740481C1C}"/>
                      </a:extLst>
                    </a:blip>
                    <a:srcRect/>
                    <a:stretch>
                      <a:fillRect/>
                    </a:stretch>
                  </pic:blipFill>
                  <pic:spPr bwMode="auto">
                    <a:xfrm>
                      <a:off x="0" y="0"/>
                      <a:ext cx="2863215" cy="50800"/>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income tax provision differed from amounts computed at the U.S. federal statutory income tax rate as follows (amounts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800" w:type="dxa"/>
            <w:vAlign w:val="bottom"/>
            <w:tcBorders>
              <w:bottom w:val="single" w:sz="8" w:color="00162F"/>
            </w:tcBorders>
          </w:tcPr>
          <w:p>
            <w:pPr>
              <w:spacing w:after="0"/>
              <w:rPr>
                <w:sz w:val="18"/>
                <w:szCs w:val="18"/>
                <w:color w:val="auto"/>
              </w:rPr>
            </w:pPr>
          </w:p>
        </w:tc>
        <w:tc>
          <w:tcPr>
            <w:tcW w:w="60" w:type="dxa"/>
            <w:vAlign w:val="bottom"/>
            <w:tcBorders>
              <w:bottom w:val="single" w:sz="8" w:color="00162F"/>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740" w:type="dxa"/>
            <w:vAlign w:val="bottom"/>
            <w:tcBorders>
              <w:bottom w:val="single" w:sz="8" w:color="00162F"/>
            </w:tcBorders>
          </w:tcPr>
          <w:p>
            <w:pPr>
              <w:spacing w:after="0"/>
              <w:rPr>
                <w:sz w:val="18"/>
                <w:szCs w:val="18"/>
                <w:color w:val="auto"/>
              </w:rPr>
            </w:pPr>
          </w:p>
        </w:tc>
        <w:tc>
          <w:tcPr>
            <w:tcW w:w="60" w:type="dxa"/>
            <w:vAlign w:val="bottom"/>
            <w:tcBorders>
              <w:bottom w:val="single" w:sz="8" w:color="00162F"/>
            </w:tcBorders>
          </w:tcPr>
          <w:p>
            <w:pPr>
              <w:spacing w:after="0"/>
              <w:rPr>
                <w:sz w:val="18"/>
                <w:szCs w:val="18"/>
                <w:color w:val="auto"/>
              </w:rPr>
            </w:pPr>
          </w:p>
        </w:tc>
        <w:tc>
          <w:tcPr>
            <w:tcW w:w="2000" w:type="dxa"/>
            <w:vAlign w:val="bottom"/>
            <w:tcBorders>
              <w:bottom w:val="single" w:sz="8" w:color="00162F"/>
            </w:tcBorders>
            <w:gridSpan w:val="5"/>
          </w:tcPr>
          <w:p>
            <w:pPr>
              <w:jc w:val="center"/>
              <w:spacing w:after="0"/>
              <w:rPr>
                <w:sz w:val="20"/>
                <w:szCs w:val="20"/>
                <w:color w:val="auto"/>
              </w:rPr>
            </w:pPr>
            <w:r>
              <w:rPr>
                <w:rFonts w:ascii="Arial" w:cs="Arial" w:eastAsia="Arial" w:hAnsi="Arial"/>
                <w:sz w:val="16"/>
                <w:szCs w:val="16"/>
                <w:b w:val="1"/>
                <w:bCs w:val="1"/>
                <w:color w:val="00162F"/>
                <w:w w:val="98"/>
              </w:rPr>
              <w:t>Year Ended December 31,</w:t>
            </w:r>
          </w:p>
        </w:tc>
        <w:tc>
          <w:tcPr>
            <w:tcW w:w="60" w:type="dxa"/>
            <w:vAlign w:val="bottom"/>
            <w:tcBorders>
              <w:bottom w:val="single" w:sz="8" w:color="00162F"/>
            </w:tcBorders>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800" w:type="dxa"/>
            <w:vAlign w:val="bottom"/>
            <w:tcBorders>
              <w:bottom w:val="single" w:sz="8" w:color="00162F"/>
            </w:tcBorders>
          </w:tcPr>
          <w:p>
            <w:pPr>
              <w:spacing w:after="0"/>
              <w:rPr>
                <w:sz w:val="18"/>
                <w:szCs w:val="18"/>
                <w:color w:val="auto"/>
              </w:rPr>
            </w:pPr>
          </w:p>
        </w:tc>
        <w:tc>
          <w:tcPr>
            <w:tcW w:w="60" w:type="dxa"/>
            <w:vAlign w:val="bottom"/>
            <w:tcBorders>
              <w:bottom w:val="single" w:sz="8" w:color="00162F"/>
            </w:tcBorders>
          </w:tcPr>
          <w:p>
            <w:pPr>
              <w:spacing w:after="0"/>
              <w:rPr>
                <w:sz w:val="18"/>
                <w:szCs w:val="18"/>
                <w:color w:val="auto"/>
              </w:rPr>
            </w:pPr>
          </w:p>
        </w:tc>
        <w:tc>
          <w:tcPr>
            <w:tcW w:w="220" w:type="dxa"/>
            <w:vAlign w:val="bottom"/>
            <w:tcBorders>
              <w:bottom w:val="single" w:sz="8" w:color="00162F"/>
            </w:tcBorders>
          </w:tcPr>
          <w:p>
            <w:pPr>
              <w:spacing w:after="0"/>
              <w:rPr>
                <w:sz w:val="18"/>
                <w:szCs w:val="18"/>
                <w:color w:val="auto"/>
              </w:rPr>
            </w:pPr>
          </w:p>
        </w:tc>
        <w:tc>
          <w:tcPr>
            <w:tcW w:w="740" w:type="dxa"/>
            <w:vAlign w:val="bottom"/>
            <w:tcBorders>
              <w:bottom w:val="single" w:sz="8" w:color="00162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560" w:type="dxa"/>
            <w:vAlign w:val="bottom"/>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gridSpan w:val="3"/>
          </w:tcPr>
          <w:p>
            <w:pPr>
              <w:jc w:val="right"/>
              <w:ind w:right="100"/>
              <w:spacing w:after="0"/>
              <w:rPr>
                <w:sz w:val="20"/>
                <w:szCs w:val="20"/>
                <w:color w:val="auto"/>
              </w:rPr>
            </w:pPr>
            <w:r>
              <w:rPr>
                <w:rFonts w:ascii="Arial" w:cs="Arial" w:eastAsia="Arial" w:hAnsi="Arial"/>
                <w:sz w:val="16"/>
                <w:szCs w:val="16"/>
                <w:b w:val="1"/>
                <w:bCs w:val="1"/>
                <w:color w:val="00162F"/>
              </w:rPr>
              <w:t>2025</w:t>
            </w:r>
          </w:p>
        </w:tc>
        <w:tc>
          <w:tcPr>
            <w:tcW w:w="740" w:type="dxa"/>
            <w:vAlign w:val="bottom"/>
            <w:tcBorders>
              <w:bottom w:val="single" w:sz="8" w:color="00162F"/>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gridSpan w:val="3"/>
          </w:tcPr>
          <w:p>
            <w:pPr>
              <w:jc w:val="right"/>
              <w:ind w:right="80"/>
              <w:spacing w:after="0"/>
              <w:rPr>
                <w:sz w:val="20"/>
                <w:szCs w:val="20"/>
                <w:color w:val="auto"/>
              </w:rPr>
            </w:pPr>
            <w:r>
              <w:rPr>
                <w:rFonts w:ascii="Arial" w:cs="Arial" w:eastAsia="Arial" w:hAnsi="Arial"/>
                <w:sz w:val="16"/>
                <w:szCs w:val="16"/>
                <w:b w:val="1"/>
                <w:bCs w:val="1"/>
                <w:color w:val="00162F"/>
              </w:rPr>
              <w:t>2024</w:t>
            </w:r>
          </w:p>
        </w:tc>
        <w:tc>
          <w:tcPr>
            <w:tcW w:w="740" w:type="dxa"/>
            <w:vAlign w:val="bottom"/>
            <w:tcBorders>
              <w:bottom w:val="single" w:sz="8" w:color="00162F"/>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gridSpan w:val="3"/>
          </w:tcPr>
          <w:p>
            <w:pPr>
              <w:jc w:val="right"/>
              <w:ind w:right="80"/>
              <w:spacing w:after="0"/>
              <w:rPr>
                <w:sz w:val="20"/>
                <w:szCs w:val="20"/>
                <w:color w:val="auto"/>
              </w:rPr>
            </w:pPr>
            <w:r>
              <w:rPr>
                <w:rFonts w:ascii="Arial" w:cs="Arial" w:eastAsia="Arial" w:hAnsi="Arial"/>
                <w:sz w:val="16"/>
                <w:szCs w:val="16"/>
                <w:b w:val="1"/>
                <w:bCs w:val="1"/>
                <w:color w:val="00162F"/>
              </w:rPr>
              <w:t>2023</w:t>
            </w:r>
          </w:p>
        </w:tc>
        <w:tc>
          <w:tcPr>
            <w:tcW w:w="740" w:type="dxa"/>
            <w:vAlign w:val="bottom"/>
            <w:tcBorders>
              <w:bottom w:val="single" w:sz="8" w:color="00162F"/>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6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800" w:type="dxa"/>
            <w:vAlign w:val="bottom"/>
            <w:tcBorders>
              <w:bottom w:val="single" w:sz="8" w:color="00162F"/>
            </w:tcBorders>
          </w:tcPr>
          <w:p>
            <w:pPr>
              <w:jc w:val="right"/>
              <w:ind w:right="105"/>
              <w:spacing w:after="0"/>
              <w:rPr>
                <w:sz w:val="20"/>
                <w:szCs w:val="20"/>
                <w:color w:val="auto"/>
              </w:rPr>
            </w:pPr>
            <w:r>
              <w:rPr>
                <w:rFonts w:ascii="Arial" w:cs="Arial" w:eastAsia="Arial" w:hAnsi="Arial"/>
                <w:sz w:val="16"/>
                <w:szCs w:val="16"/>
                <w:b w:val="1"/>
                <w:bCs w:val="1"/>
                <w:color w:val="00162F"/>
                <w:w w:val="95"/>
              </w:rPr>
              <w:t>Amount</w:t>
            </w:r>
          </w:p>
        </w:tc>
        <w:tc>
          <w:tcPr>
            <w:tcW w:w="60" w:type="dxa"/>
            <w:vAlign w:val="bottom"/>
            <w:tcBorders>
              <w:bottom w:val="single" w:sz="8" w:color="EDEDED"/>
            </w:tcBorders>
          </w:tcPr>
          <w:p>
            <w:pPr>
              <w:spacing w:after="0"/>
              <w:rPr>
                <w:sz w:val="20"/>
                <w:szCs w:val="20"/>
                <w:color w:val="auto"/>
              </w:rPr>
            </w:pPr>
          </w:p>
        </w:tc>
        <w:tc>
          <w:tcPr>
            <w:tcW w:w="240" w:type="dxa"/>
            <w:vAlign w:val="bottom"/>
            <w:tcBorders>
              <w:bottom w:val="single" w:sz="8" w:color="00162F"/>
            </w:tcBorders>
          </w:tcPr>
          <w:p>
            <w:pPr>
              <w:spacing w:after="0"/>
              <w:rPr>
                <w:sz w:val="20"/>
                <w:szCs w:val="20"/>
                <w:color w:val="auto"/>
              </w:rPr>
            </w:pPr>
          </w:p>
        </w:tc>
        <w:tc>
          <w:tcPr>
            <w:tcW w:w="740" w:type="dxa"/>
            <w:vAlign w:val="bottom"/>
            <w:tcBorders>
              <w:bottom w:val="single" w:sz="8" w:color="00162F"/>
            </w:tcBorders>
          </w:tcPr>
          <w:p>
            <w:pPr>
              <w:jc w:val="right"/>
              <w:ind w:right="223"/>
              <w:spacing w:after="0"/>
              <w:rPr>
                <w:sz w:val="20"/>
                <w:szCs w:val="20"/>
                <w:color w:val="auto"/>
              </w:rPr>
            </w:pPr>
            <w:r>
              <w:rPr>
                <w:rFonts w:ascii="Arial" w:cs="Arial" w:eastAsia="Arial" w:hAnsi="Arial"/>
                <w:sz w:val="16"/>
                <w:szCs w:val="16"/>
                <w:b w:val="1"/>
                <w:bCs w:val="1"/>
                <w:color w:val="00162F"/>
              </w:rPr>
              <w:t>Rate</w:t>
            </w:r>
          </w:p>
        </w:tc>
        <w:tc>
          <w:tcPr>
            <w:tcW w:w="6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800" w:type="dxa"/>
            <w:vAlign w:val="bottom"/>
            <w:tcBorders>
              <w:bottom w:val="single" w:sz="8" w:color="00162F"/>
            </w:tcBorders>
          </w:tcPr>
          <w:p>
            <w:pPr>
              <w:jc w:val="right"/>
              <w:ind w:right="105"/>
              <w:spacing w:after="0"/>
              <w:rPr>
                <w:sz w:val="20"/>
                <w:szCs w:val="20"/>
                <w:color w:val="auto"/>
              </w:rPr>
            </w:pPr>
            <w:r>
              <w:rPr>
                <w:rFonts w:ascii="Arial" w:cs="Arial" w:eastAsia="Arial" w:hAnsi="Arial"/>
                <w:sz w:val="16"/>
                <w:szCs w:val="16"/>
                <w:b w:val="1"/>
                <w:bCs w:val="1"/>
                <w:color w:val="00162F"/>
                <w:w w:val="95"/>
              </w:rPr>
              <w:t>Amount</w:t>
            </w:r>
          </w:p>
        </w:tc>
        <w:tc>
          <w:tcPr>
            <w:tcW w:w="60" w:type="dxa"/>
            <w:vAlign w:val="bottom"/>
            <w:tcBorders>
              <w:bottom w:val="single" w:sz="8" w:color="EDEDED"/>
            </w:tcBorders>
          </w:tcPr>
          <w:p>
            <w:pPr>
              <w:spacing w:after="0"/>
              <w:rPr>
                <w:sz w:val="20"/>
                <w:szCs w:val="20"/>
                <w:color w:val="auto"/>
              </w:rPr>
            </w:pPr>
          </w:p>
        </w:tc>
        <w:tc>
          <w:tcPr>
            <w:tcW w:w="220" w:type="dxa"/>
            <w:vAlign w:val="bottom"/>
            <w:tcBorders>
              <w:bottom w:val="single" w:sz="8" w:color="00162F"/>
            </w:tcBorders>
          </w:tcPr>
          <w:p>
            <w:pPr>
              <w:spacing w:after="0"/>
              <w:rPr>
                <w:sz w:val="20"/>
                <w:szCs w:val="20"/>
                <w:color w:val="auto"/>
              </w:rPr>
            </w:pPr>
          </w:p>
        </w:tc>
        <w:tc>
          <w:tcPr>
            <w:tcW w:w="740" w:type="dxa"/>
            <w:vAlign w:val="bottom"/>
            <w:tcBorders>
              <w:bottom w:val="single" w:sz="8" w:color="00162F"/>
            </w:tcBorders>
          </w:tcPr>
          <w:p>
            <w:pPr>
              <w:jc w:val="right"/>
              <w:ind w:right="223"/>
              <w:spacing w:after="0"/>
              <w:rPr>
                <w:sz w:val="20"/>
                <w:szCs w:val="20"/>
                <w:color w:val="auto"/>
              </w:rPr>
            </w:pPr>
            <w:r>
              <w:rPr>
                <w:rFonts w:ascii="Arial" w:cs="Arial" w:eastAsia="Arial" w:hAnsi="Arial"/>
                <w:sz w:val="16"/>
                <w:szCs w:val="16"/>
                <w:b w:val="1"/>
                <w:bCs w:val="1"/>
                <w:color w:val="00162F"/>
              </w:rPr>
              <w:t>Rate</w:t>
            </w:r>
          </w:p>
        </w:tc>
        <w:tc>
          <w:tcPr>
            <w:tcW w:w="60" w:type="dxa"/>
            <w:vAlign w:val="bottom"/>
            <w:tcBorders>
              <w:bottom w:val="single" w:sz="8" w:color="EDEDED"/>
            </w:tcBorders>
          </w:tcPr>
          <w:p>
            <w:pPr>
              <w:spacing w:after="0"/>
              <w:rPr>
                <w:sz w:val="20"/>
                <w:szCs w:val="20"/>
                <w:color w:val="auto"/>
              </w:rPr>
            </w:pPr>
          </w:p>
        </w:tc>
        <w:tc>
          <w:tcPr>
            <w:tcW w:w="160" w:type="dxa"/>
            <w:vAlign w:val="bottom"/>
            <w:tcBorders>
              <w:bottom w:val="single" w:sz="8" w:color="00162F"/>
            </w:tcBorders>
          </w:tcPr>
          <w:p>
            <w:pPr>
              <w:spacing w:after="0"/>
              <w:rPr>
                <w:sz w:val="20"/>
                <w:szCs w:val="20"/>
                <w:color w:val="auto"/>
              </w:rPr>
            </w:pPr>
          </w:p>
        </w:tc>
        <w:tc>
          <w:tcPr>
            <w:tcW w:w="800" w:type="dxa"/>
            <w:vAlign w:val="bottom"/>
            <w:tcBorders>
              <w:bottom w:val="single" w:sz="8" w:color="00162F"/>
            </w:tcBorders>
          </w:tcPr>
          <w:p>
            <w:pPr>
              <w:jc w:val="right"/>
              <w:ind w:right="85"/>
              <w:spacing w:after="0"/>
              <w:rPr>
                <w:sz w:val="20"/>
                <w:szCs w:val="20"/>
                <w:color w:val="auto"/>
              </w:rPr>
            </w:pPr>
            <w:r>
              <w:rPr>
                <w:rFonts w:ascii="Arial" w:cs="Arial" w:eastAsia="Arial" w:hAnsi="Arial"/>
                <w:sz w:val="16"/>
                <w:szCs w:val="16"/>
                <w:b w:val="1"/>
                <w:bCs w:val="1"/>
                <w:color w:val="00162F"/>
                <w:w w:val="99"/>
              </w:rPr>
              <w:t>Amount</w:t>
            </w:r>
          </w:p>
        </w:tc>
        <w:tc>
          <w:tcPr>
            <w:tcW w:w="60" w:type="dxa"/>
            <w:vAlign w:val="bottom"/>
            <w:tcBorders>
              <w:bottom w:val="single" w:sz="8" w:color="EDEDED"/>
            </w:tcBorders>
          </w:tcPr>
          <w:p>
            <w:pPr>
              <w:spacing w:after="0"/>
              <w:rPr>
                <w:sz w:val="20"/>
                <w:szCs w:val="20"/>
                <w:color w:val="auto"/>
              </w:rPr>
            </w:pPr>
          </w:p>
        </w:tc>
        <w:tc>
          <w:tcPr>
            <w:tcW w:w="220" w:type="dxa"/>
            <w:vAlign w:val="bottom"/>
            <w:tcBorders>
              <w:bottom w:val="single" w:sz="8" w:color="00162F"/>
            </w:tcBorders>
          </w:tcPr>
          <w:p>
            <w:pPr>
              <w:spacing w:after="0"/>
              <w:rPr>
                <w:sz w:val="20"/>
                <w:szCs w:val="20"/>
                <w:color w:val="auto"/>
              </w:rPr>
            </w:pPr>
          </w:p>
        </w:tc>
        <w:tc>
          <w:tcPr>
            <w:tcW w:w="740" w:type="dxa"/>
            <w:vAlign w:val="bottom"/>
            <w:tcBorders>
              <w:bottom w:val="single" w:sz="8" w:color="00162F"/>
            </w:tcBorders>
          </w:tcPr>
          <w:p>
            <w:pPr>
              <w:jc w:val="right"/>
              <w:ind w:right="203"/>
              <w:spacing w:after="0"/>
              <w:rPr>
                <w:sz w:val="20"/>
                <w:szCs w:val="20"/>
                <w:color w:val="auto"/>
              </w:rPr>
            </w:pPr>
            <w:r>
              <w:rPr>
                <w:rFonts w:ascii="Arial" w:cs="Arial" w:eastAsia="Arial" w:hAnsi="Arial"/>
                <w:sz w:val="16"/>
                <w:szCs w:val="16"/>
                <w:b w:val="1"/>
                <w:bCs w:val="1"/>
                <w:color w:val="00162F"/>
              </w:rPr>
              <w:t>Rate</w:t>
            </w:r>
          </w:p>
        </w:tc>
        <w:tc>
          <w:tcPr>
            <w:tcW w:w="0" w:type="dxa"/>
            <w:vAlign w:val="bottom"/>
          </w:tcPr>
          <w:p>
            <w:pPr>
              <w:spacing w:after="0"/>
              <w:rPr>
                <w:sz w:val="1"/>
                <w:szCs w:val="1"/>
                <w:color w:val="auto"/>
              </w:rPr>
            </w:pPr>
          </w:p>
        </w:tc>
      </w:tr>
      <w:tr>
        <w:trPr>
          <w:trHeight w:val="287"/>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U.S. federal statutory income tax rate</w:t>
            </w:r>
          </w:p>
        </w:tc>
        <w:tc>
          <w:tcPr>
            <w:tcW w:w="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160</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21.0 %</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355</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21.0 %</w:t>
            </w:r>
          </w:p>
        </w:tc>
        <w:tc>
          <w:tcPr>
            <w:tcW w:w="22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332</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21.0 %</w:t>
            </w:r>
          </w:p>
        </w:tc>
        <w:tc>
          <w:tcPr>
            <w:tcW w:w="0" w:type="dxa"/>
            <w:vAlign w:val="bottom"/>
          </w:tcPr>
          <w:p>
            <w:pPr>
              <w:spacing w:after="0"/>
              <w:rPr>
                <w:sz w:val="1"/>
                <w:szCs w:val="1"/>
                <w:color w:val="auto"/>
              </w:rPr>
            </w:pPr>
          </w:p>
        </w:tc>
      </w:tr>
      <w:tr>
        <w:trPr>
          <w:trHeight w:val="293"/>
        </w:trPr>
        <w:tc>
          <w:tcPr>
            <w:tcW w:w="4560" w:type="dxa"/>
            <w:vAlign w:val="bottom"/>
          </w:tcPr>
          <w:p>
            <w:pPr>
              <w:ind w:left="40"/>
              <w:spacing w:after="0"/>
              <w:rPr>
                <w:sz w:val="20"/>
                <w:szCs w:val="20"/>
                <w:color w:val="auto"/>
              </w:rPr>
            </w:pPr>
            <w:r>
              <w:rPr>
                <w:rFonts w:ascii="Arial" w:cs="Arial" w:eastAsia="Arial" w:hAnsi="Arial"/>
                <w:sz w:val="20"/>
                <w:szCs w:val="20"/>
                <w:color w:val="00162F"/>
              </w:rPr>
              <w:t>Domestic federal: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Nontaxable or nondeductible items</w:t>
            </w:r>
          </w:p>
        </w:tc>
        <w:tc>
          <w:tcPr>
            <w:tcW w:w="180" w:type="dxa"/>
            <w:vAlign w:val="bottom"/>
            <w:shd w:val="clear" w:color="auto" w:fill="EDEDED"/>
          </w:tcPr>
          <w:p>
            <w:pPr>
              <w:spacing w:after="0"/>
              <w:rPr>
                <w:sz w:val="24"/>
                <w:szCs w:val="24"/>
                <w:color w:val="auto"/>
              </w:rPr>
            </w:pPr>
          </w:p>
        </w:tc>
        <w:tc>
          <w:tcPr>
            <w:tcW w:w="8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8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8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60" w:type="dxa"/>
            <w:vAlign w:val="bottom"/>
          </w:tcPr>
          <w:p>
            <w:pPr>
              <w:ind w:left="220"/>
              <w:spacing w:after="0" w:line="206" w:lineRule="exact"/>
              <w:rPr>
                <w:sz w:val="20"/>
                <w:szCs w:val="20"/>
                <w:color w:val="auto"/>
              </w:rPr>
            </w:pPr>
            <w:r>
              <w:rPr>
                <w:rFonts w:ascii="Arial" w:cs="Arial" w:eastAsia="Arial" w:hAnsi="Arial"/>
                <w:sz w:val="20"/>
                <w:szCs w:val="20"/>
                <w:color w:val="00162F"/>
              </w:rPr>
              <w:t>Nondeductible meals and other nondeductible</w:t>
            </w: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23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3.0 %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18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1.1 %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19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1.2 %</w:t>
            </w:r>
          </w:p>
        </w:tc>
        <w:tc>
          <w:tcPr>
            <w:tcW w:w="0" w:type="dxa"/>
            <w:vAlign w:val="bottom"/>
          </w:tcPr>
          <w:p>
            <w:pPr>
              <w:spacing w:after="0"/>
              <w:rPr>
                <w:sz w:val="1"/>
                <w:szCs w:val="1"/>
                <w:color w:val="auto"/>
              </w:rPr>
            </w:pPr>
          </w:p>
        </w:tc>
      </w:tr>
      <w:tr>
        <w:trPr>
          <w:trHeight w:val="266"/>
        </w:trPr>
        <w:tc>
          <w:tcPr>
            <w:tcW w:w="4560" w:type="dxa"/>
            <w:vAlign w:val="bottom"/>
          </w:tcPr>
          <w:p>
            <w:pPr>
              <w:ind w:left="400"/>
              <w:spacing w:after="0"/>
              <w:rPr>
                <w:sz w:val="20"/>
                <w:szCs w:val="20"/>
                <w:color w:val="auto"/>
              </w:rPr>
            </w:pPr>
            <w:r>
              <w:rPr>
                <w:rFonts w:ascii="Arial" w:cs="Arial" w:eastAsia="Arial" w:hAnsi="Arial"/>
                <w:sz w:val="20"/>
                <w:szCs w:val="20"/>
                <w:color w:val="00162F"/>
              </w:rPr>
              <w:t>employee benefits</w:t>
            </w:r>
          </w:p>
        </w:tc>
        <w:tc>
          <w:tcPr>
            <w:tcW w:w="18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560" w:type="dxa"/>
            <w:vAlign w:val="bottom"/>
            <w:shd w:val="clear" w:color="auto" w:fill="EDEDED"/>
          </w:tcPr>
          <w:p>
            <w:pPr>
              <w:ind w:left="280"/>
              <w:spacing w:after="0"/>
              <w:rPr>
                <w:sz w:val="20"/>
                <w:szCs w:val="20"/>
                <w:color w:val="auto"/>
              </w:rPr>
            </w:pPr>
            <w:r>
              <w:rPr>
                <w:rFonts w:ascii="Arial" w:cs="Arial" w:eastAsia="Arial" w:hAnsi="Arial"/>
                <w:sz w:val="20"/>
                <w:szCs w:val="20"/>
                <w:color w:val="00162F"/>
              </w:rPr>
              <w:t>Nondeductible officer compensation</w:t>
            </w:r>
          </w:p>
        </w:tc>
        <w:tc>
          <w:tcPr>
            <w:tcW w:w="180" w:type="dxa"/>
            <w:vAlign w:val="bottom"/>
            <w:shd w:val="clear" w:color="auto" w:fill="EDEDED"/>
          </w:tcPr>
          <w:p>
            <w:pPr>
              <w:spacing w:after="0"/>
              <w:rPr>
                <w:sz w:val="24"/>
                <w:szCs w:val="24"/>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1.3 %</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0.7 %</w:t>
            </w:r>
          </w:p>
        </w:tc>
        <w:tc>
          <w:tcPr>
            <w:tcW w:w="6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0.6 %</w:t>
            </w:r>
          </w:p>
        </w:tc>
        <w:tc>
          <w:tcPr>
            <w:tcW w:w="0" w:type="dxa"/>
            <w:vAlign w:val="bottom"/>
          </w:tcPr>
          <w:p>
            <w:pPr>
              <w:spacing w:after="0"/>
              <w:rPr>
                <w:sz w:val="1"/>
                <w:szCs w:val="1"/>
                <w:color w:val="auto"/>
              </w:rPr>
            </w:pPr>
          </w:p>
        </w:tc>
      </w:tr>
      <w:tr>
        <w:trPr>
          <w:trHeight w:val="293"/>
        </w:trPr>
        <w:tc>
          <w:tcPr>
            <w:tcW w:w="4560" w:type="dxa"/>
            <w:vAlign w:val="bottom"/>
          </w:tcPr>
          <w:p>
            <w:pPr>
              <w:ind w:left="280"/>
              <w:spacing w:after="0"/>
              <w:rPr>
                <w:sz w:val="20"/>
                <w:szCs w:val="20"/>
                <w:color w:val="auto"/>
              </w:rPr>
            </w:pPr>
            <w:r>
              <w:rPr>
                <w:rFonts w:ascii="Arial" w:cs="Arial" w:eastAsia="Arial" w:hAnsi="Arial"/>
                <w:sz w:val="20"/>
                <w:szCs w:val="20"/>
                <w:color w:val="00162F"/>
              </w:rPr>
              <w:t>Other nontaxable and nondeductible items</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00162F"/>
              </w:rPr>
              <w:t>(4)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0162F"/>
              </w:rPr>
              <w:t>(0.4)%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00162F"/>
              </w:rPr>
              <w:t>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0162F"/>
              </w:rPr>
              <w:t>0.7 %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00162F"/>
              </w:rPr>
              <w:t>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0162F"/>
              </w:rPr>
              <w:t>0.3 %</w:t>
            </w:r>
          </w:p>
        </w:tc>
        <w:tc>
          <w:tcPr>
            <w:tcW w:w="0" w:type="dxa"/>
            <w:vAlign w:val="bottom"/>
          </w:tcPr>
          <w:p>
            <w:pPr>
              <w:spacing w:after="0"/>
              <w:rPr>
                <w:sz w:val="1"/>
                <w:szCs w:val="1"/>
                <w:color w:val="auto"/>
              </w:rPr>
            </w:pPr>
          </w:p>
        </w:tc>
      </w:tr>
      <w:tr>
        <w:trPr>
          <w:trHeight w:val="301"/>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Other</w:t>
            </w:r>
          </w:p>
        </w:tc>
        <w:tc>
          <w:tcPr>
            <w:tcW w:w="180" w:type="dxa"/>
            <w:vAlign w:val="bottom"/>
            <w:shd w:val="clear" w:color="auto" w:fill="EDEDED"/>
          </w:tcPr>
          <w:p>
            <w:pPr>
              <w:spacing w:after="0"/>
              <w:rPr>
                <w:sz w:val="24"/>
                <w:szCs w:val="24"/>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(0.8)%</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080" w:type="dxa"/>
            <w:vAlign w:val="bottom"/>
            <w:gridSpan w:val="3"/>
            <w:shd w:val="clear" w:color="auto" w:fill="EDEDED"/>
          </w:tcPr>
          <w:p>
            <w:pPr>
              <w:jc w:val="right"/>
              <w:ind w:right="360"/>
              <w:spacing w:after="0"/>
              <w:rPr>
                <w:sz w:val="20"/>
                <w:szCs w:val="20"/>
                <w:color w:val="auto"/>
              </w:rPr>
            </w:pPr>
            <w:r>
              <w:rPr>
                <w:rFonts w:ascii="Arial" w:cs="Arial" w:eastAsia="Arial" w:hAnsi="Arial"/>
                <w:sz w:val="20"/>
                <w:szCs w:val="20"/>
                <w:color w:val="00162F"/>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 %</w:t>
            </w:r>
          </w:p>
        </w:tc>
        <w:tc>
          <w:tcPr>
            <w:tcW w:w="6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080" w:type="dxa"/>
            <w:vAlign w:val="bottom"/>
            <w:gridSpan w:val="3"/>
            <w:shd w:val="clear" w:color="auto" w:fill="EDEDED"/>
          </w:tcPr>
          <w:p>
            <w:pPr>
              <w:jc w:val="right"/>
              <w:ind w:right="360"/>
              <w:spacing w:after="0"/>
              <w:rPr>
                <w:sz w:val="20"/>
                <w:szCs w:val="20"/>
                <w:color w:val="auto"/>
              </w:rPr>
            </w:pPr>
            <w:r>
              <w:rPr>
                <w:rFonts w:ascii="Arial" w:cs="Arial" w:eastAsia="Arial" w:hAnsi="Arial"/>
                <w:sz w:val="20"/>
                <w:szCs w:val="20"/>
                <w:color w:val="00162F"/>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 %</w:t>
            </w:r>
          </w:p>
        </w:tc>
        <w:tc>
          <w:tcPr>
            <w:tcW w:w="0" w:type="dxa"/>
            <w:vAlign w:val="bottom"/>
          </w:tcPr>
          <w:p>
            <w:pPr>
              <w:spacing w:after="0"/>
              <w:rPr>
                <w:sz w:val="1"/>
                <w:szCs w:val="1"/>
                <w:color w:val="auto"/>
              </w:rPr>
            </w:pPr>
          </w:p>
        </w:tc>
      </w:tr>
      <w:tr>
        <w:trPr>
          <w:trHeight w:val="206"/>
        </w:trPr>
        <w:tc>
          <w:tcPr>
            <w:tcW w:w="4560" w:type="dxa"/>
            <w:vAlign w:val="bottom"/>
          </w:tcPr>
          <w:p>
            <w:pPr>
              <w:ind w:left="40"/>
              <w:spacing w:after="0" w:line="206" w:lineRule="exact"/>
              <w:rPr>
                <w:sz w:val="20"/>
                <w:szCs w:val="20"/>
                <w:color w:val="auto"/>
              </w:rPr>
            </w:pPr>
            <w:r>
              <w:rPr>
                <w:rFonts w:ascii="Arial" w:cs="Arial" w:eastAsia="Arial" w:hAnsi="Arial"/>
                <w:sz w:val="20"/>
                <w:szCs w:val="20"/>
                <w:color w:val="00162F"/>
              </w:rPr>
              <w:t>Domestic state and local income taxes, net of</w:t>
            </w: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14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1.8 %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1.7 %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00162F"/>
              </w:rPr>
              <w:t>28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162F"/>
              </w:rPr>
              <w:t>1.8 %</w:t>
            </w:r>
          </w:p>
        </w:tc>
        <w:tc>
          <w:tcPr>
            <w:tcW w:w="0" w:type="dxa"/>
            <w:vAlign w:val="bottom"/>
          </w:tcPr>
          <w:p>
            <w:pPr>
              <w:spacing w:after="0"/>
              <w:rPr>
                <w:sz w:val="1"/>
                <w:szCs w:val="1"/>
                <w:color w:val="auto"/>
              </w:rPr>
            </w:pPr>
          </w:p>
        </w:tc>
      </w:tr>
      <w:tr>
        <w:trPr>
          <w:trHeight w:val="259"/>
        </w:trPr>
        <w:tc>
          <w:tcPr>
            <w:tcW w:w="4560" w:type="dxa"/>
            <w:vAlign w:val="bottom"/>
            <w:tcBorders>
              <w:bottom w:val="single" w:sz="8" w:color="EDEDED"/>
            </w:tcBorders>
          </w:tcPr>
          <w:p>
            <w:pPr>
              <w:ind w:left="220"/>
              <w:spacing w:after="0"/>
              <w:rPr>
                <w:sz w:val="20"/>
                <w:szCs w:val="20"/>
                <w:color w:val="auto"/>
              </w:rPr>
            </w:pPr>
            <w:r>
              <w:rPr>
                <w:rFonts w:ascii="Arial" w:cs="Arial" w:eastAsia="Arial" w:hAnsi="Arial"/>
                <w:sz w:val="20"/>
                <w:szCs w:val="20"/>
                <w:color w:val="00162F"/>
              </w:rPr>
              <w:t>federal effect</w:t>
            </w:r>
          </w:p>
        </w:tc>
        <w:tc>
          <w:tcPr>
            <w:tcW w:w="180" w:type="dxa"/>
            <w:vAlign w:val="bottom"/>
            <w:tcBorders>
              <w:bottom w:val="single" w:sz="8" w:color="00162F"/>
            </w:tcBorders>
          </w:tcPr>
          <w:p>
            <w:pPr>
              <w:spacing w:after="0"/>
              <w:rPr>
                <w:sz w:val="22"/>
                <w:szCs w:val="22"/>
                <w:color w:val="auto"/>
              </w:rPr>
            </w:pPr>
          </w:p>
        </w:tc>
        <w:tc>
          <w:tcPr>
            <w:tcW w:w="800" w:type="dxa"/>
            <w:vAlign w:val="bottom"/>
            <w:tcBorders>
              <w:bottom w:val="single" w:sz="8" w:color="00162F"/>
            </w:tcBorders>
            <w:vMerge w:val="continue"/>
          </w:tcPr>
          <w:p>
            <w:pPr>
              <w:spacing w:after="0"/>
              <w:rPr>
                <w:sz w:val="22"/>
                <w:szCs w:val="22"/>
                <w:color w:val="auto"/>
              </w:rPr>
            </w:pPr>
          </w:p>
        </w:tc>
        <w:tc>
          <w:tcPr>
            <w:tcW w:w="60" w:type="dxa"/>
            <w:vAlign w:val="bottom"/>
            <w:tcBorders>
              <w:bottom w:val="single" w:sz="8" w:color="EDEDED"/>
            </w:tcBorders>
          </w:tcPr>
          <w:p>
            <w:pPr>
              <w:spacing w:after="0"/>
              <w:rPr>
                <w:sz w:val="22"/>
                <w:szCs w:val="22"/>
                <w:color w:val="auto"/>
              </w:rPr>
            </w:pPr>
          </w:p>
        </w:tc>
        <w:tc>
          <w:tcPr>
            <w:tcW w:w="240" w:type="dxa"/>
            <w:vAlign w:val="bottom"/>
            <w:tcBorders>
              <w:bottom w:val="single" w:sz="8" w:color="00162F"/>
            </w:tcBorders>
          </w:tcPr>
          <w:p>
            <w:pPr>
              <w:spacing w:after="0"/>
              <w:rPr>
                <w:sz w:val="22"/>
                <w:szCs w:val="22"/>
                <w:color w:val="auto"/>
              </w:rPr>
            </w:pPr>
          </w:p>
        </w:tc>
        <w:tc>
          <w:tcPr>
            <w:tcW w:w="740" w:type="dxa"/>
            <w:vAlign w:val="bottom"/>
            <w:tcBorders>
              <w:bottom w:val="single" w:sz="8" w:color="00162F"/>
            </w:tcBorders>
            <w:vMerge w:val="continue"/>
          </w:tcPr>
          <w:p>
            <w:pPr>
              <w:spacing w:after="0"/>
              <w:rPr>
                <w:sz w:val="22"/>
                <w:szCs w:val="22"/>
                <w:color w:val="auto"/>
              </w:rPr>
            </w:pPr>
          </w:p>
        </w:tc>
        <w:tc>
          <w:tcPr>
            <w:tcW w:w="60" w:type="dxa"/>
            <w:vAlign w:val="bottom"/>
            <w:tcBorders>
              <w:bottom w:val="single" w:sz="8" w:color="EDEDED"/>
            </w:tcBorders>
          </w:tcPr>
          <w:p>
            <w:pPr>
              <w:spacing w:after="0"/>
              <w:rPr>
                <w:sz w:val="22"/>
                <w:szCs w:val="22"/>
                <w:color w:val="auto"/>
              </w:rPr>
            </w:pPr>
          </w:p>
        </w:tc>
        <w:tc>
          <w:tcPr>
            <w:tcW w:w="180" w:type="dxa"/>
            <w:vAlign w:val="bottom"/>
            <w:tcBorders>
              <w:bottom w:val="single" w:sz="8" w:color="00162F"/>
            </w:tcBorders>
          </w:tcPr>
          <w:p>
            <w:pPr>
              <w:spacing w:after="0"/>
              <w:rPr>
                <w:sz w:val="22"/>
                <w:szCs w:val="22"/>
                <w:color w:val="auto"/>
              </w:rPr>
            </w:pPr>
          </w:p>
        </w:tc>
        <w:tc>
          <w:tcPr>
            <w:tcW w:w="800" w:type="dxa"/>
            <w:vAlign w:val="bottom"/>
            <w:tcBorders>
              <w:bottom w:val="single" w:sz="8" w:color="00162F"/>
            </w:tcBorders>
            <w:vMerge w:val="continue"/>
          </w:tcPr>
          <w:p>
            <w:pPr>
              <w:spacing w:after="0"/>
              <w:rPr>
                <w:sz w:val="22"/>
                <w:szCs w:val="22"/>
                <w:color w:val="auto"/>
              </w:rPr>
            </w:pPr>
          </w:p>
        </w:tc>
        <w:tc>
          <w:tcPr>
            <w:tcW w:w="60" w:type="dxa"/>
            <w:vAlign w:val="bottom"/>
            <w:tcBorders>
              <w:bottom w:val="single" w:sz="8" w:color="EDEDED"/>
            </w:tcBorders>
          </w:tcPr>
          <w:p>
            <w:pPr>
              <w:spacing w:after="0"/>
              <w:rPr>
                <w:sz w:val="22"/>
                <w:szCs w:val="22"/>
                <w:color w:val="auto"/>
              </w:rPr>
            </w:pPr>
          </w:p>
        </w:tc>
        <w:tc>
          <w:tcPr>
            <w:tcW w:w="220" w:type="dxa"/>
            <w:vAlign w:val="bottom"/>
            <w:tcBorders>
              <w:bottom w:val="single" w:sz="8" w:color="00162F"/>
            </w:tcBorders>
          </w:tcPr>
          <w:p>
            <w:pPr>
              <w:spacing w:after="0"/>
              <w:rPr>
                <w:sz w:val="22"/>
                <w:szCs w:val="22"/>
                <w:color w:val="auto"/>
              </w:rPr>
            </w:pPr>
          </w:p>
        </w:tc>
        <w:tc>
          <w:tcPr>
            <w:tcW w:w="740" w:type="dxa"/>
            <w:vAlign w:val="bottom"/>
            <w:tcBorders>
              <w:bottom w:val="single" w:sz="8" w:color="00162F"/>
            </w:tcBorders>
            <w:vMerge w:val="continue"/>
          </w:tcPr>
          <w:p>
            <w:pPr>
              <w:spacing w:after="0"/>
              <w:rPr>
                <w:sz w:val="22"/>
                <w:szCs w:val="22"/>
                <w:color w:val="auto"/>
              </w:rPr>
            </w:pPr>
          </w:p>
        </w:tc>
        <w:tc>
          <w:tcPr>
            <w:tcW w:w="60" w:type="dxa"/>
            <w:vAlign w:val="bottom"/>
            <w:tcBorders>
              <w:bottom w:val="single" w:sz="8" w:color="EDEDED"/>
            </w:tcBorders>
          </w:tcPr>
          <w:p>
            <w:pPr>
              <w:spacing w:after="0"/>
              <w:rPr>
                <w:sz w:val="22"/>
                <w:szCs w:val="22"/>
                <w:color w:val="auto"/>
              </w:rPr>
            </w:pPr>
          </w:p>
        </w:tc>
        <w:tc>
          <w:tcPr>
            <w:tcW w:w="160" w:type="dxa"/>
            <w:vAlign w:val="bottom"/>
            <w:tcBorders>
              <w:bottom w:val="single" w:sz="8" w:color="00162F"/>
            </w:tcBorders>
          </w:tcPr>
          <w:p>
            <w:pPr>
              <w:spacing w:after="0"/>
              <w:rPr>
                <w:sz w:val="22"/>
                <w:szCs w:val="22"/>
                <w:color w:val="auto"/>
              </w:rPr>
            </w:pPr>
          </w:p>
        </w:tc>
        <w:tc>
          <w:tcPr>
            <w:tcW w:w="800" w:type="dxa"/>
            <w:vAlign w:val="bottom"/>
            <w:tcBorders>
              <w:bottom w:val="single" w:sz="8" w:color="00162F"/>
            </w:tcBorders>
            <w:vMerge w:val="continue"/>
          </w:tcPr>
          <w:p>
            <w:pPr>
              <w:spacing w:after="0"/>
              <w:rPr>
                <w:sz w:val="22"/>
                <w:szCs w:val="22"/>
                <w:color w:val="auto"/>
              </w:rPr>
            </w:pPr>
          </w:p>
        </w:tc>
        <w:tc>
          <w:tcPr>
            <w:tcW w:w="60" w:type="dxa"/>
            <w:vAlign w:val="bottom"/>
            <w:tcBorders>
              <w:bottom w:val="single" w:sz="8" w:color="EDEDED"/>
            </w:tcBorders>
          </w:tcPr>
          <w:p>
            <w:pPr>
              <w:spacing w:after="0"/>
              <w:rPr>
                <w:sz w:val="22"/>
                <w:szCs w:val="22"/>
                <w:color w:val="auto"/>
              </w:rPr>
            </w:pPr>
          </w:p>
        </w:tc>
        <w:tc>
          <w:tcPr>
            <w:tcW w:w="220" w:type="dxa"/>
            <w:vAlign w:val="bottom"/>
            <w:tcBorders>
              <w:bottom w:val="single" w:sz="8" w:color="00162F"/>
            </w:tcBorders>
          </w:tcPr>
          <w:p>
            <w:pPr>
              <w:spacing w:after="0"/>
              <w:rPr>
                <w:sz w:val="22"/>
                <w:szCs w:val="22"/>
                <w:color w:val="auto"/>
              </w:rPr>
            </w:pPr>
          </w:p>
        </w:tc>
        <w:tc>
          <w:tcPr>
            <w:tcW w:w="740" w:type="dxa"/>
            <w:vAlign w:val="bottom"/>
            <w:tcBorders>
              <w:bottom w:val="single" w:sz="8" w:color="00162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5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Effective tax rate</w:t>
            </w:r>
          </w:p>
        </w:tc>
        <w:tc>
          <w:tcPr>
            <w:tcW w:w="1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197</w:t>
            </w:r>
          </w:p>
        </w:tc>
        <w:tc>
          <w:tcPr>
            <w:tcW w:w="60" w:type="dxa"/>
            <w:vAlign w:val="bottom"/>
            <w:tcBorders>
              <w:bottom w:val="single" w:sz="8" w:color="EDEDED"/>
            </w:tcBorders>
            <w:shd w:val="clear" w:color="auto" w:fill="EDEDED"/>
          </w:tcPr>
          <w:p>
            <w:pPr>
              <w:spacing w:after="0"/>
              <w:rPr>
                <w:sz w:val="24"/>
                <w:szCs w:val="24"/>
                <w:color w:val="auto"/>
              </w:rPr>
            </w:pPr>
          </w:p>
        </w:tc>
        <w:tc>
          <w:tcPr>
            <w:tcW w:w="240" w:type="dxa"/>
            <w:vAlign w:val="bottom"/>
            <w:tcBorders>
              <w:bottom w:val="single" w:sz="8" w:color="00162F"/>
            </w:tcBorders>
            <w:shd w:val="clear" w:color="auto" w:fill="EDEDED"/>
          </w:tcPr>
          <w:p>
            <w:pPr>
              <w:spacing w:after="0"/>
              <w:rPr>
                <w:sz w:val="24"/>
                <w:szCs w:val="24"/>
                <w:color w:val="auto"/>
              </w:rPr>
            </w:pPr>
          </w:p>
        </w:tc>
        <w:tc>
          <w:tcPr>
            <w:tcW w:w="7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25.9 %</w:t>
            </w:r>
          </w:p>
        </w:tc>
        <w:tc>
          <w:tcPr>
            <w:tcW w:w="6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426</w:t>
            </w:r>
          </w:p>
        </w:tc>
        <w:tc>
          <w:tcPr>
            <w:tcW w:w="6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00162F"/>
            </w:tcBorders>
            <w:shd w:val="clear" w:color="auto" w:fill="EDEDED"/>
          </w:tcPr>
          <w:p>
            <w:pPr>
              <w:spacing w:after="0"/>
              <w:rPr>
                <w:sz w:val="24"/>
                <w:szCs w:val="24"/>
                <w:color w:val="auto"/>
              </w:rPr>
            </w:pPr>
          </w:p>
        </w:tc>
        <w:tc>
          <w:tcPr>
            <w:tcW w:w="7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25.2 %</w:t>
            </w:r>
          </w:p>
        </w:tc>
        <w:tc>
          <w:tcPr>
            <w:tcW w:w="6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394</w:t>
            </w:r>
          </w:p>
        </w:tc>
        <w:tc>
          <w:tcPr>
            <w:tcW w:w="6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00162F"/>
            </w:tcBorders>
            <w:shd w:val="clear" w:color="auto" w:fill="EDEDED"/>
          </w:tcPr>
          <w:p>
            <w:pPr>
              <w:spacing w:after="0"/>
              <w:rPr>
                <w:sz w:val="24"/>
                <w:szCs w:val="24"/>
                <w:color w:val="auto"/>
              </w:rPr>
            </w:pPr>
          </w:p>
        </w:tc>
        <w:tc>
          <w:tcPr>
            <w:tcW w:w="7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-1954530</wp:posOffset>
            </wp:positionV>
            <wp:extent cx="390969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3">
                      <a:extLst>
                        <a:ext uri="{28A0092B-C50C-407E-A947-70E740481C1C}"/>
                      </a:extLst>
                    </a:blip>
                    <a:srcRect/>
                    <a:stretch>
                      <a:fillRect/>
                    </a:stretch>
                  </pic:blipFill>
                  <pic:spPr bwMode="auto">
                    <a:xfrm>
                      <a:off x="0" y="0"/>
                      <a:ext cx="3909695" cy="25400"/>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-219710</wp:posOffset>
            </wp:positionV>
            <wp:extent cx="328422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4">
                      <a:extLst>
                        <a:ext uri="{28A0092B-C50C-407E-A947-70E740481C1C}"/>
                      </a:extLst>
                    </a:blip>
                    <a:srcRect/>
                    <a:stretch>
                      <a:fillRect/>
                    </a:stretch>
                  </pic:blipFill>
                  <pic:spPr bwMode="auto">
                    <a:xfrm>
                      <a:off x="0" y="0"/>
                      <a:ext cx="3284220" cy="25400"/>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-43815</wp:posOffset>
            </wp:positionV>
            <wp:extent cx="3909695" cy="508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5">
                      <a:extLst>
                        <a:ext uri="{28A0092B-C50C-407E-A947-70E740481C1C}"/>
                      </a:extLst>
                    </a:blip>
                    <a:srcRect/>
                    <a:stretch>
                      <a:fillRect/>
                    </a:stretch>
                  </pic:blipFill>
                  <pic:spPr bwMode="auto">
                    <a:xfrm>
                      <a:off x="0" y="0"/>
                      <a:ext cx="3909695" cy="50800"/>
                    </a:xfrm>
                    <a:prstGeom prst="rect">
                      <a:avLst/>
                    </a:prstGeom>
                    <a:noFill/>
                  </pic:spPr>
                </pic:pic>
              </a:graphicData>
            </a:graphic>
          </wp:anchor>
        </w:drawing>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151</w:t>
      </w:r>
    </w:p>
    <w:p>
      <w:pPr>
        <w:sectPr>
          <w:pgSz w:w="11880" w:h="15480" w:orient="portrait"/>
          <w:cols w:equalWidth="0" w:num="1">
            <w:col w:w="10680"/>
          </w:cols>
          <w:pgMar w:left="600" w:top="249" w:right="600" w:bottom="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The components of American’s deferred tax assets and liabilities were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1020" w:type="dxa"/>
            <w:vAlign w:val="bottom"/>
            <w:tcBorders>
              <w:bottom w:val="single" w:sz="8" w:color="00162F"/>
            </w:tcBorders>
          </w:tcPr>
          <w:p>
            <w:pPr>
              <w:spacing w:after="0"/>
              <w:rPr>
                <w:sz w:val="18"/>
                <w:szCs w:val="18"/>
                <w:color w:val="auto"/>
              </w:rPr>
            </w:pPr>
          </w:p>
        </w:tc>
        <w:tc>
          <w:tcPr>
            <w:tcW w:w="1300" w:type="dxa"/>
            <w:vAlign w:val="bottom"/>
            <w:tcBorders>
              <w:bottom w:val="single" w:sz="8" w:color="00162F"/>
            </w:tcBorders>
            <w:gridSpan w:val="3"/>
          </w:tcPr>
          <w:p>
            <w:pPr>
              <w:jc w:val="right"/>
              <w:ind w:right="1"/>
              <w:spacing w:after="0"/>
              <w:rPr>
                <w:sz w:val="20"/>
                <w:szCs w:val="20"/>
                <w:color w:val="auto"/>
              </w:rPr>
            </w:pPr>
            <w:r>
              <w:rPr>
                <w:rFonts w:ascii="Arial" w:cs="Arial" w:eastAsia="Arial" w:hAnsi="Arial"/>
                <w:sz w:val="16"/>
                <w:szCs w:val="16"/>
                <w:b w:val="1"/>
                <w:bCs w:val="1"/>
                <w:color w:val="00162F"/>
              </w:rPr>
              <w:t>December 31,</w:t>
            </w:r>
          </w:p>
        </w:tc>
        <w:tc>
          <w:tcPr>
            <w:tcW w:w="1100" w:type="dxa"/>
            <w:vAlign w:val="bottom"/>
            <w:tcBorders>
              <w:bottom w:val="single" w:sz="8" w:color="00162F"/>
            </w:tcBorders>
          </w:tcPr>
          <w:p>
            <w:pPr>
              <w:spacing w:after="0"/>
              <w:rPr>
                <w:sz w:val="18"/>
                <w:szCs w:val="18"/>
                <w:color w:val="auto"/>
              </w:rPr>
            </w:pPr>
          </w:p>
        </w:tc>
      </w:tr>
      <w:tr>
        <w:trPr>
          <w:trHeight w:val="232"/>
        </w:trPr>
        <w:tc>
          <w:tcPr>
            <w:tcW w:w="7260" w:type="dxa"/>
            <w:vAlign w:val="bottom"/>
            <w:tcBorders>
              <w:bottom w:val="single" w:sz="8" w:color="EDEDED"/>
            </w:tcBorders>
          </w:tcPr>
          <w:p>
            <w:pPr>
              <w:spacing w:after="0"/>
              <w:rPr>
                <w:sz w:val="20"/>
                <w:szCs w:val="20"/>
                <w:color w:val="auto"/>
              </w:rPr>
            </w:pPr>
          </w:p>
        </w:tc>
        <w:tc>
          <w:tcPr>
            <w:tcW w:w="102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2025</w:t>
            </w:r>
          </w:p>
        </w:tc>
        <w:tc>
          <w:tcPr>
            <w:tcW w:w="660" w:type="dxa"/>
            <w:vAlign w:val="bottom"/>
            <w:tcBorders>
              <w:bottom w:val="single" w:sz="8" w:color="00162F"/>
            </w:tcBorders>
          </w:tcPr>
          <w:p>
            <w:pPr>
              <w:spacing w:after="0"/>
              <w:rPr>
                <w:sz w:val="20"/>
                <w:szCs w:val="20"/>
                <w:color w:val="auto"/>
              </w:rPr>
            </w:pPr>
          </w:p>
        </w:tc>
        <w:tc>
          <w:tcPr>
            <w:tcW w:w="60" w:type="dxa"/>
            <w:vAlign w:val="bottom"/>
            <w:tcBorders>
              <w:bottom w:val="single" w:sz="8" w:color="EDEDED"/>
            </w:tcBorders>
          </w:tcPr>
          <w:p>
            <w:pPr>
              <w:spacing w:after="0"/>
              <w:rPr>
                <w:sz w:val="20"/>
                <w:szCs w:val="20"/>
                <w:color w:val="auto"/>
              </w:rPr>
            </w:pPr>
          </w:p>
        </w:tc>
        <w:tc>
          <w:tcPr>
            <w:tcW w:w="5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562"/>
              <w:spacing w:after="0"/>
              <w:rPr>
                <w:sz w:val="20"/>
                <w:szCs w:val="20"/>
                <w:color w:val="auto"/>
              </w:rPr>
            </w:pPr>
            <w:r>
              <w:rPr>
                <w:rFonts w:ascii="Arial" w:cs="Arial" w:eastAsia="Arial" w:hAnsi="Arial"/>
                <w:sz w:val="16"/>
                <w:szCs w:val="16"/>
                <w:b w:val="1"/>
                <w:bCs w:val="1"/>
                <w:color w:val="00162F"/>
              </w:rPr>
              <w:t>2024</w:t>
            </w:r>
          </w:p>
        </w:tc>
      </w:tr>
      <w:tr>
        <w:trPr>
          <w:trHeight w:val="287"/>
        </w:trPr>
        <w:tc>
          <w:tcPr>
            <w:tcW w:w="72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Deferred tax assets:</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Net operating loss and other carryforwards</w:t>
            </w:r>
          </w:p>
        </w:tc>
        <w:tc>
          <w:tcPr>
            <w:tcW w:w="1020" w:type="dxa"/>
            <w:vAlign w:val="bottom"/>
          </w:tcPr>
          <w:p>
            <w:pPr>
              <w:jc w:val="right"/>
              <w:ind w:right="768"/>
              <w:spacing w:after="0"/>
              <w:rPr>
                <w:sz w:val="20"/>
                <w:szCs w:val="20"/>
                <w:color w:val="auto"/>
              </w:rPr>
            </w:pPr>
            <w:r>
              <w:rPr>
                <w:rFonts w:ascii="Arial" w:cs="Arial" w:eastAsia="Arial" w:hAnsi="Arial"/>
                <w:sz w:val="20"/>
                <w:szCs w:val="20"/>
                <w:color w:val="00162F"/>
              </w:rPr>
              <w:t>$</w:t>
            </w:r>
          </w:p>
        </w:tc>
        <w:tc>
          <w:tcPr>
            <w:tcW w:w="660" w:type="dxa"/>
            <w:vAlign w:val="bottom"/>
          </w:tcPr>
          <w:p>
            <w:pPr>
              <w:jc w:val="right"/>
              <w:spacing w:after="0"/>
              <w:rPr>
                <w:sz w:val="20"/>
                <w:szCs w:val="20"/>
                <w:color w:val="auto"/>
              </w:rPr>
            </w:pPr>
            <w:r>
              <w:rPr>
                <w:rFonts w:ascii="Arial" w:cs="Arial" w:eastAsia="Arial" w:hAnsi="Arial"/>
                <w:sz w:val="20"/>
                <w:szCs w:val="20"/>
                <w:color w:val="00162F"/>
              </w:rPr>
              <w:t>3,566</w:t>
            </w:r>
          </w:p>
        </w:tc>
        <w:tc>
          <w:tcPr>
            <w:tcW w:w="640" w:type="dxa"/>
            <w:vAlign w:val="bottom"/>
            <w:gridSpan w:val="2"/>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3,891</w:t>
            </w:r>
          </w:p>
        </w:tc>
      </w:tr>
      <w:tr>
        <w:trPr>
          <w:trHeight w:val="301"/>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Loyalty program liability</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1,949</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1,799</w:t>
            </w: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Leases</w:t>
            </w:r>
          </w:p>
        </w:tc>
        <w:tc>
          <w:tcPr>
            <w:tcW w:w="10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00162F"/>
              </w:rPr>
              <w:t>1,553</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1,582</w:t>
            </w:r>
          </w:p>
        </w:tc>
      </w:tr>
      <w:tr>
        <w:trPr>
          <w:trHeight w:val="301"/>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Pension benefits</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104</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228</w:t>
            </w: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Postretirement benefits other than pension benefits</w:t>
            </w:r>
          </w:p>
        </w:tc>
        <w:tc>
          <w:tcPr>
            <w:tcW w:w="10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00162F"/>
              </w:rPr>
              <w:t>260</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270</w:t>
            </w:r>
          </w:p>
        </w:tc>
      </w:tr>
      <w:tr>
        <w:trPr>
          <w:trHeight w:val="301"/>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Rent expense</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37</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59</w:t>
            </w:r>
          </w:p>
        </w:tc>
      </w:tr>
      <w:tr>
        <w:trPr>
          <w:trHeight w:val="287"/>
        </w:trPr>
        <w:tc>
          <w:tcPr>
            <w:tcW w:w="7260" w:type="dxa"/>
            <w:vAlign w:val="bottom"/>
            <w:tcBorders>
              <w:bottom w:val="single" w:sz="8" w:color="EDEDED"/>
            </w:tcBorders>
          </w:tcPr>
          <w:p>
            <w:pPr>
              <w:ind w:left="180"/>
              <w:spacing w:after="0"/>
              <w:rPr>
                <w:sz w:val="20"/>
                <w:szCs w:val="20"/>
                <w:color w:val="auto"/>
              </w:rPr>
            </w:pPr>
            <w:r>
              <w:rPr>
                <w:rFonts w:ascii="Arial" w:cs="Arial" w:eastAsia="Arial" w:hAnsi="Arial"/>
                <w:sz w:val="20"/>
                <w:szCs w:val="20"/>
                <w:color w:val="00162F"/>
              </w:rPr>
              <w:t>Other</w:t>
            </w:r>
          </w:p>
        </w:tc>
        <w:tc>
          <w:tcPr>
            <w:tcW w:w="1020" w:type="dxa"/>
            <w:vAlign w:val="bottom"/>
            <w:tcBorders>
              <w:bottom w:val="single" w:sz="8" w:color="00162F"/>
            </w:tcBorders>
          </w:tcPr>
          <w:p>
            <w:pPr>
              <w:spacing w:after="0"/>
              <w:rPr>
                <w:sz w:val="24"/>
                <w:szCs w:val="24"/>
                <w:color w:val="auto"/>
              </w:rPr>
            </w:pPr>
          </w:p>
        </w:tc>
        <w:tc>
          <w:tcPr>
            <w:tcW w:w="6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633</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726</w:t>
            </w:r>
          </w:p>
        </w:tc>
      </w:tr>
      <w:tr>
        <w:trPr>
          <w:trHeight w:val="287"/>
        </w:trPr>
        <w:tc>
          <w:tcPr>
            <w:tcW w:w="7260" w:type="dxa"/>
            <w:vAlign w:val="bottom"/>
            <w:shd w:val="clear" w:color="auto" w:fill="EDEDED"/>
          </w:tcPr>
          <w:p>
            <w:pPr>
              <w:ind w:left="400"/>
              <w:spacing w:after="0"/>
              <w:rPr>
                <w:sz w:val="20"/>
                <w:szCs w:val="20"/>
                <w:color w:val="auto"/>
              </w:rPr>
            </w:pPr>
            <w:r>
              <w:rPr>
                <w:rFonts w:ascii="Arial" w:cs="Arial" w:eastAsia="Arial" w:hAnsi="Arial"/>
                <w:sz w:val="20"/>
                <w:szCs w:val="20"/>
                <w:color w:val="00162F"/>
              </w:rPr>
              <w:t>Total deferred tax assets</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8,102</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8,555</w:t>
            </w:r>
          </w:p>
        </w:tc>
      </w:tr>
      <w:tr>
        <w:trPr>
          <w:trHeight w:val="287"/>
        </w:trPr>
        <w:tc>
          <w:tcPr>
            <w:tcW w:w="7260" w:type="dxa"/>
            <w:vAlign w:val="bottom"/>
            <w:tcBorders>
              <w:bottom w:val="single" w:sz="8" w:color="EDEDED"/>
            </w:tcBorders>
          </w:tcPr>
          <w:p>
            <w:pPr>
              <w:ind w:left="400"/>
              <w:spacing w:after="0"/>
              <w:rPr>
                <w:sz w:val="20"/>
                <w:szCs w:val="20"/>
                <w:color w:val="auto"/>
              </w:rPr>
            </w:pPr>
            <w:r>
              <w:rPr>
                <w:rFonts w:ascii="Arial" w:cs="Arial" w:eastAsia="Arial" w:hAnsi="Arial"/>
                <w:sz w:val="20"/>
                <w:szCs w:val="20"/>
                <w:color w:val="00162F"/>
              </w:rPr>
              <w:t>Valuation allowance</w:t>
            </w:r>
          </w:p>
        </w:tc>
        <w:tc>
          <w:tcPr>
            <w:tcW w:w="1020" w:type="dxa"/>
            <w:vAlign w:val="bottom"/>
            <w:tcBorders>
              <w:bottom w:val="single" w:sz="8" w:color="00162F"/>
            </w:tcBorders>
          </w:tcPr>
          <w:p>
            <w:pPr>
              <w:spacing w:after="0"/>
              <w:rPr>
                <w:sz w:val="24"/>
                <w:szCs w:val="24"/>
                <w:color w:val="auto"/>
              </w:rPr>
            </w:pPr>
          </w:p>
        </w:tc>
        <w:tc>
          <w:tcPr>
            <w:tcW w:w="6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(12)</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(12)</w:t>
            </w:r>
          </w:p>
        </w:tc>
      </w:tr>
      <w:tr>
        <w:trPr>
          <w:trHeight w:val="297"/>
        </w:trPr>
        <w:tc>
          <w:tcPr>
            <w:tcW w:w="7260" w:type="dxa"/>
            <w:vAlign w:val="bottom"/>
            <w:tcBorders>
              <w:bottom w:val="single" w:sz="8" w:color="EDEDED"/>
            </w:tcBorders>
            <w:shd w:val="clear" w:color="auto" w:fill="EDEDED"/>
          </w:tcPr>
          <w:p>
            <w:pPr>
              <w:ind w:left="620"/>
              <w:spacing w:after="0"/>
              <w:rPr>
                <w:sz w:val="20"/>
                <w:szCs w:val="20"/>
                <w:color w:val="auto"/>
              </w:rPr>
            </w:pPr>
            <w:r>
              <w:rPr>
                <w:rFonts w:ascii="Arial" w:cs="Arial" w:eastAsia="Arial" w:hAnsi="Arial"/>
                <w:sz w:val="20"/>
                <w:szCs w:val="20"/>
                <w:color w:val="00162F"/>
              </w:rPr>
              <w:t>Net deferred tax assets</w:t>
            </w:r>
          </w:p>
        </w:tc>
        <w:tc>
          <w:tcPr>
            <w:tcW w:w="1020" w:type="dxa"/>
            <w:vAlign w:val="bottom"/>
            <w:tcBorders>
              <w:bottom w:val="single" w:sz="8" w:color="00162F"/>
            </w:tcBorders>
            <w:shd w:val="clear" w:color="auto" w:fill="EDEDED"/>
          </w:tcPr>
          <w:p>
            <w:pPr>
              <w:spacing w:after="0"/>
              <w:rPr>
                <w:sz w:val="24"/>
                <w:szCs w:val="24"/>
                <w:color w:val="auto"/>
              </w:rPr>
            </w:pPr>
          </w:p>
        </w:tc>
        <w:tc>
          <w:tcPr>
            <w:tcW w:w="6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8,090</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8,543</w:t>
            </w:r>
          </w:p>
        </w:tc>
      </w:tr>
      <w:tr>
        <w:trPr>
          <w:trHeight w:val="263"/>
        </w:trPr>
        <w:tc>
          <w:tcPr>
            <w:tcW w:w="7260" w:type="dxa"/>
            <w:vAlign w:val="bottom"/>
          </w:tcPr>
          <w:p>
            <w:pPr>
              <w:ind w:left="40"/>
              <w:spacing w:after="0"/>
              <w:rPr>
                <w:sz w:val="20"/>
                <w:szCs w:val="20"/>
                <w:color w:val="auto"/>
              </w:rPr>
            </w:pPr>
            <w:r>
              <w:rPr>
                <w:rFonts w:ascii="Arial" w:cs="Arial" w:eastAsia="Arial" w:hAnsi="Arial"/>
                <w:sz w:val="20"/>
                <w:szCs w:val="20"/>
                <w:color w:val="00162F"/>
              </w:rPr>
              <w:t>Deferred tax liabilities:</w:t>
            </w: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01"/>
        </w:trPr>
        <w:tc>
          <w:tcPr>
            <w:tcW w:w="72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Accelerated depreciation and amortization</w:t>
            </w:r>
          </w:p>
        </w:tc>
        <w:tc>
          <w:tcPr>
            <w:tcW w:w="1020" w:type="dxa"/>
            <w:vAlign w:val="bottom"/>
            <w:shd w:val="clear" w:color="auto" w:fill="EDEDED"/>
          </w:tcPr>
          <w:p>
            <w:pPr>
              <w:spacing w:after="0"/>
              <w:rPr>
                <w:sz w:val="24"/>
                <w:szCs w:val="24"/>
                <w:color w:val="auto"/>
              </w:rPr>
            </w:pPr>
          </w:p>
        </w:tc>
        <w:tc>
          <w:tcPr>
            <w:tcW w:w="660" w:type="dxa"/>
            <w:vAlign w:val="bottom"/>
            <w:shd w:val="clear" w:color="auto" w:fill="EDEDED"/>
          </w:tcPr>
          <w:p>
            <w:pPr>
              <w:jc w:val="right"/>
              <w:spacing w:after="0"/>
              <w:rPr>
                <w:sz w:val="20"/>
                <w:szCs w:val="20"/>
                <w:color w:val="auto"/>
              </w:rPr>
            </w:pPr>
            <w:r>
              <w:rPr>
                <w:rFonts w:ascii="Arial" w:cs="Arial" w:eastAsia="Arial" w:hAnsi="Arial"/>
                <w:sz w:val="20"/>
                <w:szCs w:val="20"/>
                <w:color w:val="00162F"/>
                <w:w w:val="97"/>
              </w:rPr>
              <w:t>(4,520)</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(4,599)</w:t>
            </w:r>
          </w:p>
        </w:tc>
      </w:tr>
      <w:tr>
        <w:trPr>
          <w:trHeight w:val="293"/>
        </w:trPr>
        <w:tc>
          <w:tcPr>
            <w:tcW w:w="7260" w:type="dxa"/>
            <w:vAlign w:val="bottom"/>
          </w:tcPr>
          <w:p>
            <w:pPr>
              <w:ind w:left="180"/>
              <w:spacing w:after="0"/>
              <w:rPr>
                <w:sz w:val="20"/>
                <w:szCs w:val="20"/>
                <w:color w:val="auto"/>
              </w:rPr>
            </w:pPr>
            <w:r>
              <w:rPr>
                <w:rFonts w:ascii="Arial" w:cs="Arial" w:eastAsia="Arial" w:hAnsi="Arial"/>
                <w:sz w:val="20"/>
                <w:szCs w:val="20"/>
                <w:color w:val="00162F"/>
              </w:rPr>
              <w:t>Leases</w:t>
            </w:r>
          </w:p>
        </w:tc>
        <w:tc>
          <w:tcPr>
            <w:tcW w:w="10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00162F"/>
                <w:w w:val="97"/>
              </w:rPr>
              <w:t>(1,582)</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(1,642)</w:t>
            </w:r>
          </w:p>
        </w:tc>
      </w:tr>
      <w:tr>
        <w:trPr>
          <w:trHeight w:val="291"/>
        </w:trPr>
        <w:tc>
          <w:tcPr>
            <w:tcW w:w="726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Other</w:t>
            </w:r>
          </w:p>
        </w:tc>
        <w:tc>
          <w:tcPr>
            <w:tcW w:w="1020" w:type="dxa"/>
            <w:vAlign w:val="bottom"/>
            <w:tcBorders>
              <w:bottom w:val="single" w:sz="8" w:color="00162F"/>
            </w:tcBorders>
            <w:shd w:val="clear" w:color="auto" w:fill="EDEDED"/>
          </w:tcPr>
          <w:p>
            <w:pPr>
              <w:spacing w:after="0"/>
              <w:rPr>
                <w:sz w:val="24"/>
                <w:szCs w:val="24"/>
                <w:color w:val="auto"/>
              </w:rPr>
            </w:pPr>
          </w:p>
        </w:tc>
        <w:tc>
          <w:tcPr>
            <w:tcW w:w="6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(165)</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spacing w:after="0"/>
              <w:rPr>
                <w:sz w:val="24"/>
                <w:szCs w:val="24"/>
                <w:color w:val="auto"/>
              </w:rPr>
            </w:pP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(244)</w:t>
            </w:r>
          </w:p>
        </w:tc>
      </w:tr>
      <w:tr>
        <w:trPr>
          <w:trHeight w:val="277"/>
        </w:trPr>
        <w:tc>
          <w:tcPr>
            <w:tcW w:w="7260" w:type="dxa"/>
            <w:vAlign w:val="bottom"/>
            <w:tcBorders>
              <w:bottom w:val="single" w:sz="8" w:color="EDEDED"/>
            </w:tcBorders>
          </w:tcPr>
          <w:p>
            <w:pPr>
              <w:ind w:left="400"/>
              <w:spacing w:after="0"/>
              <w:rPr>
                <w:sz w:val="20"/>
                <w:szCs w:val="20"/>
                <w:color w:val="auto"/>
              </w:rPr>
            </w:pPr>
            <w:r>
              <w:rPr>
                <w:rFonts w:ascii="Arial" w:cs="Arial" w:eastAsia="Arial" w:hAnsi="Arial"/>
                <w:sz w:val="20"/>
                <w:szCs w:val="20"/>
                <w:color w:val="00162F"/>
              </w:rPr>
              <w:t>Total deferred tax liabilities</w:t>
            </w:r>
          </w:p>
        </w:tc>
        <w:tc>
          <w:tcPr>
            <w:tcW w:w="1020" w:type="dxa"/>
            <w:vAlign w:val="bottom"/>
            <w:tcBorders>
              <w:bottom w:val="single" w:sz="8" w:color="00162F"/>
            </w:tcBorders>
          </w:tcPr>
          <w:p>
            <w:pPr>
              <w:spacing w:after="0"/>
              <w:rPr>
                <w:sz w:val="24"/>
                <w:szCs w:val="24"/>
                <w:color w:val="auto"/>
              </w:rPr>
            </w:pPr>
          </w:p>
        </w:tc>
        <w:tc>
          <w:tcPr>
            <w:tcW w:w="6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w w:val="97"/>
              </w:rPr>
              <w:t>(6,267)</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(6,485)</w:t>
            </w:r>
          </w:p>
        </w:tc>
      </w:tr>
      <w:tr>
        <w:trPr>
          <w:trHeight w:val="297"/>
        </w:trPr>
        <w:tc>
          <w:tcPr>
            <w:tcW w:w="72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Net deferred tax asset</w:t>
            </w:r>
          </w:p>
        </w:tc>
        <w:tc>
          <w:tcPr>
            <w:tcW w:w="1020" w:type="dxa"/>
            <w:vAlign w:val="bottom"/>
            <w:tcBorders>
              <w:bottom w:val="single" w:sz="8" w:color="00162F"/>
            </w:tcBorders>
            <w:shd w:val="clear" w:color="auto" w:fill="EDEDED"/>
          </w:tcPr>
          <w:p>
            <w:pPr>
              <w:jc w:val="right"/>
              <w:ind w:right="768"/>
              <w:spacing w:after="0"/>
              <w:rPr>
                <w:sz w:val="20"/>
                <w:szCs w:val="20"/>
                <w:color w:val="auto"/>
              </w:rPr>
            </w:pPr>
            <w:r>
              <w:rPr>
                <w:rFonts w:ascii="Arial" w:cs="Arial" w:eastAsia="Arial" w:hAnsi="Arial"/>
                <w:sz w:val="20"/>
                <w:szCs w:val="20"/>
                <w:color w:val="00162F"/>
              </w:rPr>
              <w:t>$</w:t>
            </w:r>
          </w:p>
        </w:tc>
        <w:tc>
          <w:tcPr>
            <w:tcW w:w="6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1,823</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00162F"/>
            </w:tcBorders>
            <w:shd w:val="clear" w:color="auto" w:fill="EDEDED"/>
          </w:tcPr>
          <w:p>
            <w:pPr>
              <w:jc w:val="right"/>
              <w:ind w:right="321"/>
              <w:spacing w:after="0"/>
              <w:rPr>
                <w:sz w:val="20"/>
                <w:szCs w:val="20"/>
                <w:color w:val="auto"/>
              </w:rPr>
            </w:pPr>
            <w:r>
              <w:rPr>
                <w:rFonts w:ascii="Arial" w:cs="Arial" w:eastAsia="Arial" w:hAnsi="Arial"/>
                <w:sz w:val="20"/>
                <w:szCs w:val="20"/>
                <w:color w:val="00162F"/>
              </w:rPr>
              <w:t>$</w:t>
            </w:r>
          </w:p>
        </w:tc>
        <w:tc>
          <w:tcPr>
            <w:tcW w:w="11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-3236595</wp:posOffset>
            </wp:positionV>
            <wp:extent cx="220345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6">
                      <a:extLst>
                        <a:ext uri="{28A0092B-C50C-407E-A947-70E740481C1C}"/>
                      </a:extLst>
                    </a:blip>
                    <a:srcRect/>
                    <a:stretch>
                      <a:fillRect/>
                    </a:stretch>
                  </pic:blipFill>
                  <pic:spPr bwMode="auto">
                    <a:xfrm>
                      <a:off x="0" y="0"/>
                      <a:ext cx="220345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-1727835</wp:posOffset>
            </wp:positionV>
            <wp:extent cx="112522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7">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-1350645</wp:posOffset>
            </wp:positionV>
            <wp:extent cx="112522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8">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-1162685</wp:posOffset>
            </wp:positionV>
            <wp:extent cx="112522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9">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-408305</wp:posOffset>
            </wp:positionV>
            <wp:extent cx="112522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0">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-219710</wp:posOffset>
            </wp:positionV>
            <wp:extent cx="1125220"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1">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-43815</wp:posOffset>
            </wp:positionV>
            <wp:extent cx="2203450" cy="508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2">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172"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At December 31, 2025, American had approximately $11.7 billion of gross federal NOLs and $3.8 billion of other carryforwards available to reduce future federal taxable income, of which $1.8 billion will expire beginning in 2033 if unused and $13.7 billion can be carried forward indefinitely. American is a member of AAG’s consolidated federal and certain state income tax returns. American also had approximately $4.7 billion of NOL carryforwards to reduce future state taxable income at December 31, 2025, which will expire in taxable years 2025 through 2045 if unused.</w:t>
      </w:r>
    </w:p>
    <w:p>
      <w:pPr>
        <w:spacing w:after="0" w:line="139"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American’s ability to use its NOLs and other carryforwards depends on the amount of taxable income generated in future periods. American provides a valuation allowance for its deferred tax assets, which include its NOLs and other carryforwards,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w:t>
      </w:r>
    </w:p>
    <w:p>
      <w:pPr>
        <w:spacing w:after="0" w:line="14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In 2025, American recorded an income tax provision of $197 million with an effective rate of approximately 25.9%, which was substantially non-cash. Substantially all of American’s income before income taxes is attributable to the United States.</w:t>
      </w:r>
    </w:p>
    <w:p>
      <w:pPr>
        <w:spacing w:after="0" w:line="129"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American files its tax returns as prescribed by the tax laws of the jurisdictions in which it operates. American’s 2022 through 2024 tax years are still subject to examination by the Internal Revenue Service. Various state, local and foreign jurisdiction tax years remain open to examination, and American is under examination, in administrative appeals or engaged in tax litigation in certain jurisdictions. American believes that the effect of any assessments will not be material to its consolidated financial statements.</w:t>
      </w:r>
    </w:p>
    <w:p>
      <w:pPr>
        <w:spacing w:after="0" w:line="13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amount of, and changes to, American’s uncertain tax positions were not material in any of the years presented. American accrues interest and penalties related to unrecognized tax benefits in interest expense and operating expense, respectively.</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152</w:t>
      </w:r>
    </w:p>
    <w:p>
      <w:pPr>
        <w:sectPr>
          <w:pgSz w:w="11880" w:h="15480" w:orient="portrait"/>
          <w:cols w:equalWidth="0" w:num="1">
            <w:col w:w="10680"/>
          </w:cols>
          <w:pgMar w:left="600" w:top="249" w:right="600" w:bottom="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6. Fair Value Measurements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u w:val="single" w:color="auto"/>
          <w:color w:val="00162F"/>
        </w:rPr>
        <w:t>Assets Measured at Fair Value on a Recurring Basis</w:t>
      </w:r>
    </w:p>
    <w:p>
      <w:pPr>
        <w:spacing w:after="0" w:line="95"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143" w:lineRule="exact"/>
        <w:rPr>
          <w:sz w:val="20"/>
          <w:szCs w:val="20"/>
          <w:color w:val="auto"/>
        </w:rPr>
      </w:pPr>
    </w:p>
    <w:p>
      <w:pPr>
        <w:ind w:left="1420" w:hanging="712"/>
        <w:spacing w:after="0"/>
        <w:tabs>
          <w:tab w:leader="none" w:pos="1420" w:val="left"/>
        </w:tabs>
        <w:numPr>
          <w:ilvl w:val="0"/>
          <w:numId w:val="75"/>
        </w:numPr>
        <w:rPr>
          <w:rFonts w:ascii="Arial" w:cs="Arial" w:eastAsia="Arial" w:hAnsi="Arial"/>
          <w:sz w:val="20"/>
          <w:szCs w:val="20"/>
          <w:color w:val="00162F"/>
        </w:rPr>
      </w:pPr>
      <w:r>
        <w:rPr>
          <w:rFonts w:ascii="Arial" w:cs="Arial" w:eastAsia="Arial" w:hAnsi="Arial"/>
          <w:sz w:val="20"/>
          <w:szCs w:val="20"/>
          <w:color w:val="00162F"/>
        </w:rPr>
        <w:t>Level 1 – Observable inputs such as quoted prices in active markets;</w:t>
      </w:r>
    </w:p>
    <w:p>
      <w:pPr>
        <w:spacing w:after="0" w:line="185" w:lineRule="exact"/>
        <w:rPr>
          <w:rFonts w:ascii="Arial" w:cs="Arial" w:eastAsia="Arial" w:hAnsi="Arial"/>
          <w:sz w:val="20"/>
          <w:szCs w:val="20"/>
          <w:color w:val="00162F"/>
        </w:rPr>
      </w:pPr>
    </w:p>
    <w:p>
      <w:pPr>
        <w:ind w:left="1420" w:hanging="712"/>
        <w:spacing w:after="0" w:line="282" w:lineRule="auto"/>
        <w:tabs>
          <w:tab w:leader="none" w:pos="1420" w:val="left"/>
        </w:tabs>
        <w:numPr>
          <w:ilvl w:val="0"/>
          <w:numId w:val="75"/>
        </w:numPr>
        <w:rPr>
          <w:rFonts w:ascii="Arial" w:cs="Arial" w:eastAsia="Arial" w:hAnsi="Arial"/>
          <w:sz w:val="20"/>
          <w:szCs w:val="20"/>
          <w:color w:val="00162F"/>
        </w:rPr>
      </w:pPr>
      <w:r>
        <w:rPr>
          <w:rFonts w:ascii="Arial" w:cs="Arial" w:eastAsia="Arial" w:hAnsi="Arial"/>
          <w:sz w:val="20"/>
          <w:szCs w:val="20"/>
          <w:color w:val="00162F"/>
        </w:rPr>
        <w:t>Level 2 – Inputs, other than quoted prices in active markets, that are observable either directly or indirectly; and</w:t>
      </w:r>
    </w:p>
    <w:p>
      <w:pPr>
        <w:spacing w:after="0" w:line="112" w:lineRule="exact"/>
        <w:rPr>
          <w:rFonts w:ascii="Arial" w:cs="Arial" w:eastAsia="Arial" w:hAnsi="Arial"/>
          <w:sz w:val="20"/>
          <w:szCs w:val="20"/>
          <w:color w:val="00162F"/>
        </w:rPr>
      </w:pPr>
    </w:p>
    <w:p>
      <w:pPr>
        <w:ind w:left="1420" w:hanging="712"/>
        <w:spacing w:after="0" w:line="282" w:lineRule="auto"/>
        <w:tabs>
          <w:tab w:leader="none" w:pos="1420" w:val="left"/>
        </w:tabs>
        <w:numPr>
          <w:ilvl w:val="0"/>
          <w:numId w:val="75"/>
        </w:numPr>
        <w:rPr>
          <w:rFonts w:ascii="Arial" w:cs="Arial" w:eastAsia="Arial" w:hAnsi="Arial"/>
          <w:sz w:val="20"/>
          <w:szCs w:val="20"/>
          <w:color w:val="00162F"/>
        </w:rPr>
      </w:pPr>
      <w:r>
        <w:rPr>
          <w:rFonts w:ascii="Arial" w:cs="Arial" w:eastAsia="Arial" w:hAnsi="Arial"/>
          <w:sz w:val="20"/>
          <w:szCs w:val="20"/>
          <w:color w:val="00162F"/>
        </w:rPr>
        <w:t>Level 3 – Unobservable inputs in which there is little or no market data, which require the reporting entity to develop its own assumptions.</w:t>
      </w:r>
    </w:p>
    <w:p>
      <w:pPr>
        <w:spacing w:after="0" w:line="11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When available, American uses quoted market prices to determine the fair value of its financial assets. If quoted market prices are not available, American measures fair value using valuation techniques that use, when possible, current market-based or independently-sourced market parameters, such as interest rates and currency rates.</w:t>
      </w:r>
    </w:p>
    <w:p>
      <w:pPr>
        <w:spacing w:after="0" w:line="129"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year ended December 31, 2025.</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Assets measured at fair value on a recurring basis are summarized below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00162F"/>
            </w:tcBorders>
          </w:tcPr>
          <w:p>
            <w:pPr>
              <w:spacing w:after="0"/>
              <w:rPr>
                <w:sz w:val="18"/>
                <w:szCs w:val="18"/>
                <w:color w:val="auto"/>
              </w:rPr>
            </w:pPr>
          </w:p>
        </w:tc>
        <w:tc>
          <w:tcPr>
            <w:tcW w:w="5300" w:type="dxa"/>
            <w:vAlign w:val="bottom"/>
            <w:tcBorders>
              <w:bottom w:val="single" w:sz="8" w:color="00162F"/>
            </w:tcBorders>
            <w:gridSpan w:val="10"/>
          </w:tcPr>
          <w:p>
            <w:pPr>
              <w:ind w:left="600"/>
              <w:spacing w:after="0"/>
              <w:rPr>
                <w:sz w:val="20"/>
                <w:szCs w:val="20"/>
                <w:color w:val="auto"/>
              </w:rPr>
            </w:pPr>
            <w:r>
              <w:rPr>
                <w:rFonts w:ascii="Arial" w:cs="Arial" w:eastAsia="Arial" w:hAnsi="Arial"/>
                <w:sz w:val="16"/>
                <w:szCs w:val="16"/>
                <w:b w:val="1"/>
                <w:bCs w:val="1"/>
                <w:color w:val="00162F"/>
              </w:rPr>
              <w:t>Fair Value Measurements as of December 31, 2025</w:t>
            </w:r>
          </w:p>
        </w:tc>
      </w:tr>
      <w:tr>
        <w:trPr>
          <w:trHeight w:val="232"/>
        </w:trPr>
        <w:tc>
          <w:tcPr>
            <w:tcW w:w="5060" w:type="dxa"/>
            <w:vAlign w:val="bottom"/>
            <w:tcBorders>
              <w:bottom w:val="single" w:sz="8" w:color="EDEDED"/>
            </w:tcBorders>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020" w:type="dxa"/>
            <w:vAlign w:val="bottom"/>
            <w:tcBorders>
              <w:bottom w:val="single" w:sz="8" w:color="00162F"/>
            </w:tcBorders>
          </w:tcPr>
          <w:p>
            <w:pPr>
              <w:jc w:val="right"/>
              <w:ind w:right="385"/>
              <w:spacing w:after="0"/>
              <w:rPr>
                <w:sz w:val="20"/>
                <w:szCs w:val="20"/>
                <w:color w:val="auto"/>
              </w:rPr>
            </w:pPr>
            <w:r>
              <w:rPr>
                <w:rFonts w:ascii="Arial" w:cs="Arial" w:eastAsia="Arial" w:hAnsi="Arial"/>
                <w:sz w:val="16"/>
                <w:szCs w:val="16"/>
                <w:b w:val="1"/>
                <w:bCs w:val="1"/>
                <w:color w:val="00162F"/>
              </w:rPr>
              <w:t>Total</w:t>
            </w:r>
          </w:p>
        </w:tc>
        <w:tc>
          <w:tcPr>
            <w:tcW w:w="80" w:type="dxa"/>
            <w:vAlign w:val="bottom"/>
            <w:tcBorders>
              <w:bottom w:val="single" w:sz="8" w:color="EDEDED"/>
            </w:tcBorders>
          </w:tcPr>
          <w:p>
            <w:pPr>
              <w:spacing w:after="0"/>
              <w:rPr>
                <w:sz w:val="20"/>
                <w:szCs w:val="20"/>
                <w:color w:val="auto"/>
              </w:rPr>
            </w:pPr>
          </w:p>
        </w:tc>
        <w:tc>
          <w:tcPr>
            <w:tcW w:w="28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323"/>
              <w:spacing w:after="0"/>
              <w:rPr>
                <w:sz w:val="20"/>
                <w:szCs w:val="20"/>
                <w:color w:val="auto"/>
              </w:rPr>
            </w:pPr>
            <w:r>
              <w:rPr>
                <w:rFonts w:ascii="Arial" w:cs="Arial" w:eastAsia="Arial" w:hAnsi="Arial"/>
                <w:sz w:val="16"/>
                <w:szCs w:val="16"/>
                <w:b w:val="1"/>
                <w:bCs w:val="1"/>
                <w:color w:val="00162F"/>
              </w:rPr>
              <w:t>Level 1</w:t>
            </w:r>
          </w:p>
        </w:tc>
        <w:tc>
          <w:tcPr>
            <w:tcW w:w="60" w:type="dxa"/>
            <w:vAlign w:val="bottom"/>
            <w:tcBorders>
              <w:bottom w:val="single" w:sz="8" w:color="EDEDED"/>
            </w:tcBorders>
          </w:tcPr>
          <w:p>
            <w:pPr>
              <w:spacing w:after="0"/>
              <w:rPr>
                <w:sz w:val="20"/>
                <w:szCs w:val="20"/>
                <w:color w:val="auto"/>
              </w:rPr>
            </w:pPr>
          </w:p>
        </w:tc>
        <w:tc>
          <w:tcPr>
            <w:tcW w:w="300" w:type="dxa"/>
            <w:vAlign w:val="bottom"/>
            <w:tcBorders>
              <w:bottom w:val="single" w:sz="8" w:color="00162F"/>
            </w:tcBorders>
          </w:tcPr>
          <w:p>
            <w:pPr>
              <w:spacing w:after="0"/>
              <w:rPr>
                <w:sz w:val="20"/>
                <w:szCs w:val="20"/>
                <w:color w:val="auto"/>
              </w:rPr>
            </w:pPr>
          </w:p>
        </w:tc>
        <w:tc>
          <w:tcPr>
            <w:tcW w:w="1060" w:type="dxa"/>
            <w:vAlign w:val="bottom"/>
            <w:tcBorders>
              <w:bottom w:val="single" w:sz="8" w:color="00162F"/>
            </w:tcBorders>
          </w:tcPr>
          <w:p>
            <w:pPr>
              <w:jc w:val="right"/>
              <w:ind w:right="303"/>
              <w:spacing w:after="0"/>
              <w:rPr>
                <w:sz w:val="20"/>
                <w:szCs w:val="20"/>
                <w:color w:val="auto"/>
              </w:rPr>
            </w:pPr>
            <w:r>
              <w:rPr>
                <w:rFonts w:ascii="Arial" w:cs="Arial" w:eastAsia="Arial" w:hAnsi="Arial"/>
                <w:sz w:val="16"/>
                <w:szCs w:val="16"/>
                <w:b w:val="1"/>
                <w:bCs w:val="1"/>
                <w:color w:val="00162F"/>
              </w:rPr>
              <w:t>Level 2</w:t>
            </w:r>
          </w:p>
        </w:tc>
        <w:tc>
          <w:tcPr>
            <w:tcW w:w="80" w:type="dxa"/>
            <w:vAlign w:val="bottom"/>
            <w:tcBorders>
              <w:bottom w:val="single" w:sz="8" w:color="EDEDED"/>
            </w:tcBorders>
          </w:tcPr>
          <w:p>
            <w:pPr>
              <w:spacing w:after="0"/>
              <w:rPr>
                <w:sz w:val="20"/>
                <w:szCs w:val="20"/>
                <w:color w:val="auto"/>
              </w:rPr>
            </w:pPr>
          </w:p>
        </w:tc>
        <w:tc>
          <w:tcPr>
            <w:tcW w:w="280" w:type="dxa"/>
            <w:vAlign w:val="bottom"/>
            <w:tcBorders>
              <w:bottom w:val="single" w:sz="8" w:color="00162F"/>
            </w:tcBorders>
          </w:tcPr>
          <w:p>
            <w:pPr>
              <w:spacing w:after="0"/>
              <w:rPr>
                <w:sz w:val="20"/>
                <w:szCs w:val="20"/>
                <w:color w:val="auto"/>
              </w:rPr>
            </w:pPr>
          </w:p>
        </w:tc>
        <w:tc>
          <w:tcPr>
            <w:tcW w:w="1060" w:type="dxa"/>
            <w:vAlign w:val="bottom"/>
            <w:tcBorders>
              <w:bottom w:val="single" w:sz="8" w:color="00162F"/>
            </w:tcBorders>
          </w:tcPr>
          <w:p>
            <w:pPr>
              <w:ind w:left="120"/>
              <w:spacing w:after="0"/>
              <w:rPr>
                <w:sz w:val="20"/>
                <w:szCs w:val="20"/>
                <w:color w:val="auto"/>
              </w:rPr>
            </w:pPr>
            <w:r>
              <w:rPr>
                <w:rFonts w:ascii="Arial" w:cs="Arial" w:eastAsia="Arial" w:hAnsi="Arial"/>
                <w:sz w:val="16"/>
                <w:szCs w:val="16"/>
                <w:b w:val="1"/>
                <w:bCs w:val="1"/>
                <w:color w:val="00162F"/>
              </w:rPr>
              <w:t>Level 3</w:t>
            </w:r>
          </w:p>
        </w:tc>
      </w:tr>
      <w:tr>
        <w:trPr>
          <w:trHeight w:val="287"/>
        </w:trPr>
        <w:tc>
          <w:tcPr>
            <w:tcW w:w="50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xml:space="preserve">Short-term investments </w:t>
            </w:r>
            <w:r>
              <w:rPr>
                <w:rFonts w:ascii="Arial" w:cs="Arial" w:eastAsia="Arial" w:hAnsi="Arial"/>
                <w:sz w:val="12"/>
                <w:szCs w:val="12"/>
                <w:color w:val="00162F"/>
              </w:rPr>
              <w:t>(1), (2)</w:t>
            </w:r>
            <w:r>
              <w:rPr>
                <w:rFonts w:ascii="Arial" w:cs="Arial" w:eastAsia="Arial" w:hAnsi="Arial"/>
                <w:sz w:val="20"/>
                <w:szCs w:val="20"/>
                <w:color w:val="00162F"/>
              </w:rPr>
              <w:t>:</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r>
      <w:tr>
        <w:trPr>
          <w:trHeight w:val="293"/>
        </w:trPr>
        <w:tc>
          <w:tcPr>
            <w:tcW w:w="5060" w:type="dxa"/>
            <w:vAlign w:val="bottom"/>
          </w:tcPr>
          <w:p>
            <w:pPr>
              <w:ind w:left="180"/>
              <w:spacing w:after="0"/>
              <w:rPr>
                <w:sz w:val="20"/>
                <w:szCs w:val="20"/>
                <w:color w:val="auto"/>
              </w:rPr>
            </w:pPr>
            <w:r>
              <w:rPr>
                <w:rFonts w:ascii="Arial" w:cs="Arial" w:eastAsia="Arial" w:hAnsi="Arial"/>
                <w:sz w:val="20"/>
                <w:szCs w:val="20"/>
                <w:color w:val="00162F"/>
              </w:rPr>
              <w:t>Money market funds</w:t>
            </w:r>
          </w:p>
        </w:tc>
        <w:tc>
          <w:tcPr>
            <w:tcW w:w="320" w:type="dxa"/>
            <w:vAlign w:val="bottom"/>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828</w:t>
            </w:r>
          </w:p>
        </w:tc>
        <w:tc>
          <w:tcPr>
            <w:tcW w:w="360" w:type="dxa"/>
            <w:vAlign w:val="bottom"/>
            <w:gridSpan w:val="2"/>
          </w:tcPr>
          <w:p>
            <w:pPr>
              <w:jc w:val="right"/>
              <w:ind w:right="21"/>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828</w:t>
            </w:r>
          </w:p>
        </w:tc>
        <w:tc>
          <w:tcPr>
            <w:tcW w:w="360" w:type="dxa"/>
            <w:vAlign w:val="bottom"/>
            <w:gridSpan w:val="2"/>
          </w:tcPr>
          <w:p>
            <w:pPr>
              <w:jc w:val="right"/>
              <w:ind w:right="21"/>
              <w:spacing w:after="0"/>
              <w:rPr>
                <w:sz w:val="20"/>
                <w:szCs w:val="20"/>
                <w:color w:val="auto"/>
              </w:rPr>
            </w:pPr>
            <w:r>
              <w:rPr>
                <w:rFonts w:ascii="Arial" w:cs="Arial" w:eastAsia="Arial" w:hAnsi="Arial"/>
                <w:sz w:val="20"/>
                <w:szCs w:val="20"/>
                <w:color w:val="00162F"/>
              </w:rPr>
              <w:t>$</w:t>
            </w:r>
          </w:p>
        </w:tc>
        <w:tc>
          <w:tcPr>
            <w:tcW w:w="1060" w:type="dxa"/>
            <w:vAlign w:val="bottom"/>
          </w:tcPr>
          <w:p>
            <w:pPr>
              <w:jc w:val="right"/>
              <w:spacing w:after="0"/>
              <w:rPr>
                <w:sz w:val="20"/>
                <w:szCs w:val="20"/>
                <w:color w:val="auto"/>
              </w:rPr>
            </w:pPr>
            <w:r>
              <w:rPr>
                <w:rFonts w:ascii="Arial" w:cs="Arial" w:eastAsia="Arial" w:hAnsi="Arial"/>
                <w:sz w:val="20"/>
                <w:szCs w:val="20"/>
                <w:color w:val="00162F"/>
              </w:rPr>
              <w:t>—</w:t>
            </w:r>
          </w:p>
        </w:tc>
        <w:tc>
          <w:tcPr>
            <w:tcW w:w="360" w:type="dxa"/>
            <w:vAlign w:val="bottom"/>
            <w:gridSpan w:val="2"/>
          </w:tcPr>
          <w:p>
            <w:pPr>
              <w:jc w:val="right"/>
              <w:ind w:right="21"/>
              <w:spacing w:after="0"/>
              <w:rPr>
                <w:sz w:val="20"/>
                <w:szCs w:val="20"/>
                <w:color w:val="auto"/>
              </w:rPr>
            </w:pPr>
            <w:r>
              <w:rPr>
                <w:rFonts w:ascii="Arial" w:cs="Arial" w:eastAsia="Arial" w:hAnsi="Arial"/>
                <w:sz w:val="20"/>
                <w:szCs w:val="20"/>
                <w:color w:val="00162F"/>
              </w:rPr>
              <w:t>$</w:t>
            </w:r>
          </w:p>
        </w:tc>
        <w:tc>
          <w:tcPr>
            <w:tcW w:w="1060" w:type="dxa"/>
            <w:vAlign w:val="bottom"/>
          </w:tcPr>
          <w:p>
            <w:pPr>
              <w:ind w:left="780"/>
              <w:spacing w:after="0"/>
              <w:rPr>
                <w:sz w:val="20"/>
                <w:szCs w:val="20"/>
                <w:color w:val="auto"/>
              </w:rPr>
            </w:pPr>
            <w:r>
              <w:rPr>
                <w:rFonts w:ascii="Arial" w:cs="Arial" w:eastAsia="Arial" w:hAnsi="Arial"/>
                <w:sz w:val="20"/>
                <w:szCs w:val="20"/>
                <w:color w:val="00162F"/>
              </w:rPr>
              <w:t>—</w:t>
            </w:r>
          </w:p>
        </w:tc>
      </w:tr>
      <w:tr>
        <w:trPr>
          <w:trHeight w:val="301"/>
        </w:trPr>
        <w:tc>
          <w:tcPr>
            <w:tcW w:w="50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Corporate obligations</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3,063</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3,063</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60" w:type="dxa"/>
            <w:vAlign w:val="bottom"/>
            <w:shd w:val="clear" w:color="auto" w:fill="EDEDED"/>
          </w:tcPr>
          <w:p>
            <w:pPr>
              <w:ind w:left="780"/>
              <w:spacing w:after="0"/>
              <w:rPr>
                <w:sz w:val="20"/>
                <w:szCs w:val="20"/>
                <w:color w:val="auto"/>
              </w:rPr>
            </w:pPr>
            <w:r>
              <w:rPr>
                <w:rFonts w:ascii="Arial" w:cs="Arial" w:eastAsia="Arial" w:hAnsi="Arial"/>
                <w:sz w:val="20"/>
                <w:szCs w:val="20"/>
                <w:color w:val="00162F"/>
              </w:rPr>
              <w:t>—</w:t>
            </w:r>
          </w:p>
        </w:tc>
      </w:tr>
      <w:tr>
        <w:trPr>
          <w:trHeight w:val="293"/>
        </w:trPr>
        <w:tc>
          <w:tcPr>
            <w:tcW w:w="5060" w:type="dxa"/>
            <w:vAlign w:val="bottom"/>
          </w:tcPr>
          <w:p>
            <w:pPr>
              <w:ind w:left="180"/>
              <w:spacing w:after="0"/>
              <w:rPr>
                <w:sz w:val="20"/>
                <w:szCs w:val="20"/>
                <w:color w:val="auto"/>
              </w:rPr>
            </w:pPr>
            <w:r>
              <w:rPr>
                <w:rFonts w:ascii="Arial" w:cs="Arial" w:eastAsia="Arial" w:hAnsi="Arial"/>
                <w:sz w:val="20"/>
                <w:szCs w:val="20"/>
                <w:color w:val="00162F"/>
              </w:rPr>
              <w:t>Bank notes/certificates of deposit/time deposits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589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589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20"/>
                <w:szCs w:val="20"/>
                <w:color w:val="00162F"/>
              </w:rPr>
              <w:t>—</w:t>
            </w:r>
          </w:p>
        </w:tc>
      </w:tr>
      <w:tr>
        <w:trPr>
          <w:trHeight w:val="291"/>
        </w:trPr>
        <w:tc>
          <w:tcPr>
            <w:tcW w:w="506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Repurchase agreements</w:t>
            </w: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400</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400</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ind w:left="780"/>
              <w:spacing w:after="0"/>
              <w:rPr>
                <w:sz w:val="20"/>
                <w:szCs w:val="20"/>
                <w:color w:val="auto"/>
              </w:rPr>
            </w:pPr>
            <w:r>
              <w:rPr>
                <w:rFonts w:ascii="Arial" w:cs="Arial" w:eastAsia="Arial" w:hAnsi="Arial"/>
                <w:sz w:val="20"/>
                <w:szCs w:val="20"/>
                <w:color w:val="00162F"/>
              </w:rPr>
              <w:t>—</w:t>
            </w:r>
          </w:p>
        </w:tc>
      </w:tr>
      <w:tr>
        <w:trPr>
          <w:trHeight w:val="283"/>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4,880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828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4,052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20"/>
                <w:szCs w:val="20"/>
                <w:color w:val="00162F"/>
              </w:rPr>
              <w:t>—</w:t>
            </w:r>
          </w:p>
        </w:tc>
      </w:tr>
      <w:tr>
        <w:trPr>
          <w:trHeight w:val="301"/>
        </w:trPr>
        <w:tc>
          <w:tcPr>
            <w:tcW w:w="50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xml:space="preserve">Restricted cash and short-term investments </w:t>
            </w:r>
            <w:r>
              <w:rPr>
                <w:rFonts w:ascii="Arial" w:cs="Arial" w:eastAsia="Arial" w:hAnsi="Arial"/>
                <w:sz w:val="12"/>
                <w:szCs w:val="12"/>
                <w:color w:val="00162F"/>
              </w:rPr>
              <w:t>(1), (3)</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735</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425</w:t>
            </w:r>
          </w:p>
        </w:tc>
        <w:tc>
          <w:tcPr>
            <w:tcW w:w="6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310</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60" w:type="dxa"/>
            <w:vAlign w:val="bottom"/>
            <w:shd w:val="clear" w:color="auto" w:fill="EDEDED"/>
          </w:tcPr>
          <w:p>
            <w:pPr>
              <w:ind w:left="780"/>
              <w:spacing w:after="0"/>
              <w:rPr>
                <w:sz w:val="20"/>
                <w:szCs w:val="20"/>
                <w:color w:val="auto"/>
              </w:rPr>
            </w:pPr>
            <w:r>
              <w:rPr>
                <w:rFonts w:ascii="Arial" w:cs="Arial" w:eastAsia="Arial" w:hAnsi="Arial"/>
                <w:sz w:val="20"/>
                <w:szCs w:val="20"/>
                <w:color w:val="00162F"/>
              </w:rPr>
              <w:t>—</w:t>
            </w:r>
          </w:p>
        </w:tc>
      </w:tr>
      <w:tr>
        <w:trPr>
          <w:trHeight w:val="287"/>
        </w:trPr>
        <w:tc>
          <w:tcPr>
            <w:tcW w:w="506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 xml:space="preserve">Long-term investments </w:t>
            </w:r>
            <w:r>
              <w:rPr>
                <w:rFonts w:ascii="Arial" w:cs="Arial" w:eastAsia="Arial" w:hAnsi="Arial"/>
                <w:sz w:val="12"/>
                <w:szCs w:val="12"/>
                <w:color w:val="00162F"/>
              </w:rPr>
              <w:t>(4)</w:t>
            </w:r>
          </w:p>
        </w:tc>
        <w:tc>
          <w:tcPr>
            <w:tcW w:w="320" w:type="dxa"/>
            <w:vAlign w:val="bottom"/>
            <w:tcBorders>
              <w:bottom w:val="single" w:sz="8" w:color="00162F"/>
            </w:tcBorders>
          </w:tcPr>
          <w:p>
            <w:pPr>
              <w:spacing w:after="0"/>
              <w:rPr>
                <w:sz w:val="24"/>
                <w:szCs w:val="24"/>
                <w:color w:val="auto"/>
              </w:rPr>
            </w:pPr>
          </w:p>
        </w:tc>
        <w:tc>
          <w:tcPr>
            <w:tcW w:w="10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209</w:t>
            </w:r>
          </w:p>
        </w:tc>
        <w:tc>
          <w:tcPr>
            <w:tcW w:w="80" w:type="dxa"/>
            <w:vAlign w:val="bottom"/>
            <w:tcBorders>
              <w:bottom w:val="single" w:sz="8" w:color="EDEDED"/>
            </w:tcBorders>
          </w:tcPr>
          <w:p>
            <w:pPr>
              <w:spacing w:after="0"/>
              <w:rPr>
                <w:sz w:val="24"/>
                <w:szCs w:val="24"/>
                <w:color w:val="auto"/>
              </w:rPr>
            </w:pPr>
          </w:p>
        </w:tc>
        <w:tc>
          <w:tcPr>
            <w:tcW w:w="28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209</w:t>
            </w:r>
          </w:p>
        </w:tc>
        <w:tc>
          <w:tcPr>
            <w:tcW w:w="60" w:type="dxa"/>
            <w:vAlign w:val="bottom"/>
            <w:tcBorders>
              <w:bottom w:val="single" w:sz="8" w:color="EDEDED"/>
            </w:tcBorders>
          </w:tcPr>
          <w:p>
            <w:pPr>
              <w:spacing w:after="0"/>
              <w:rPr>
                <w:sz w:val="24"/>
                <w:szCs w:val="24"/>
                <w:color w:val="auto"/>
              </w:rPr>
            </w:pPr>
          </w:p>
        </w:tc>
        <w:tc>
          <w:tcPr>
            <w:tcW w:w="30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28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ind w:left="780"/>
              <w:spacing w:after="0"/>
              <w:rPr>
                <w:sz w:val="20"/>
                <w:szCs w:val="20"/>
                <w:color w:val="auto"/>
              </w:rPr>
            </w:pPr>
            <w:r>
              <w:rPr>
                <w:rFonts w:ascii="Arial" w:cs="Arial" w:eastAsia="Arial" w:hAnsi="Arial"/>
                <w:sz w:val="20"/>
                <w:szCs w:val="20"/>
                <w:color w:val="00162F"/>
              </w:rPr>
              <w:t>—</w:t>
            </w:r>
          </w:p>
        </w:tc>
      </w:tr>
      <w:tr>
        <w:trPr>
          <w:trHeight w:val="297"/>
        </w:trPr>
        <w:tc>
          <w:tcPr>
            <w:tcW w:w="50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Total</w:t>
            </w:r>
          </w:p>
        </w:tc>
        <w:tc>
          <w:tcPr>
            <w:tcW w:w="320" w:type="dxa"/>
            <w:vAlign w:val="bottom"/>
            <w:tcBorders>
              <w:bottom w:val="single" w:sz="8" w:color="00162F"/>
            </w:tcBorders>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5,824</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1,462</w:t>
            </w:r>
          </w:p>
        </w:tc>
        <w:tc>
          <w:tcPr>
            <w:tcW w:w="6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4,362</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060" w:type="dxa"/>
            <w:vAlign w:val="bottom"/>
            <w:tcBorders>
              <w:bottom w:val="single" w:sz="8" w:color="00162F"/>
            </w:tcBorders>
            <w:shd w:val="clear" w:color="auto" w:fill="EDEDED"/>
          </w:tcPr>
          <w:p>
            <w:pPr>
              <w:ind w:left="780"/>
              <w:spacing w:after="0"/>
              <w:rPr>
                <w:sz w:val="20"/>
                <w:szCs w:val="20"/>
                <w:color w:val="auto"/>
              </w:rPr>
            </w:pPr>
            <w:r>
              <w:rPr>
                <w:rFonts w:ascii="Arial" w:cs="Arial" w:eastAsia="Arial" w:hAnsi="Arial"/>
                <w:sz w:val="20"/>
                <w:szCs w:val="20"/>
                <w:color w:val="00162F"/>
              </w:rPr>
              <w:t>—</w:t>
            </w:r>
          </w:p>
        </w:tc>
      </w:tr>
      <w:tr>
        <w:trPr>
          <w:trHeight w:val="411"/>
        </w:trPr>
        <w:tc>
          <w:tcPr>
            <w:tcW w:w="5060" w:type="dxa"/>
            <w:vAlign w:val="bottom"/>
          </w:tcPr>
          <w:p>
            <w:pPr>
              <w:spacing w:after="0"/>
              <w:rPr>
                <w:sz w:val="24"/>
                <w:szCs w:val="24"/>
                <w:color w:val="auto"/>
              </w:rPr>
            </w:pPr>
          </w:p>
        </w:tc>
        <w:tc>
          <w:tcPr>
            <w:tcW w:w="320" w:type="dxa"/>
            <w:vAlign w:val="bottom"/>
            <w:tcBorders>
              <w:bottom w:val="single" w:sz="8" w:color="00162F"/>
            </w:tcBorders>
          </w:tcPr>
          <w:p>
            <w:pPr>
              <w:spacing w:after="0"/>
              <w:rPr>
                <w:sz w:val="24"/>
                <w:szCs w:val="24"/>
                <w:color w:val="auto"/>
              </w:rPr>
            </w:pPr>
          </w:p>
        </w:tc>
        <w:tc>
          <w:tcPr>
            <w:tcW w:w="5300" w:type="dxa"/>
            <w:vAlign w:val="bottom"/>
            <w:tcBorders>
              <w:bottom w:val="single" w:sz="8" w:color="00162F"/>
            </w:tcBorders>
            <w:gridSpan w:val="10"/>
          </w:tcPr>
          <w:p>
            <w:pPr>
              <w:ind w:left="600"/>
              <w:spacing w:after="0"/>
              <w:rPr>
                <w:sz w:val="20"/>
                <w:szCs w:val="20"/>
                <w:color w:val="auto"/>
              </w:rPr>
            </w:pPr>
            <w:r>
              <w:rPr>
                <w:rFonts w:ascii="Arial" w:cs="Arial" w:eastAsia="Arial" w:hAnsi="Arial"/>
                <w:sz w:val="16"/>
                <w:szCs w:val="16"/>
                <w:b w:val="1"/>
                <w:bCs w:val="1"/>
                <w:color w:val="00162F"/>
              </w:rPr>
              <w:t>Fair Value Measurements as of December 31, 2024</w:t>
            </w:r>
          </w:p>
        </w:tc>
      </w:tr>
      <w:tr>
        <w:trPr>
          <w:trHeight w:val="232"/>
        </w:trPr>
        <w:tc>
          <w:tcPr>
            <w:tcW w:w="5060" w:type="dxa"/>
            <w:vAlign w:val="bottom"/>
            <w:tcBorders>
              <w:bottom w:val="single" w:sz="8" w:color="EDEDED"/>
            </w:tcBorders>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020" w:type="dxa"/>
            <w:vAlign w:val="bottom"/>
            <w:tcBorders>
              <w:bottom w:val="single" w:sz="8" w:color="00162F"/>
            </w:tcBorders>
          </w:tcPr>
          <w:p>
            <w:pPr>
              <w:jc w:val="right"/>
              <w:ind w:right="385"/>
              <w:spacing w:after="0"/>
              <w:rPr>
                <w:sz w:val="20"/>
                <w:szCs w:val="20"/>
                <w:color w:val="auto"/>
              </w:rPr>
            </w:pPr>
            <w:r>
              <w:rPr>
                <w:rFonts w:ascii="Arial" w:cs="Arial" w:eastAsia="Arial" w:hAnsi="Arial"/>
                <w:sz w:val="16"/>
                <w:szCs w:val="16"/>
                <w:b w:val="1"/>
                <w:bCs w:val="1"/>
                <w:color w:val="00162F"/>
              </w:rPr>
              <w:t>Total</w:t>
            </w:r>
          </w:p>
        </w:tc>
        <w:tc>
          <w:tcPr>
            <w:tcW w:w="80" w:type="dxa"/>
            <w:vAlign w:val="bottom"/>
            <w:tcBorders>
              <w:bottom w:val="single" w:sz="8" w:color="EDEDED"/>
            </w:tcBorders>
          </w:tcPr>
          <w:p>
            <w:pPr>
              <w:spacing w:after="0"/>
              <w:rPr>
                <w:sz w:val="20"/>
                <w:szCs w:val="20"/>
                <w:color w:val="auto"/>
              </w:rPr>
            </w:pPr>
          </w:p>
        </w:tc>
        <w:tc>
          <w:tcPr>
            <w:tcW w:w="280" w:type="dxa"/>
            <w:vAlign w:val="bottom"/>
            <w:tcBorders>
              <w:bottom w:val="single" w:sz="8" w:color="00162F"/>
            </w:tcBorders>
          </w:tcPr>
          <w:p>
            <w:pPr>
              <w:spacing w:after="0"/>
              <w:rPr>
                <w:sz w:val="20"/>
                <w:szCs w:val="20"/>
                <w:color w:val="auto"/>
              </w:rPr>
            </w:pPr>
          </w:p>
        </w:tc>
        <w:tc>
          <w:tcPr>
            <w:tcW w:w="1080" w:type="dxa"/>
            <w:vAlign w:val="bottom"/>
            <w:tcBorders>
              <w:bottom w:val="single" w:sz="8" w:color="00162F"/>
            </w:tcBorders>
          </w:tcPr>
          <w:p>
            <w:pPr>
              <w:jc w:val="right"/>
              <w:ind w:right="323"/>
              <w:spacing w:after="0"/>
              <w:rPr>
                <w:sz w:val="20"/>
                <w:szCs w:val="20"/>
                <w:color w:val="auto"/>
              </w:rPr>
            </w:pPr>
            <w:r>
              <w:rPr>
                <w:rFonts w:ascii="Arial" w:cs="Arial" w:eastAsia="Arial" w:hAnsi="Arial"/>
                <w:sz w:val="16"/>
                <w:szCs w:val="16"/>
                <w:b w:val="1"/>
                <w:bCs w:val="1"/>
                <w:color w:val="00162F"/>
              </w:rPr>
              <w:t>Level 1</w:t>
            </w:r>
          </w:p>
        </w:tc>
        <w:tc>
          <w:tcPr>
            <w:tcW w:w="60" w:type="dxa"/>
            <w:vAlign w:val="bottom"/>
            <w:tcBorders>
              <w:bottom w:val="single" w:sz="8" w:color="EDEDED"/>
            </w:tcBorders>
          </w:tcPr>
          <w:p>
            <w:pPr>
              <w:spacing w:after="0"/>
              <w:rPr>
                <w:sz w:val="20"/>
                <w:szCs w:val="20"/>
                <w:color w:val="auto"/>
              </w:rPr>
            </w:pPr>
          </w:p>
        </w:tc>
        <w:tc>
          <w:tcPr>
            <w:tcW w:w="300" w:type="dxa"/>
            <w:vAlign w:val="bottom"/>
            <w:tcBorders>
              <w:bottom w:val="single" w:sz="8" w:color="00162F"/>
            </w:tcBorders>
          </w:tcPr>
          <w:p>
            <w:pPr>
              <w:spacing w:after="0"/>
              <w:rPr>
                <w:sz w:val="20"/>
                <w:szCs w:val="20"/>
                <w:color w:val="auto"/>
              </w:rPr>
            </w:pPr>
          </w:p>
        </w:tc>
        <w:tc>
          <w:tcPr>
            <w:tcW w:w="1060" w:type="dxa"/>
            <w:vAlign w:val="bottom"/>
            <w:tcBorders>
              <w:bottom w:val="single" w:sz="8" w:color="00162F"/>
            </w:tcBorders>
          </w:tcPr>
          <w:p>
            <w:pPr>
              <w:jc w:val="right"/>
              <w:ind w:right="303"/>
              <w:spacing w:after="0"/>
              <w:rPr>
                <w:sz w:val="20"/>
                <w:szCs w:val="20"/>
                <w:color w:val="auto"/>
              </w:rPr>
            </w:pPr>
            <w:r>
              <w:rPr>
                <w:rFonts w:ascii="Arial" w:cs="Arial" w:eastAsia="Arial" w:hAnsi="Arial"/>
                <w:sz w:val="16"/>
                <w:szCs w:val="16"/>
                <w:b w:val="1"/>
                <w:bCs w:val="1"/>
                <w:color w:val="00162F"/>
              </w:rPr>
              <w:t>Level 2</w:t>
            </w:r>
          </w:p>
        </w:tc>
        <w:tc>
          <w:tcPr>
            <w:tcW w:w="80" w:type="dxa"/>
            <w:vAlign w:val="bottom"/>
            <w:tcBorders>
              <w:bottom w:val="single" w:sz="8" w:color="EDEDED"/>
            </w:tcBorders>
          </w:tcPr>
          <w:p>
            <w:pPr>
              <w:spacing w:after="0"/>
              <w:rPr>
                <w:sz w:val="20"/>
                <w:szCs w:val="20"/>
                <w:color w:val="auto"/>
              </w:rPr>
            </w:pPr>
          </w:p>
        </w:tc>
        <w:tc>
          <w:tcPr>
            <w:tcW w:w="280" w:type="dxa"/>
            <w:vAlign w:val="bottom"/>
            <w:tcBorders>
              <w:bottom w:val="single" w:sz="8" w:color="00162F"/>
            </w:tcBorders>
          </w:tcPr>
          <w:p>
            <w:pPr>
              <w:spacing w:after="0"/>
              <w:rPr>
                <w:sz w:val="20"/>
                <w:szCs w:val="20"/>
                <w:color w:val="auto"/>
              </w:rPr>
            </w:pPr>
          </w:p>
        </w:tc>
        <w:tc>
          <w:tcPr>
            <w:tcW w:w="1060" w:type="dxa"/>
            <w:vAlign w:val="bottom"/>
            <w:tcBorders>
              <w:bottom w:val="single" w:sz="8" w:color="00162F"/>
            </w:tcBorders>
          </w:tcPr>
          <w:p>
            <w:pPr>
              <w:ind w:left="120"/>
              <w:spacing w:after="0"/>
              <w:rPr>
                <w:sz w:val="20"/>
                <w:szCs w:val="20"/>
                <w:color w:val="auto"/>
              </w:rPr>
            </w:pPr>
            <w:r>
              <w:rPr>
                <w:rFonts w:ascii="Arial" w:cs="Arial" w:eastAsia="Arial" w:hAnsi="Arial"/>
                <w:sz w:val="16"/>
                <w:szCs w:val="16"/>
                <w:b w:val="1"/>
                <w:bCs w:val="1"/>
                <w:color w:val="00162F"/>
              </w:rPr>
              <w:t>Level 3</w:t>
            </w:r>
          </w:p>
        </w:tc>
      </w:tr>
      <w:tr>
        <w:trPr>
          <w:trHeight w:val="287"/>
        </w:trPr>
        <w:tc>
          <w:tcPr>
            <w:tcW w:w="50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xml:space="preserve">Short-term investments </w:t>
            </w:r>
            <w:r>
              <w:rPr>
                <w:rFonts w:ascii="Arial" w:cs="Arial" w:eastAsia="Arial" w:hAnsi="Arial"/>
                <w:sz w:val="12"/>
                <w:szCs w:val="12"/>
                <w:color w:val="00162F"/>
              </w:rPr>
              <w:t>(1)</w:t>
            </w:r>
            <w:r>
              <w:rPr>
                <w:rFonts w:ascii="Arial" w:cs="Arial" w:eastAsia="Arial" w:hAnsi="Arial"/>
                <w:sz w:val="20"/>
                <w:szCs w:val="20"/>
                <w:color w:val="00162F"/>
              </w:rPr>
              <w:t>:</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r>
      <w:tr>
        <w:trPr>
          <w:trHeight w:val="293"/>
        </w:trPr>
        <w:tc>
          <w:tcPr>
            <w:tcW w:w="5060" w:type="dxa"/>
            <w:vAlign w:val="bottom"/>
          </w:tcPr>
          <w:p>
            <w:pPr>
              <w:ind w:left="180"/>
              <w:spacing w:after="0"/>
              <w:rPr>
                <w:sz w:val="20"/>
                <w:szCs w:val="20"/>
                <w:color w:val="auto"/>
              </w:rPr>
            </w:pPr>
            <w:r>
              <w:rPr>
                <w:rFonts w:ascii="Arial" w:cs="Arial" w:eastAsia="Arial" w:hAnsi="Arial"/>
                <w:sz w:val="20"/>
                <w:szCs w:val="20"/>
                <w:color w:val="00162F"/>
              </w:rPr>
              <w:t>Money market funds</w:t>
            </w:r>
          </w:p>
        </w:tc>
        <w:tc>
          <w:tcPr>
            <w:tcW w:w="320" w:type="dxa"/>
            <w:vAlign w:val="bottom"/>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678</w:t>
            </w:r>
          </w:p>
        </w:tc>
        <w:tc>
          <w:tcPr>
            <w:tcW w:w="360" w:type="dxa"/>
            <w:vAlign w:val="bottom"/>
            <w:gridSpan w:val="2"/>
          </w:tcPr>
          <w:p>
            <w:pPr>
              <w:jc w:val="right"/>
              <w:ind w:right="21"/>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678</w:t>
            </w:r>
          </w:p>
        </w:tc>
        <w:tc>
          <w:tcPr>
            <w:tcW w:w="360" w:type="dxa"/>
            <w:vAlign w:val="bottom"/>
            <w:gridSpan w:val="2"/>
          </w:tcPr>
          <w:p>
            <w:pPr>
              <w:jc w:val="right"/>
              <w:ind w:right="21"/>
              <w:spacing w:after="0"/>
              <w:rPr>
                <w:sz w:val="20"/>
                <w:szCs w:val="20"/>
                <w:color w:val="auto"/>
              </w:rPr>
            </w:pPr>
            <w:r>
              <w:rPr>
                <w:rFonts w:ascii="Arial" w:cs="Arial" w:eastAsia="Arial" w:hAnsi="Arial"/>
                <w:sz w:val="20"/>
                <w:szCs w:val="20"/>
                <w:color w:val="00162F"/>
              </w:rPr>
              <w:t>$</w:t>
            </w:r>
          </w:p>
        </w:tc>
        <w:tc>
          <w:tcPr>
            <w:tcW w:w="1060" w:type="dxa"/>
            <w:vAlign w:val="bottom"/>
          </w:tcPr>
          <w:p>
            <w:pPr>
              <w:jc w:val="right"/>
              <w:spacing w:after="0"/>
              <w:rPr>
                <w:sz w:val="20"/>
                <w:szCs w:val="20"/>
                <w:color w:val="auto"/>
              </w:rPr>
            </w:pPr>
            <w:r>
              <w:rPr>
                <w:rFonts w:ascii="Arial" w:cs="Arial" w:eastAsia="Arial" w:hAnsi="Arial"/>
                <w:sz w:val="20"/>
                <w:szCs w:val="20"/>
                <w:color w:val="00162F"/>
              </w:rPr>
              <w:t>—</w:t>
            </w:r>
          </w:p>
        </w:tc>
        <w:tc>
          <w:tcPr>
            <w:tcW w:w="360" w:type="dxa"/>
            <w:vAlign w:val="bottom"/>
            <w:gridSpan w:val="2"/>
          </w:tcPr>
          <w:p>
            <w:pPr>
              <w:jc w:val="right"/>
              <w:ind w:right="21"/>
              <w:spacing w:after="0"/>
              <w:rPr>
                <w:sz w:val="20"/>
                <w:szCs w:val="20"/>
                <w:color w:val="auto"/>
              </w:rPr>
            </w:pPr>
            <w:r>
              <w:rPr>
                <w:rFonts w:ascii="Arial" w:cs="Arial" w:eastAsia="Arial" w:hAnsi="Arial"/>
                <w:sz w:val="20"/>
                <w:szCs w:val="20"/>
                <w:color w:val="00162F"/>
              </w:rPr>
              <w:t>$</w:t>
            </w:r>
          </w:p>
        </w:tc>
        <w:tc>
          <w:tcPr>
            <w:tcW w:w="1060" w:type="dxa"/>
            <w:vAlign w:val="bottom"/>
          </w:tcPr>
          <w:p>
            <w:pPr>
              <w:ind w:left="780"/>
              <w:spacing w:after="0"/>
              <w:rPr>
                <w:sz w:val="20"/>
                <w:szCs w:val="20"/>
                <w:color w:val="auto"/>
              </w:rPr>
            </w:pPr>
            <w:r>
              <w:rPr>
                <w:rFonts w:ascii="Arial" w:cs="Arial" w:eastAsia="Arial" w:hAnsi="Arial"/>
                <w:sz w:val="20"/>
                <w:szCs w:val="20"/>
                <w:color w:val="00162F"/>
              </w:rPr>
              <w:t>—</w:t>
            </w:r>
          </w:p>
        </w:tc>
      </w:tr>
      <w:tr>
        <w:trPr>
          <w:trHeight w:val="301"/>
        </w:trPr>
        <w:tc>
          <w:tcPr>
            <w:tcW w:w="50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Corporate obligations</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2,909</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2,909</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60" w:type="dxa"/>
            <w:vAlign w:val="bottom"/>
            <w:shd w:val="clear" w:color="auto" w:fill="EDEDED"/>
          </w:tcPr>
          <w:p>
            <w:pPr>
              <w:ind w:left="780"/>
              <w:spacing w:after="0"/>
              <w:rPr>
                <w:sz w:val="20"/>
                <w:szCs w:val="20"/>
                <w:color w:val="auto"/>
              </w:rPr>
            </w:pPr>
            <w:r>
              <w:rPr>
                <w:rFonts w:ascii="Arial" w:cs="Arial" w:eastAsia="Arial" w:hAnsi="Arial"/>
                <w:sz w:val="20"/>
                <w:szCs w:val="20"/>
                <w:color w:val="00162F"/>
              </w:rPr>
              <w:t>—</w:t>
            </w:r>
          </w:p>
        </w:tc>
      </w:tr>
      <w:tr>
        <w:trPr>
          <w:trHeight w:val="293"/>
        </w:trPr>
        <w:tc>
          <w:tcPr>
            <w:tcW w:w="5060" w:type="dxa"/>
            <w:vAlign w:val="bottom"/>
          </w:tcPr>
          <w:p>
            <w:pPr>
              <w:ind w:left="180"/>
              <w:spacing w:after="0"/>
              <w:rPr>
                <w:sz w:val="20"/>
                <w:szCs w:val="20"/>
                <w:color w:val="auto"/>
              </w:rPr>
            </w:pPr>
            <w:r>
              <w:rPr>
                <w:rFonts w:ascii="Arial" w:cs="Arial" w:eastAsia="Arial" w:hAnsi="Arial"/>
                <w:sz w:val="20"/>
                <w:szCs w:val="20"/>
                <w:color w:val="00162F"/>
              </w:rPr>
              <w:t>Bank notes/certificates of deposit/time deposits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2,040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2,040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20"/>
                <w:szCs w:val="20"/>
                <w:color w:val="00162F"/>
              </w:rPr>
              <w:t>—</w:t>
            </w:r>
          </w:p>
        </w:tc>
      </w:tr>
      <w:tr>
        <w:trPr>
          <w:trHeight w:val="291"/>
        </w:trPr>
        <w:tc>
          <w:tcPr>
            <w:tcW w:w="506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20"/>
                <w:szCs w:val="20"/>
                <w:color w:val="00162F"/>
              </w:rPr>
              <w:t>Repurchase agreements</w:t>
            </w: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550</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550</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ind w:left="780"/>
              <w:spacing w:after="0"/>
              <w:rPr>
                <w:sz w:val="20"/>
                <w:szCs w:val="20"/>
                <w:color w:val="auto"/>
              </w:rPr>
            </w:pPr>
            <w:r>
              <w:rPr>
                <w:rFonts w:ascii="Arial" w:cs="Arial" w:eastAsia="Arial" w:hAnsi="Arial"/>
                <w:sz w:val="20"/>
                <w:szCs w:val="20"/>
                <w:color w:val="00162F"/>
              </w:rPr>
              <w:t>—</w:t>
            </w:r>
          </w:p>
        </w:tc>
      </w:tr>
      <w:tr>
        <w:trPr>
          <w:trHeight w:val="283"/>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6,177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678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5,499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20"/>
                <w:szCs w:val="20"/>
                <w:color w:val="00162F"/>
              </w:rPr>
              <w:t>—</w:t>
            </w:r>
          </w:p>
        </w:tc>
      </w:tr>
      <w:tr>
        <w:trPr>
          <w:trHeight w:val="301"/>
        </w:trPr>
        <w:tc>
          <w:tcPr>
            <w:tcW w:w="506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xml:space="preserve">Restricted cash and short-term investments </w:t>
            </w:r>
            <w:r>
              <w:rPr>
                <w:rFonts w:ascii="Arial" w:cs="Arial" w:eastAsia="Arial" w:hAnsi="Arial"/>
                <w:sz w:val="12"/>
                <w:szCs w:val="12"/>
                <w:color w:val="00162F"/>
              </w:rPr>
              <w:t>(1), (3)</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732</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442</w:t>
            </w:r>
          </w:p>
        </w:tc>
        <w:tc>
          <w:tcPr>
            <w:tcW w:w="6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290</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1060" w:type="dxa"/>
            <w:vAlign w:val="bottom"/>
            <w:shd w:val="clear" w:color="auto" w:fill="EDEDED"/>
          </w:tcPr>
          <w:p>
            <w:pPr>
              <w:ind w:left="780"/>
              <w:spacing w:after="0"/>
              <w:rPr>
                <w:sz w:val="20"/>
                <w:szCs w:val="20"/>
                <w:color w:val="auto"/>
              </w:rPr>
            </w:pPr>
            <w:r>
              <w:rPr>
                <w:rFonts w:ascii="Arial" w:cs="Arial" w:eastAsia="Arial" w:hAnsi="Arial"/>
                <w:sz w:val="20"/>
                <w:szCs w:val="20"/>
                <w:color w:val="00162F"/>
              </w:rPr>
              <w:t>—</w:t>
            </w:r>
          </w:p>
        </w:tc>
      </w:tr>
      <w:tr>
        <w:trPr>
          <w:trHeight w:val="287"/>
        </w:trPr>
        <w:tc>
          <w:tcPr>
            <w:tcW w:w="5060" w:type="dxa"/>
            <w:vAlign w:val="bottom"/>
            <w:tcBorders>
              <w:bottom w:val="single" w:sz="8" w:color="EDEDED"/>
            </w:tcBorders>
          </w:tcPr>
          <w:p>
            <w:pPr>
              <w:ind w:left="40"/>
              <w:spacing w:after="0"/>
              <w:rPr>
                <w:sz w:val="20"/>
                <w:szCs w:val="20"/>
                <w:color w:val="auto"/>
              </w:rPr>
            </w:pPr>
            <w:r>
              <w:rPr>
                <w:rFonts w:ascii="Arial" w:cs="Arial" w:eastAsia="Arial" w:hAnsi="Arial"/>
                <w:sz w:val="20"/>
                <w:szCs w:val="20"/>
                <w:color w:val="00162F"/>
              </w:rPr>
              <w:t xml:space="preserve">Long-term investments </w:t>
            </w:r>
            <w:r>
              <w:rPr>
                <w:rFonts w:ascii="Arial" w:cs="Arial" w:eastAsia="Arial" w:hAnsi="Arial"/>
                <w:sz w:val="12"/>
                <w:szCs w:val="12"/>
                <w:color w:val="00162F"/>
              </w:rPr>
              <w:t>(4)</w:t>
            </w:r>
          </w:p>
        </w:tc>
        <w:tc>
          <w:tcPr>
            <w:tcW w:w="320" w:type="dxa"/>
            <w:vAlign w:val="bottom"/>
            <w:tcBorders>
              <w:bottom w:val="single" w:sz="8" w:color="00162F"/>
            </w:tcBorders>
          </w:tcPr>
          <w:p>
            <w:pPr>
              <w:spacing w:after="0"/>
              <w:rPr>
                <w:sz w:val="24"/>
                <w:szCs w:val="24"/>
                <w:color w:val="auto"/>
              </w:rPr>
            </w:pPr>
          </w:p>
        </w:tc>
        <w:tc>
          <w:tcPr>
            <w:tcW w:w="10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161</w:t>
            </w:r>
          </w:p>
        </w:tc>
        <w:tc>
          <w:tcPr>
            <w:tcW w:w="80" w:type="dxa"/>
            <w:vAlign w:val="bottom"/>
            <w:tcBorders>
              <w:bottom w:val="single" w:sz="8" w:color="EDEDED"/>
            </w:tcBorders>
          </w:tcPr>
          <w:p>
            <w:pPr>
              <w:spacing w:after="0"/>
              <w:rPr>
                <w:sz w:val="24"/>
                <w:szCs w:val="24"/>
                <w:color w:val="auto"/>
              </w:rPr>
            </w:pPr>
          </w:p>
        </w:tc>
        <w:tc>
          <w:tcPr>
            <w:tcW w:w="280" w:type="dxa"/>
            <w:vAlign w:val="bottom"/>
            <w:tcBorders>
              <w:bottom w:val="single" w:sz="8" w:color="00162F"/>
            </w:tcBorders>
          </w:tcPr>
          <w:p>
            <w:pPr>
              <w:spacing w:after="0"/>
              <w:rPr>
                <w:sz w:val="24"/>
                <w:szCs w:val="24"/>
                <w:color w:val="auto"/>
              </w:rPr>
            </w:pPr>
          </w:p>
        </w:tc>
        <w:tc>
          <w:tcPr>
            <w:tcW w:w="10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161</w:t>
            </w:r>
          </w:p>
        </w:tc>
        <w:tc>
          <w:tcPr>
            <w:tcW w:w="60" w:type="dxa"/>
            <w:vAlign w:val="bottom"/>
            <w:tcBorders>
              <w:bottom w:val="single" w:sz="8" w:color="EDEDED"/>
            </w:tcBorders>
          </w:tcPr>
          <w:p>
            <w:pPr>
              <w:spacing w:after="0"/>
              <w:rPr>
                <w:sz w:val="24"/>
                <w:szCs w:val="24"/>
                <w:color w:val="auto"/>
              </w:rPr>
            </w:pPr>
          </w:p>
        </w:tc>
        <w:tc>
          <w:tcPr>
            <w:tcW w:w="30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28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ind w:left="780"/>
              <w:spacing w:after="0"/>
              <w:rPr>
                <w:sz w:val="20"/>
                <w:szCs w:val="20"/>
                <w:color w:val="auto"/>
              </w:rPr>
            </w:pPr>
            <w:r>
              <w:rPr>
                <w:rFonts w:ascii="Arial" w:cs="Arial" w:eastAsia="Arial" w:hAnsi="Arial"/>
                <w:sz w:val="20"/>
                <w:szCs w:val="20"/>
                <w:color w:val="00162F"/>
              </w:rPr>
              <w:t>—</w:t>
            </w:r>
          </w:p>
        </w:tc>
      </w:tr>
      <w:tr>
        <w:trPr>
          <w:trHeight w:val="297"/>
        </w:trPr>
        <w:tc>
          <w:tcPr>
            <w:tcW w:w="506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Total</w:t>
            </w:r>
          </w:p>
        </w:tc>
        <w:tc>
          <w:tcPr>
            <w:tcW w:w="320" w:type="dxa"/>
            <w:vAlign w:val="bottom"/>
            <w:tcBorders>
              <w:bottom w:val="single" w:sz="8" w:color="00162F"/>
            </w:tcBorders>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7,070</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1,281</w:t>
            </w:r>
          </w:p>
        </w:tc>
        <w:tc>
          <w:tcPr>
            <w:tcW w:w="6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5,789</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rPr>
              <w:t>$</w:t>
            </w:r>
          </w:p>
        </w:tc>
        <w:tc>
          <w:tcPr>
            <w:tcW w:w="1060" w:type="dxa"/>
            <w:vAlign w:val="bottom"/>
            <w:tcBorders>
              <w:bottom w:val="single" w:sz="8" w:color="00162F"/>
            </w:tcBorders>
            <w:shd w:val="clear" w:color="auto" w:fill="EDEDED"/>
          </w:tcPr>
          <w:p>
            <w:pPr>
              <w:ind w:left="780"/>
              <w:spacing w:after="0"/>
              <w:rPr>
                <w:sz w:val="20"/>
                <w:szCs w:val="20"/>
                <w:color w:val="auto"/>
              </w:rPr>
            </w:pPr>
            <w:r>
              <w:rPr>
                <w:rFonts w:ascii="Arial" w:cs="Arial" w:eastAsia="Arial" w:hAnsi="Arial"/>
                <w:sz w:val="20"/>
                <w:szCs w:val="20"/>
                <w:color w:val="00162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-3883660</wp:posOffset>
            </wp:positionV>
            <wp:extent cx="3623310" cy="501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3">
                      <a:extLst>
                        <a:ext uri="{28A0092B-C50C-407E-A947-70E740481C1C}"/>
                      </a:extLst>
                    </a:blip>
                    <a:srcRect/>
                    <a:stretch>
                      <a:fillRect/>
                    </a:stretch>
                  </pic:blipFill>
                  <pic:spPr bwMode="auto">
                    <a:xfrm>
                      <a:off x="0" y="0"/>
                      <a:ext cx="3623310" cy="5016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-2940685</wp:posOffset>
            </wp:positionV>
            <wp:extent cx="2740660" cy="501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4">
                      <a:extLst>
                        <a:ext uri="{28A0092B-C50C-407E-A947-70E740481C1C}"/>
                      </a:extLst>
                    </a:blip>
                    <a:srcRect/>
                    <a:stretch>
                      <a:fillRect/>
                    </a:stretch>
                  </pic:blipFill>
                  <pic:spPr bwMode="auto">
                    <a:xfrm>
                      <a:off x="0" y="0"/>
                      <a:ext cx="2740660" cy="5016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-2375535</wp:posOffset>
            </wp:positionV>
            <wp:extent cx="2740660" cy="501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5">
                      <a:extLst>
                        <a:ext uri="{28A0092B-C50C-407E-A947-70E740481C1C}"/>
                      </a:extLst>
                    </a:blip>
                    <a:srcRect/>
                    <a:stretch>
                      <a:fillRect/>
                    </a:stretch>
                  </pic:blipFill>
                  <pic:spPr bwMode="auto">
                    <a:xfrm>
                      <a:off x="0" y="0"/>
                      <a:ext cx="2740660" cy="5016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-2199005</wp:posOffset>
            </wp:positionV>
            <wp:extent cx="3623310" cy="755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6">
                      <a:extLst>
                        <a:ext uri="{28A0092B-C50C-407E-A947-70E740481C1C}"/>
                      </a:extLst>
                    </a:blip>
                    <a:srcRect/>
                    <a:stretch>
                      <a:fillRect/>
                    </a:stretch>
                  </pic:blipFill>
                  <pic:spPr bwMode="auto">
                    <a:xfrm>
                      <a:off x="0" y="0"/>
                      <a:ext cx="3623310" cy="7556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-1740535</wp:posOffset>
            </wp:positionV>
            <wp:extent cx="3623310" cy="501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7">
                      <a:extLst>
                        <a:ext uri="{28A0092B-C50C-407E-A947-70E740481C1C}"/>
                      </a:extLst>
                    </a:blip>
                    <a:srcRect/>
                    <a:stretch>
                      <a:fillRect/>
                    </a:stretch>
                  </pic:blipFill>
                  <pic:spPr bwMode="auto">
                    <a:xfrm>
                      <a:off x="0" y="0"/>
                      <a:ext cx="3623310" cy="5016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-797560</wp:posOffset>
            </wp:positionV>
            <wp:extent cx="2740660" cy="501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8">
                      <a:extLst>
                        <a:ext uri="{28A0092B-C50C-407E-A947-70E740481C1C}"/>
                      </a:extLst>
                    </a:blip>
                    <a:srcRect/>
                    <a:stretch>
                      <a:fillRect/>
                    </a:stretch>
                  </pic:blipFill>
                  <pic:spPr bwMode="auto">
                    <a:xfrm>
                      <a:off x="0" y="0"/>
                      <a:ext cx="2740660" cy="5016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-231775</wp:posOffset>
            </wp:positionV>
            <wp:extent cx="2740660" cy="501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9">
                      <a:extLst>
                        <a:ext uri="{28A0092B-C50C-407E-A947-70E740481C1C}"/>
                      </a:extLst>
                    </a:blip>
                    <a:srcRect/>
                    <a:stretch>
                      <a:fillRect/>
                    </a:stretch>
                  </pic:blipFill>
                  <pic:spPr bwMode="auto">
                    <a:xfrm>
                      <a:off x="0" y="0"/>
                      <a:ext cx="2740660" cy="5016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-55880</wp:posOffset>
            </wp:positionV>
            <wp:extent cx="3623310" cy="755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0">
                      <a:extLst>
                        <a:ext uri="{28A0092B-C50C-407E-A947-70E740481C1C}"/>
                      </a:extLst>
                    </a:blip>
                    <a:srcRect/>
                    <a:stretch>
                      <a:fillRect/>
                    </a:stretch>
                  </pic:blipFill>
                  <pic:spPr bwMode="auto">
                    <a:xfrm>
                      <a:off x="0" y="0"/>
                      <a:ext cx="3623310" cy="75565"/>
                    </a:xfrm>
                    <a:prstGeom prst="rect">
                      <a:avLst/>
                    </a:prstGeom>
                    <a:noFill/>
                  </pic:spPr>
                </pic:pic>
              </a:graphicData>
            </a:graphic>
          </wp:anchor>
        </w:drawing>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153</w:t>
      </w:r>
    </w:p>
    <w:p>
      <w:pPr>
        <w:sectPr>
          <w:pgSz w:w="11880" w:h="15480" w:orient="portrait"/>
          <w:cols w:equalWidth="0" w:num="1">
            <w:col w:w="10680"/>
          </w:cols>
          <w:pgMar w:left="600" w:top="249" w:right="600" w:bottom="0" w:gutter="0" w:footer="0" w:header="0"/>
          <w:type w:val="continuous"/>
        </w:sectPr>
      </w:pPr>
    </w:p>
    <w:bookmarkStart w:id="154" w:name="page155"/>
    <w:bookmarkEnd w:id="154"/>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401320</wp:posOffset>
            </wp:positionV>
            <wp:extent cx="1254125" cy="127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1">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5" w:hanging="365"/>
        <w:spacing w:after="0" w:line="282" w:lineRule="auto"/>
        <w:tabs>
          <w:tab w:leader="none" w:pos="365" w:val="left"/>
        </w:tabs>
        <w:numPr>
          <w:ilvl w:val="0"/>
          <w:numId w:val="76"/>
        </w:numPr>
        <w:rPr>
          <w:rFonts w:ascii="Arial" w:cs="Arial" w:eastAsia="Arial" w:hAnsi="Arial"/>
          <w:sz w:val="13"/>
          <w:szCs w:val="13"/>
          <w:color w:val="00162F"/>
        </w:rPr>
      </w:pPr>
      <w:r>
        <w:rPr>
          <w:rFonts w:ascii="Arial" w:cs="Arial" w:eastAsia="Arial" w:hAnsi="Arial"/>
          <w:sz w:val="20"/>
          <w:szCs w:val="20"/>
          <w:color w:val="00162F"/>
        </w:rPr>
        <w:t>All short-term investments are classified as available-for-sale and stated at fair value. Unrealized gains and losses are recorded in accumulated other comprehensive loss at each reporting period. There were no credit losses.</w:t>
      </w:r>
    </w:p>
    <w:p>
      <w:pPr>
        <w:spacing w:after="0" w:line="112" w:lineRule="exact"/>
        <w:rPr>
          <w:rFonts w:ascii="Arial" w:cs="Arial" w:eastAsia="Arial" w:hAnsi="Arial"/>
          <w:sz w:val="13"/>
          <w:szCs w:val="13"/>
          <w:color w:val="00162F"/>
        </w:rPr>
      </w:pPr>
    </w:p>
    <w:p>
      <w:pPr>
        <w:ind w:left="365" w:hanging="365"/>
        <w:spacing w:after="0"/>
        <w:tabs>
          <w:tab w:leader="none" w:pos="365" w:val="left"/>
        </w:tabs>
        <w:numPr>
          <w:ilvl w:val="0"/>
          <w:numId w:val="76"/>
        </w:numPr>
        <w:rPr>
          <w:rFonts w:ascii="Arial" w:cs="Arial" w:eastAsia="Arial" w:hAnsi="Arial"/>
          <w:sz w:val="13"/>
          <w:szCs w:val="13"/>
          <w:color w:val="00162F"/>
        </w:rPr>
      </w:pPr>
      <w:r>
        <w:rPr>
          <w:rFonts w:ascii="Arial" w:cs="Arial" w:eastAsia="Arial" w:hAnsi="Arial"/>
          <w:sz w:val="20"/>
          <w:szCs w:val="20"/>
          <w:color w:val="00162F"/>
        </w:rPr>
        <w:t>American’s short-term investments as of December 31, 2025 mature in one year or less.</w:t>
      </w:r>
    </w:p>
    <w:p>
      <w:pPr>
        <w:spacing w:after="0" w:line="185" w:lineRule="exact"/>
        <w:rPr>
          <w:rFonts w:ascii="Arial" w:cs="Arial" w:eastAsia="Arial" w:hAnsi="Arial"/>
          <w:sz w:val="13"/>
          <w:szCs w:val="13"/>
          <w:color w:val="00162F"/>
        </w:rPr>
      </w:pPr>
    </w:p>
    <w:p>
      <w:pPr>
        <w:jc w:val="both"/>
        <w:ind w:left="365" w:hanging="365"/>
        <w:spacing w:after="0" w:line="259" w:lineRule="auto"/>
        <w:tabs>
          <w:tab w:leader="none" w:pos="365" w:val="left"/>
        </w:tabs>
        <w:numPr>
          <w:ilvl w:val="0"/>
          <w:numId w:val="76"/>
        </w:numPr>
        <w:rPr>
          <w:rFonts w:ascii="Arial" w:cs="Arial" w:eastAsia="Arial" w:hAnsi="Arial"/>
          <w:sz w:val="13"/>
          <w:szCs w:val="13"/>
          <w:color w:val="00162F"/>
        </w:rPr>
      </w:pPr>
      <w:r>
        <w:rPr>
          <w:rFonts w:ascii="Arial" w:cs="Arial" w:eastAsia="Arial" w:hAnsi="Arial"/>
          <w:sz w:val="20"/>
          <w:szCs w:val="20"/>
          <w:color w:val="00162F"/>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Tulsa Maintenance Base. Restricted short-term investments principally mature in one year or less.</w:t>
      </w:r>
    </w:p>
    <w:p>
      <w:pPr>
        <w:spacing w:after="0" w:line="149" w:lineRule="exact"/>
        <w:rPr>
          <w:rFonts w:ascii="Arial" w:cs="Arial" w:eastAsia="Arial" w:hAnsi="Arial"/>
          <w:sz w:val="13"/>
          <w:szCs w:val="13"/>
          <w:color w:val="00162F"/>
        </w:rPr>
      </w:pPr>
    </w:p>
    <w:p>
      <w:pPr>
        <w:ind w:left="365" w:hanging="365"/>
        <w:spacing w:after="0" w:line="228" w:lineRule="auto"/>
        <w:tabs>
          <w:tab w:leader="none" w:pos="365" w:val="left"/>
        </w:tabs>
        <w:numPr>
          <w:ilvl w:val="0"/>
          <w:numId w:val="76"/>
        </w:numPr>
        <w:rPr>
          <w:rFonts w:ascii="Arial" w:cs="Arial" w:eastAsia="Arial" w:hAnsi="Arial"/>
          <w:sz w:val="28"/>
          <w:szCs w:val="28"/>
          <w:color w:val="00162F"/>
          <w:vertAlign w:val="superscript"/>
        </w:rPr>
      </w:pPr>
      <w:r>
        <w:rPr>
          <w:rFonts w:ascii="Arial" w:cs="Arial" w:eastAsia="Arial" w:hAnsi="Arial"/>
          <w:sz w:val="20"/>
          <w:szCs w:val="20"/>
          <w:color w:val="00162F"/>
        </w:rPr>
        <w:t>Long-term investments primarily include American's equity investment in China Southern Airlines Company Limited (China Southern Airlines). See Note 7 for further information on American’s equity investments.</w:t>
      </w:r>
    </w:p>
    <w:p>
      <w:pPr>
        <w:spacing w:after="0" w:line="252"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u w:val="single" w:color="auto"/>
          <w:color w:val="00162F"/>
        </w:rPr>
        <w:t>Fair Value of Debt</w:t>
      </w:r>
    </w:p>
    <w:p>
      <w:pPr>
        <w:spacing w:after="0" w:line="95" w:lineRule="exact"/>
        <w:rPr>
          <w:sz w:val="20"/>
          <w:szCs w:val="20"/>
          <w:color w:val="auto"/>
        </w:rPr>
      </w:pPr>
    </w:p>
    <w:p>
      <w:pPr>
        <w:jc w:val="both"/>
        <w:ind w:left="5" w:firstLine="267"/>
        <w:spacing w:after="0" w:line="310" w:lineRule="auto"/>
        <w:rPr>
          <w:sz w:val="20"/>
          <w:szCs w:val="20"/>
          <w:color w:val="auto"/>
        </w:rPr>
      </w:pPr>
      <w:r>
        <w:rPr>
          <w:rFonts w:ascii="Arial" w:cs="Arial" w:eastAsia="Arial" w:hAnsi="Arial"/>
          <w:sz w:val="19"/>
          <w:szCs w:val="19"/>
          <w:color w:val="00162F"/>
        </w:rPr>
        <w:t>The fair value of American’s long-term debt was estimated using quoted market prices or discounted cash flow analyses based on American’s current estimated incremental borrowing rates for similar types of borrowing arrangements.</w:t>
      </w:r>
    </w:p>
    <w:p>
      <w:pPr>
        <w:spacing w:after="0" w:line="89"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The carrying value and estimated fair value of American’s long-term debt, including current maturities, were as follows (in millions):</w:t>
      </w:r>
    </w:p>
    <w:p>
      <w:pPr>
        <w:spacing w:after="0" w:line="103"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02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300" w:type="dxa"/>
            <w:vAlign w:val="bottom"/>
            <w:tcBorders>
              <w:bottom w:val="single" w:sz="8" w:color="00162F"/>
            </w:tcBorders>
          </w:tcPr>
          <w:p>
            <w:pPr>
              <w:spacing w:after="0"/>
              <w:rPr>
                <w:sz w:val="18"/>
                <w:szCs w:val="18"/>
                <w:color w:val="auto"/>
              </w:rPr>
            </w:pPr>
          </w:p>
        </w:tc>
        <w:tc>
          <w:tcPr>
            <w:tcW w:w="920" w:type="dxa"/>
            <w:vAlign w:val="bottom"/>
            <w:tcBorders>
              <w:bottom w:val="single" w:sz="8" w:color="00162F"/>
            </w:tcBorders>
          </w:tcPr>
          <w:p>
            <w:pPr>
              <w:spacing w:after="0"/>
              <w:rPr>
                <w:sz w:val="18"/>
                <w:szCs w:val="18"/>
                <w:color w:val="auto"/>
              </w:rPr>
            </w:pPr>
          </w:p>
        </w:tc>
        <w:tc>
          <w:tcPr>
            <w:tcW w:w="1480" w:type="dxa"/>
            <w:vAlign w:val="bottom"/>
            <w:tcBorders>
              <w:bottom w:val="single" w:sz="8" w:color="00162F"/>
            </w:tcBorders>
            <w:gridSpan w:val="6"/>
          </w:tcPr>
          <w:p>
            <w:pPr>
              <w:jc w:val="center"/>
              <w:spacing w:after="0"/>
              <w:rPr>
                <w:sz w:val="20"/>
                <w:szCs w:val="20"/>
                <w:color w:val="auto"/>
              </w:rPr>
            </w:pPr>
            <w:r>
              <w:rPr>
                <w:rFonts w:ascii="Arial" w:cs="Arial" w:eastAsia="Arial" w:hAnsi="Arial"/>
                <w:sz w:val="16"/>
                <w:szCs w:val="16"/>
                <w:b w:val="1"/>
                <w:bCs w:val="1"/>
                <w:color w:val="00162F"/>
                <w:w w:val="99"/>
              </w:rPr>
              <w:t>December 31, 2025</w:t>
            </w:r>
          </w:p>
        </w:tc>
        <w:tc>
          <w:tcPr>
            <w:tcW w:w="320" w:type="dxa"/>
            <w:vAlign w:val="bottom"/>
            <w:tcBorders>
              <w:bottom w:val="single" w:sz="8" w:color="00162F"/>
            </w:tcBorders>
          </w:tcPr>
          <w:p>
            <w:pPr>
              <w:spacing w:after="0"/>
              <w:rPr>
                <w:sz w:val="18"/>
                <w:szCs w:val="18"/>
                <w:color w:val="auto"/>
              </w:rPr>
            </w:pPr>
          </w:p>
        </w:tc>
        <w:tc>
          <w:tcPr>
            <w:tcW w:w="90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260" w:type="dxa"/>
            <w:vAlign w:val="bottom"/>
            <w:tcBorders>
              <w:bottom w:val="single" w:sz="8" w:color="00162F"/>
            </w:tcBorders>
          </w:tcPr>
          <w:p>
            <w:pPr>
              <w:spacing w:after="0"/>
              <w:rPr>
                <w:sz w:val="18"/>
                <w:szCs w:val="18"/>
                <w:color w:val="auto"/>
              </w:rPr>
            </w:pPr>
          </w:p>
        </w:tc>
        <w:tc>
          <w:tcPr>
            <w:tcW w:w="1000" w:type="dxa"/>
            <w:vAlign w:val="bottom"/>
            <w:tcBorders>
              <w:bottom w:val="single" w:sz="8" w:color="00162F"/>
            </w:tcBorders>
          </w:tcPr>
          <w:p>
            <w:pPr>
              <w:spacing w:after="0"/>
              <w:rPr>
                <w:sz w:val="18"/>
                <w:szCs w:val="18"/>
                <w:color w:val="auto"/>
              </w:rPr>
            </w:pPr>
          </w:p>
        </w:tc>
      </w:tr>
      <w:tr>
        <w:trPr>
          <w:trHeight w:val="218"/>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00162F"/>
              </w:rPr>
              <w:t>Carrying</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b w:val="1"/>
                <w:bCs w:val="1"/>
                <w:color w:val="00162F"/>
              </w:rPr>
              <w:t>Fair Value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4080" w:type="dxa"/>
            <w:vAlign w:val="bottom"/>
            <w:tcBorders>
              <w:bottom w:val="single" w:sz="8" w:color="EDEDED"/>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020" w:type="dxa"/>
            <w:vAlign w:val="bottom"/>
            <w:tcBorders>
              <w:bottom w:val="single" w:sz="8" w:color="00162F"/>
            </w:tcBorders>
          </w:tcPr>
          <w:p>
            <w:pPr>
              <w:jc w:val="center"/>
              <w:ind w:right="154"/>
              <w:spacing w:after="0"/>
              <w:rPr>
                <w:sz w:val="20"/>
                <w:szCs w:val="20"/>
                <w:color w:val="auto"/>
              </w:rPr>
            </w:pPr>
            <w:r>
              <w:rPr>
                <w:rFonts w:ascii="Arial" w:cs="Arial" w:eastAsia="Arial" w:hAnsi="Arial"/>
                <w:sz w:val="16"/>
                <w:szCs w:val="16"/>
                <w:b w:val="1"/>
                <w:bCs w:val="1"/>
                <w:color w:val="00162F"/>
                <w:w w:val="98"/>
              </w:rPr>
              <w:t>Value</w:t>
            </w:r>
          </w:p>
        </w:tc>
        <w:tc>
          <w:tcPr>
            <w:tcW w:w="80" w:type="dxa"/>
            <w:vAlign w:val="bottom"/>
            <w:tcBorders>
              <w:bottom w:val="single" w:sz="8" w:color="EDEDED"/>
            </w:tcBorders>
          </w:tcPr>
          <w:p>
            <w:pPr>
              <w:spacing w:after="0"/>
              <w:rPr>
                <w:sz w:val="18"/>
                <w:szCs w:val="18"/>
                <w:color w:val="auto"/>
              </w:rPr>
            </w:pPr>
          </w:p>
        </w:tc>
        <w:tc>
          <w:tcPr>
            <w:tcW w:w="300" w:type="dxa"/>
            <w:vAlign w:val="bottom"/>
            <w:tcBorders>
              <w:top w:val="single" w:sz="8" w:color="00162F"/>
              <w:bottom w:val="single" w:sz="8" w:color="00162F"/>
            </w:tcBorders>
          </w:tcPr>
          <w:p>
            <w:pPr>
              <w:spacing w:after="0"/>
              <w:rPr>
                <w:sz w:val="18"/>
                <w:szCs w:val="18"/>
                <w:color w:val="auto"/>
              </w:rPr>
            </w:pPr>
          </w:p>
        </w:tc>
        <w:tc>
          <w:tcPr>
            <w:tcW w:w="920" w:type="dxa"/>
            <w:vAlign w:val="bottom"/>
            <w:tcBorders>
              <w:top w:val="single" w:sz="8" w:color="00162F"/>
              <w:bottom w:val="single" w:sz="8" w:color="00162F"/>
            </w:tcBorders>
          </w:tcPr>
          <w:p>
            <w:pPr>
              <w:jc w:val="right"/>
              <w:ind w:right="311"/>
              <w:spacing w:after="0"/>
              <w:rPr>
                <w:sz w:val="20"/>
                <w:szCs w:val="20"/>
                <w:color w:val="auto"/>
              </w:rPr>
            </w:pPr>
            <w:r>
              <w:rPr>
                <w:rFonts w:ascii="Arial" w:cs="Arial" w:eastAsia="Arial" w:hAnsi="Arial"/>
                <w:sz w:val="16"/>
                <w:szCs w:val="16"/>
                <w:b w:val="1"/>
                <w:bCs w:val="1"/>
                <w:color w:val="00162F"/>
              </w:rPr>
              <w:t>Total</w:t>
            </w:r>
          </w:p>
        </w:tc>
        <w:tc>
          <w:tcPr>
            <w:tcW w:w="40" w:type="dxa"/>
            <w:vAlign w:val="bottom"/>
            <w:tcBorders>
              <w:top w:val="single" w:sz="8" w:color="00162F"/>
              <w:bottom w:val="single" w:sz="8" w:color="00162F"/>
            </w:tcBorders>
          </w:tcPr>
          <w:p>
            <w:pPr>
              <w:spacing w:after="0"/>
              <w:rPr>
                <w:sz w:val="18"/>
                <w:szCs w:val="18"/>
                <w:color w:val="auto"/>
              </w:rPr>
            </w:pPr>
          </w:p>
        </w:tc>
        <w:tc>
          <w:tcPr>
            <w:tcW w:w="80" w:type="dxa"/>
            <w:vAlign w:val="bottom"/>
            <w:tcBorders>
              <w:top w:val="single" w:sz="8" w:color="00162F"/>
              <w:bottom w:val="single" w:sz="8" w:color="EDEDED"/>
            </w:tcBorders>
          </w:tcPr>
          <w:p>
            <w:pPr>
              <w:spacing w:after="0"/>
              <w:rPr>
                <w:sz w:val="18"/>
                <w:szCs w:val="18"/>
                <w:color w:val="auto"/>
              </w:rPr>
            </w:pPr>
          </w:p>
        </w:tc>
        <w:tc>
          <w:tcPr>
            <w:tcW w:w="260" w:type="dxa"/>
            <w:vAlign w:val="bottom"/>
            <w:tcBorders>
              <w:top w:val="single" w:sz="8" w:color="00162F"/>
              <w:bottom w:val="single" w:sz="8" w:color="00162F"/>
            </w:tcBorders>
          </w:tcPr>
          <w:p>
            <w:pPr>
              <w:spacing w:after="0"/>
              <w:rPr>
                <w:sz w:val="18"/>
                <w:szCs w:val="18"/>
                <w:color w:val="auto"/>
              </w:rPr>
            </w:pPr>
          </w:p>
        </w:tc>
        <w:tc>
          <w:tcPr>
            <w:tcW w:w="1000" w:type="dxa"/>
            <w:vAlign w:val="bottom"/>
            <w:tcBorders>
              <w:top w:val="single" w:sz="8" w:color="00162F"/>
              <w:bottom w:val="single" w:sz="8" w:color="00162F"/>
            </w:tcBorders>
          </w:tcPr>
          <w:p>
            <w:pPr>
              <w:jc w:val="center"/>
              <w:ind w:right="194"/>
              <w:spacing w:after="0"/>
              <w:rPr>
                <w:sz w:val="20"/>
                <w:szCs w:val="20"/>
                <w:color w:val="auto"/>
              </w:rPr>
            </w:pPr>
            <w:r>
              <w:rPr>
                <w:rFonts w:ascii="Arial" w:cs="Arial" w:eastAsia="Arial" w:hAnsi="Arial"/>
                <w:sz w:val="16"/>
                <w:szCs w:val="16"/>
                <w:b w:val="1"/>
                <w:bCs w:val="1"/>
                <w:color w:val="00162F"/>
                <w:w w:val="95"/>
              </w:rPr>
              <w:t>Level 1</w:t>
            </w:r>
          </w:p>
        </w:tc>
        <w:tc>
          <w:tcPr>
            <w:tcW w:w="60" w:type="dxa"/>
            <w:vAlign w:val="bottom"/>
            <w:tcBorders>
              <w:bottom w:val="single" w:sz="8" w:color="EDEDED"/>
            </w:tcBorders>
          </w:tcPr>
          <w:p>
            <w:pPr>
              <w:spacing w:after="0"/>
              <w:rPr>
                <w:sz w:val="18"/>
                <w:szCs w:val="18"/>
                <w:color w:val="auto"/>
              </w:rPr>
            </w:pPr>
          </w:p>
        </w:tc>
        <w:tc>
          <w:tcPr>
            <w:tcW w:w="40" w:type="dxa"/>
            <w:vAlign w:val="bottom"/>
            <w:tcBorders>
              <w:top w:val="single" w:sz="8" w:color="00162F"/>
              <w:bottom w:val="single" w:sz="8" w:color="00162F"/>
            </w:tcBorders>
          </w:tcPr>
          <w:p>
            <w:pPr>
              <w:spacing w:after="0"/>
              <w:rPr>
                <w:sz w:val="18"/>
                <w:szCs w:val="18"/>
                <w:color w:val="auto"/>
              </w:rPr>
            </w:pPr>
          </w:p>
        </w:tc>
        <w:tc>
          <w:tcPr>
            <w:tcW w:w="320" w:type="dxa"/>
            <w:vAlign w:val="bottom"/>
            <w:tcBorders>
              <w:top w:val="single" w:sz="8" w:color="00162F"/>
              <w:bottom w:val="single" w:sz="8" w:color="00162F"/>
            </w:tcBorders>
          </w:tcPr>
          <w:p>
            <w:pPr>
              <w:spacing w:after="0"/>
              <w:rPr>
                <w:sz w:val="18"/>
                <w:szCs w:val="18"/>
                <w:color w:val="auto"/>
              </w:rPr>
            </w:pPr>
          </w:p>
        </w:tc>
        <w:tc>
          <w:tcPr>
            <w:tcW w:w="900" w:type="dxa"/>
            <w:vAlign w:val="bottom"/>
            <w:tcBorders>
              <w:top w:val="single" w:sz="8" w:color="00162F"/>
              <w:bottom w:val="single" w:sz="8" w:color="00162F"/>
            </w:tcBorders>
          </w:tcPr>
          <w:p>
            <w:pPr>
              <w:jc w:val="right"/>
              <w:ind w:right="271"/>
              <w:spacing w:after="0"/>
              <w:rPr>
                <w:sz w:val="20"/>
                <w:szCs w:val="20"/>
                <w:color w:val="auto"/>
              </w:rPr>
            </w:pPr>
            <w:r>
              <w:rPr>
                <w:rFonts w:ascii="Arial" w:cs="Arial" w:eastAsia="Arial" w:hAnsi="Arial"/>
                <w:sz w:val="16"/>
                <w:szCs w:val="16"/>
                <w:b w:val="1"/>
                <w:bCs w:val="1"/>
                <w:color w:val="00162F"/>
                <w:w w:val="95"/>
              </w:rPr>
              <w:t>Level 2</w:t>
            </w:r>
          </w:p>
        </w:tc>
        <w:tc>
          <w:tcPr>
            <w:tcW w:w="80" w:type="dxa"/>
            <w:vAlign w:val="bottom"/>
            <w:tcBorders>
              <w:top w:val="single" w:sz="8" w:color="00162F"/>
              <w:bottom w:val="single" w:sz="8" w:color="EDEDED"/>
            </w:tcBorders>
          </w:tcPr>
          <w:p>
            <w:pPr>
              <w:spacing w:after="0"/>
              <w:rPr>
                <w:sz w:val="18"/>
                <w:szCs w:val="18"/>
                <w:color w:val="auto"/>
              </w:rPr>
            </w:pPr>
          </w:p>
        </w:tc>
        <w:tc>
          <w:tcPr>
            <w:tcW w:w="260" w:type="dxa"/>
            <w:vAlign w:val="bottom"/>
            <w:tcBorders>
              <w:top w:val="single" w:sz="8" w:color="00162F"/>
              <w:bottom w:val="single" w:sz="8" w:color="00162F"/>
            </w:tcBorders>
          </w:tcPr>
          <w:p>
            <w:pPr>
              <w:spacing w:after="0"/>
              <w:rPr>
                <w:sz w:val="18"/>
                <w:szCs w:val="18"/>
                <w:color w:val="auto"/>
              </w:rPr>
            </w:pPr>
          </w:p>
        </w:tc>
        <w:tc>
          <w:tcPr>
            <w:tcW w:w="1000" w:type="dxa"/>
            <w:vAlign w:val="bottom"/>
            <w:tcBorders>
              <w:top w:val="single" w:sz="8" w:color="00162F"/>
              <w:bottom w:val="single" w:sz="8" w:color="00162F"/>
            </w:tcBorders>
          </w:tcPr>
          <w:p>
            <w:pPr>
              <w:ind w:left="100"/>
              <w:spacing w:after="0"/>
              <w:rPr>
                <w:sz w:val="20"/>
                <w:szCs w:val="20"/>
                <w:color w:val="auto"/>
              </w:rPr>
            </w:pPr>
            <w:r>
              <w:rPr>
                <w:rFonts w:ascii="Arial" w:cs="Arial" w:eastAsia="Arial" w:hAnsi="Arial"/>
                <w:sz w:val="16"/>
                <w:szCs w:val="16"/>
                <w:b w:val="1"/>
                <w:bCs w:val="1"/>
                <w:color w:val="00162F"/>
              </w:rPr>
              <w:t>Level 3</w:t>
            </w:r>
          </w:p>
        </w:tc>
      </w:tr>
      <w:tr>
        <w:trPr>
          <w:trHeight w:val="297"/>
        </w:trPr>
        <w:tc>
          <w:tcPr>
            <w:tcW w:w="408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Long-term debt, including current maturities</w:t>
            </w:r>
          </w:p>
        </w:tc>
        <w:tc>
          <w:tcPr>
            <w:tcW w:w="2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24,535</w:t>
            </w: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9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25,051</w:t>
            </w:r>
          </w:p>
        </w:tc>
        <w:tc>
          <w:tcPr>
            <w:tcW w:w="40" w:type="dxa"/>
            <w:vAlign w:val="bottom"/>
            <w:tcBorders>
              <w:bottom w:val="single" w:sz="8" w:color="00162F"/>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000" w:type="dxa"/>
            <w:vAlign w:val="bottom"/>
            <w:tcBorders>
              <w:bottom w:val="single" w:sz="8" w:color="00162F"/>
            </w:tcBorders>
            <w:shd w:val="clear" w:color="auto" w:fill="EDEDED"/>
          </w:tcPr>
          <w:p>
            <w:pPr>
              <w:ind w:left="720"/>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00162F"/>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jc w:val="right"/>
              <w:ind w:right="101"/>
              <w:spacing w:after="0"/>
              <w:rPr>
                <w:sz w:val="20"/>
                <w:szCs w:val="20"/>
                <w:color w:val="auto"/>
              </w:rPr>
            </w:pPr>
            <w:r>
              <w:rPr>
                <w:rFonts w:ascii="Arial" w:cs="Arial" w:eastAsia="Arial" w:hAnsi="Arial"/>
                <w:sz w:val="20"/>
                <w:szCs w:val="20"/>
                <w:color w:val="00162F"/>
                <w:w w:val="89"/>
              </w:rPr>
              <w:t>$</w:t>
            </w:r>
          </w:p>
        </w:tc>
        <w:tc>
          <w:tcPr>
            <w:tcW w:w="9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25,051</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000" w:type="dxa"/>
            <w:vAlign w:val="bottom"/>
            <w:tcBorders>
              <w:bottom w:val="single" w:sz="8" w:color="00162F"/>
            </w:tcBorders>
            <w:shd w:val="clear" w:color="auto" w:fill="EDEDED"/>
          </w:tcPr>
          <w:p>
            <w:pPr>
              <w:ind w:left="720"/>
              <w:spacing w:after="0"/>
              <w:rPr>
                <w:sz w:val="20"/>
                <w:szCs w:val="20"/>
                <w:color w:val="auto"/>
              </w:rPr>
            </w:pPr>
            <w:r>
              <w:rPr>
                <w:rFonts w:ascii="Arial" w:cs="Arial" w:eastAsia="Arial" w:hAnsi="Arial"/>
                <w:sz w:val="20"/>
                <w:szCs w:val="20"/>
                <w:color w:val="00162F"/>
              </w:rPr>
              <w:t>—</w:t>
            </w:r>
          </w:p>
        </w:tc>
      </w:tr>
      <w:tr>
        <w:trPr>
          <w:trHeight w:val="510"/>
        </w:trPr>
        <w:tc>
          <w:tcPr>
            <w:tcW w:w="4080" w:type="dxa"/>
            <w:vAlign w:val="bottom"/>
          </w:tcPr>
          <w:p>
            <w:pPr>
              <w:spacing w:after="0"/>
              <w:rPr>
                <w:sz w:val="24"/>
                <w:szCs w:val="24"/>
                <w:color w:val="auto"/>
              </w:rPr>
            </w:pPr>
          </w:p>
        </w:tc>
        <w:tc>
          <w:tcPr>
            <w:tcW w:w="240" w:type="dxa"/>
            <w:vAlign w:val="bottom"/>
            <w:tcBorders>
              <w:bottom w:val="single" w:sz="8" w:color="00162F"/>
            </w:tcBorders>
          </w:tcPr>
          <w:p>
            <w:pPr>
              <w:spacing w:after="0"/>
              <w:rPr>
                <w:sz w:val="24"/>
                <w:szCs w:val="24"/>
                <w:color w:val="auto"/>
              </w:rPr>
            </w:pPr>
          </w:p>
        </w:tc>
        <w:tc>
          <w:tcPr>
            <w:tcW w:w="1020" w:type="dxa"/>
            <w:vAlign w:val="bottom"/>
            <w:tcBorders>
              <w:bottom w:val="single" w:sz="8" w:color="00162F"/>
            </w:tcBorders>
          </w:tcPr>
          <w:p>
            <w:pPr>
              <w:spacing w:after="0"/>
              <w:rPr>
                <w:sz w:val="24"/>
                <w:szCs w:val="24"/>
                <w:color w:val="auto"/>
              </w:rPr>
            </w:pPr>
          </w:p>
        </w:tc>
        <w:tc>
          <w:tcPr>
            <w:tcW w:w="80" w:type="dxa"/>
            <w:vAlign w:val="bottom"/>
            <w:tcBorders>
              <w:bottom w:val="single" w:sz="8" w:color="00162F"/>
            </w:tcBorders>
          </w:tcPr>
          <w:p>
            <w:pPr>
              <w:spacing w:after="0"/>
              <w:rPr>
                <w:sz w:val="24"/>
                <w:szCs w:val="24"/>
                <w:color w:val="auto"/>
              </w:rPr>
            </w:pPr>
          </w:p>
        </w:tc>
        <w:tc>
          <w:tcPr>
            <w:tcW w:w="300" w:type="dxa"/>
            <w:vAlign w:val="bottom"/>
            <w:tcBorders>
              <w:bottom w:val="single" w:sz="8" w:color="00162F"/>
            </w:tcBorders>
          </w:tcPr>
          <w:p>
            <w:pPr>
              <w:spacing w:after="0"/>
              <w:rPr>
                <w:sz w:val="24"/>
                <w:szCs w:val="24"/>
                <w:color w:val="auto"/>
              </w:rPr>
            </w:pPr>
          </w:p>
        </w:tc>
        <w:tc>
          <w:tcPr>
            <w:tcW w:w="920" w:type="dxa"/>
            <w:vAlign w:val="bottom"/>
            <w:tcBorders>
              <w:bottom w:val="single" w:sz="8" w:color="00162F"/>
            </w:tcBorders>
          </w:tcPr>
          <w:p>
            <w:pPr>
              <w:spacing w:after="0"/>
              <w:rPr>
                <w:sz w:val="24"/>
                <w:szCs w:val="24"/>
                <w:color w:val="auto"/>
              </w:rPr>
            </w:pPr>
          </w:p>
        </w:tc>
        <w:tc>
          <w:tcPr>
            <w:tcW w:w="1480" w:type="dxa"/>
            <w:vAlign w:val="bottom"/>
            <w:tcBorders>
              <w:bottom w:val="single" w:sz="8" w:color="00162F"/>
            </w:tcBorders>
            <w:gridSpan w:val="6"/>
          </w:tcPr>
          <w:p>
            <w:pPr>
              <w:jc w:val="center"/>
              <w:spacing w:after="0"/>
              <w:rPr>
                <w:sz w:val="20"/>
                <w:szCs w:val="20"/>
                <w:color w:val="auto"/>
              </w:rPr>
            </w:pPr>
            <w:r>
              <w:rPr>
                <w:rFonts w:ascii="Arial" w:cs="Arial" w:eastAsia="Arial" w:hAnsi="Arial"/>
                <w:sz w:val="16"/>
                <w:szCs w:val="16"/>
                <w:b w:val="1"/>
                <w:bCs w:val="1"/>
                <w:color w:val="00162F"/>
                <w:w w:val="99"/>
              </w:rPr>
              <w:t>December 31, 2024</w:t>
            </w:r>
          </w:p>
        </w:tc>
        <w:tc>
          <w:tcPr>
            <w:tcW w:w="320" w:type="dxa"/>
            <w:vAlign w:val="bottom"/>
            <w:tcBorders>
              <w:bottom w:val="single" w:sz="8" w:color="00162F"/>
            </w:tcBorders>
          </w:tcPr>
          <w:p>
            <w:pPr>
              <w:spacing w:after="0"/>
              <w:rPr>
                <w:sz w:val="24"/>
                <w:szCs w:val="24"/>
                <w:color w:val="auto"/>
              </w:rPr>
            </w:pPr>
          </w:p>
        </w:tc>
        <w:tc>
          <w:tcPr>
            <w:tcW w:w="900" w:type="dxa"/>
            <w:vAlign w:val="bottom"/>
            <w:tcBorders>
              <w:bottom w:val="single" w:sz="8" w:color="00162F"/>
            </w:tcBorders>
          </w:tcPr>
          <w:p>
            <w:pPr>
              <w:spacing w:after="0"/>
              <w:rPr>
                <w:sz w:val="24"/>
                <w:szCs w:val="24"/>
                <w:color w:val="auto"/>
              </w:rPr>
            </w:pPr>
          </w:p>
        </w:tc>
        <w:tc>
          <w:tcPr>
            <w:tcW w:w="80" w:type="dxa"/>
            <w:vAlign w:val="bottom"/>
            <w:tcBorders>
              <w:bottom w:val="single" w:sz="8" w:color="00162F"/>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spacing w:after="0"/>
              <w:rPr>
                <w:sz w:val="24"/>
                <w:szCs w:val="24"/>
                <w:color w:val="auto"/>
              </w:rPr>
            </w:pPr>
          </w:p>
        </w:tc>
      </w:tr>
      <w:tr>
        <w:trPr>
          <w:trHeight w:val="218"/>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00162F"/>
              </w:rPr>
              <w:t>Carrying</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b w:val="1"/>
                <w:bCs w:val="1"/>
                <w:color w:val="00162F"/>
              </w:rPr>
              <w:t>Fair Value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4080" w:type="dxa"/>
            <w:vAlign w:val="bottom"/>
            <w:tcBorders>
              <w:bottom w:val="single" w:sz="8" w:color="EDEDED"/>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020" w:type="dxa"/>
            <w:vAlign w:val="bottom"/>
            <w:tcBorders>
              <w:bottom w:val="single" w:sz="8" w:color="00162F"/>
            </w:tcBorders>
          </w:tcPr>
          <w:p>
            <w:pPr>
              <w:jc w:val="center"/>
              <w:ind w:right="154"/>
              <w:spacing w:after="0"/>
              <w:rPr>
                <w:sz w:val="20"/>
                <w:szCs w:val="20"/>
                <w:color w:val="auto"/>
              </w:rPr>
            </w:pPr>
            <w:r>
              <w:rPr>
                <w:rFonts w:ascii="Arial" w:cs="Arial" w:eastAsia="Arial" w:hAnsi="Arial"/>
                <w:sz w:val="16"/>
                <w:szCs w:val="16"/>
                <w:b w:val="1"/>
                <w:bCs w:val="1"/>
                <w:color w:val="00162F"/>
                <w:w w:val="98"/>
              </w:rPr>
              <w:t>Value</w:t>
            </w:r>
          </w:p>
        </w:tc>
        <w:tc>
          <w:tcPr>
            <w:tcW w:w="80" w:type="dxa"/>
            <w:vAlign w:val="bottom"/>
            <w:tcBorders>
              <w:bottom w:val="single" w:sz="8" w:color="EDEDED"/>
            </w:tcBorders>
          </w:tcPr>
          <w:p>
            <w:pPr>
              <w:spacing w:after="0"/>
              <w:rPr>
                <w:sz w:val="18"/>
                <w:szCs w:val="18"/>
                <w:color w:val="auto"/>
              </w:rPr>
            </w:pPr>
          </w:p>
        </w:tc>
        <w:tc>
          <w:tcPr>
            <w:tcW w:w="300" w:type="dxa"/>
            <w:vAlign w:val="bottom"/>
            <w:tcBorders>
              <w:top w:val="single" w:sz="8" w:color="00162F"/>
              <w:bottom w:val="single" w:sz="8" w:color="00162F"/>
            </w:tcBorders>
          </w:tcPr>
          <w:p>
            <w:pPr>
              <w:spacing w:after="0"/>
              <w:rPr>
                <w:sz w:val="18"/>
                <w:szCs w:val="18"/>
                <w:color w:val="auto"/>
              </w:rPr>
            </w:pPr>
          </w:p>
        </w:tc>
        <w:tc>
          <w:tcPr>
            <w:tcW w:w="920" w:type="dxa"/>
            <w:vAlign w:val="bottom"/>
            <w:tcBorders>
              <w:top w:val="single" w:sz="8" w:color="00162F"/>
              <w:bottom w:val="single" w:sz="8" w:color="00162F"/>
            </w:tcBorders>
          </w:tcPr>
          <w:p>
            <w:pPr>
              <w:jc w:val="right"/>
              <w:ind w:right="311"/>
              <w:spacing w:after="0"/>
              <w:rPr>
                <w:sz w:val="20"/>
                <w:szCs w:val="20"/>
                <w:color w:val="auto"/>
              </w:rPr>
            </w:pPr>
            <w:r>
              <w:rPr>
                <w:rFonts w:ascii="Arial" w:cs="Arial" w:eastAsia="Arial" w:hAnsi="Arial"/>
                <w:sz w:val="16"/>
                <w:szCs w:val="16"/>
                <w:b w:val="1"/>
                <w:bCs w:val="1"/>
                <w:color w:val="00162F"/>
              </w:rPr>
              <w:t>Total</w:t>
            </w:r>
          </w:p>
        </w:tc>
        <w:tc>
          <w:tcPr>
            <w:tcW w:w="40" w:type="dxa"/>
            <w:vAlign w:val="bottom"/>
            <w:tcBorders>
              <w:top w:val="single" w:sz="8" w:color="00162F"/>
              <w:bottom w:val="single" w:sz="8" w:color="00162F"/>
            </w:tcBorders>
          </w:tcPr>
          <w:p>
            <w:pPr>
              <w:spacing w:after="0"/>
              <w:rPr>
                <w:sz w:val="18"/>
                <w:szCs w:val="18"/>
                <w:color w:val="auto"/>
              </w:rPr>
            </w:pPr>
          </w:p>
        </w:tc>
        <w:tc>
          <w:tcPr>
            <w:tcW w:w="80" w:type="dxa"/>
            <w:vAlign w:val="bottom"/>
            <w:tcBorders>
              <w:top w:val="single" w:sz="8" w:color="00162F"/>
              <w:bottom w:val="single" w:sz="8" w:color="EDEDED"/>
            </w:tcBorders>
          </w:tcPr>
          <w:p>
            <w:pPr>
              <w:spacing w:after="0"/>
              <w:rPr>
                <w:sz w:val="18"/>
                <w:szCs w:val="18"/>
                <w:color w:val="auto"/>
              </w:rPr>
            </w:pPr>
          </w:p>
        </w:tc>
        <w:tc>
          <w:tcPr>
            <w:tcW w:w="260" w:type="dxa"/>
            <w:vAlign w:val="bottom"/>
            <w:tcBorders>
              <w:top w:val="single" w:sz="8" w:color="00162F"/>
              <w:bottom w:val="single" w:sz="8" w:color="00162F"/>
            </w:tcBorders>
          </w:tcPr>
          <w:p>
            <w:pPr>
              <w:spacing w:after="0"/>
              <w:rPr>
                <w:sz w:val="18"/>
                <w:szCs w:val="18"/>
                <w:color w:val="auto"/>
              </w:rPr>
            </w:pPr>
          </w:p>
        </w:tc>
        <w:tc>
          <w:tcPr>
            <w:tcW w:w="1000" w:type="dxa"/>
            <w:vAlign w:val="bottom"/>
            <w:tcBorders>
              <w:top w:val="single" w:sz="8" w:color="00162F"/>
              <w:bottom w:val="single" w:sz="8" w:color="00162F"/>
            </w:tcBorders>
          </w:tcPr>
          <w:p>
            <w:pPr>
              <w:jc w:val="center"/>
              <w:ind w:right="194"/>
              <w:spacing w:after="0"/>
              <w:rPr>
                <w:sz w:val="20"/>
                <w:szCs w:val="20"/>
                <w:color w:val="auto"/>
              </w:rPr>
            </w:pPr>
            <w:r>
              <w:rPr>
                <w:rFonts w:ascii="Arial" w:cs="Arial" w:eastAsia="Arial" w:hAnsi="Arial"/>
                <w:sz w:val="16"/>
                <w:szCs w:val="16"/>
                <w:b w:val="1"/>
                <w:bCs w:val="1"/>
                <w:color w:val="00162F"/>
                <w:w w:val="95"/>
              </w:rPr>
              <w:t>Level 1</w:t>
            </w:r>
          </w:p>
        </w:tc>
        <w:tc>
          <w:tcPr>
            <w:tcW w:w="60" w:type="dxa"/>
            <w:vAlign w:val="bottom"/>
            <w:tcBorders>
              <w:bottom w:val="single" w:sz="8" w:color="EDEDED"/>
            </w:tcBorders>
          </w:tcPr>
          <w:p>
            <w:pPr>
              <w:spacing w:after="0"/>
              <w:rPr>
                <w:sz w:val="18"/>
                <w:szCs w:val="18"/>
                <w:color w:val="auto"/>
              </w:rPr>
            </w:pPr>
          </w:p>
        </w:tc>
        <w:tc>
          <w:tcPr>
            <w:tcW w:w="40" w:type="dxa"/>
            <w:vAlign w:val="bottom"/>
            <w:tcBorders>
              <w:top w:val="single" w:sz="8" w:color="00162F"/>
              <w:bottom w:val="single" w:sz="8" w:color="00162F"/>
            </w:tcBorders>
          </w:tcPr>
          <w:p>
            <w:pPr>
              <w:spacing w:after="0"/>
              <w:rPr>
                <w:sz w:val="18"/>
                <w:szCs w:val="18"/>
                <w:color w:val="auto"/>
              </w:rPr>
            </w:pPr>
          </w:p>
        </w:tc>
        <w:tc>
          <w:tcPr>
            <w:tcW w:w="320" w:type="dxa"/>
            <w:vAlign w:val="bottom"/>
            <w:tcBorders>
              <w:top w:val="single" w:sz="8" w:color="00162F"/>
              <w:bottom w:val="single" w:sz="8" w:color="00162F"/>
            </w:tcBorders>
          </w:tcPr>
          <w:p>
            <w:pPr>
              <w:spacing w:after="0"/>
              <w:rPr>
                <w:sz w:val="18"/>
                <w:szCs w:val="18"/>
                <w:color w:val="auto"/>
              </w:rPr>
            </w:pPr>
          </w:p>
        </w:tc>
        <w:tc>
          <w:tcPr>
            <w:tcW w:w="900" w:type="dxa"/>
            <w:vAlign w:val="bottom"/>
            <w:tcBorders>
              <w:top w:val="single" w:sz="8" w:color="00162F"/>
              <w:bottom w:val="single" w:sz="8" w:color="00162F"/>
            </w:tcBorders>
          </w:tcPr>
          <w:p>
            <w:pPr>
              <w:jc w:val="right"/>
              <w:ind w:right="271"/>
              <w:spacing w:after="0"/>
              <w:rPr>
                <w:sz w:val="20"/>
                <w:szCs w:val="20"/>
                <w:color w:val="auto"/>
              </w:rPr>
            </w:pPr>
            <w:r>
              <w:rPr>
                <w:rFonts w:ascii="Arial" w:cs="Arial" w:eastAsia="Arial" w:hAnsi="Arial"/>
                <w:sz w:val="16"/>
                <w:szCs w:val="16"/>
                <w:b w:val="1"/>
                <w:bCs w:val="1"/>
                <w:color w:val="00162F"/>
                <w:w w:val="95"/>
              </w:rPr>
              <w:t>Level 2</w:t>
            </w:r>
          </w:p>
        </w:tc>
        <w:tc>
          <w:tcPr>
            <w:tcW w:w="80" w:type="dxa"/>
            <w:vAlign w:val="bottom"/>
            <w:tcBorders>
              <w:top w:val="single" w:sz="8" w:color="00162F"/>
              <w:bottom w:val="single" w:sz="8" w:color="EDEDED"/>
            </w:tcBorders>
          </w:tcPr>
          <w:p>
            <w:pPr>
              <w:spacing w:after="0"/>
              <w:rPr>
                <w:sz w:val="18"/>
                <w:szCs w:val="18"/>
                <w:color w:val="auto"/>
              </w:rPr>
            </w:pPr>
          </w:p>
        </w:tc>
        <w:tc>
          <w:tcPr>
            <w:tcW w:w="260" w:type="dxa"/>
            <w:vAlign w:val="bottom"/>
            <w:tcBorders>
              <w:top w:val="single" w:sz="8" w:color="00162F"/>
              <w:bottom w:val="single" w:sz="8" w:color="00162F"/>
            </w:tcBorders>
          </w:tcPr>
          <w:p>
            <w:pPr>
              <w:spacing w:after="0"/>
              <w:rPr>
                <w:sz w:val="18"/>
                <w:szCs w:val="18"/>
                <w:color w:val="auto"/>
              </w:rPr>
            </w:pPr>
          </w:p>
        </w:tc>
        <w:tc>
          <w:tcPr>
            <w:tcW w:w="1000" w:type="dxa"/>
            <w:vAlign w:val="bottom"/>
            <w:tcBorders>
              <w:top w:val="single" w:sz="8" w:color="00162F"/>
              <w:bottom w:val="single" w:sz="8" w:color="00162F"/>
            </w:tcBorders>
          </w:tcPr>
          <w:p>
            <w:pPr>
              <w:ind w:left="100"/>
              <w:spacing w:after="0"/>
              <w:rPr>
                <w:sz w:val="20"/>
                <w:szCs w:val="20"/>
                <w:color w:val="auto"/>
              </w:rPr>
            </w:pPr>
            <w:r>
              <w:rPr>
                <w:rFonts w:ascii="Arial" w:cs="Arial" w:eastAsia="Arial" w:hAnsi="Arial"/>
                <w:sz w:val="16"/>
                <w:szCs w:val="16"/>
                <w:b w:val="1"/>
                <w:bCs w:val="1"/>
                <w:color w:val="00162F"/>
              </w:rPr>
              <w:t>Level 3</w:t>
            </w:r>
          </w:p>
        </w:tc>
      </w:tr>
      <w:tr>
        <w:trPr>
          <w:trHeight w:val="297"/>
        </w:trPr>
        <w:tc>
          <w:tcPr>
            <w:tcW w:w="408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Long-term debt, including current maturities</w:t>
            </w:r>
          </w:p>
        </w:tc>
        <w:tc>
          <w:tcPr>
            <w:tcW w:w="2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25,072</w:t>
            </w: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jc w:val="right"/>
              <w:ind w:right="41"/>
              <w:spacing w:after="0"/>
              <w:rPr>
                <w:sz w:val="20"/>
                <w:szCs w:val="20"/>
                <w:color w:val="auto"/>
              </w:rPr>
            </w:pPr>
            <w:r>
              <w:rPr>
                <w:rFonts w:ascii="Arial" w:cs="Arial" w:eastAsia="Arial" w:hAnsi="Arial"/>
                <w:sz w:val="20"/>
                <w:szCs w:val="20"/>
                <w:color w:val="00162F"/>
              </w:rPr>
              <w:t>$</w:t>
            </w:r>
          </w:p>
        </w:tc>
        <w:tc>
          <w:tcPr>
            <w:tcW w:w="9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25,234</w:t>
            </w:r>
          </w:p>
        </w:tc>
        <w:tc>
          <w:tcPr>
            <w:tcW w:w="40" w:type="dxa"/>
            <w:vAlign w:val="bottom"/>
            <w:tcBorders>
              <w:bottom w:val="single" w:sz="8" w:color="00162F"/>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000" w:type="dxa"/>
            <w:vAlign w:val="bottom"/>
            <w:tcBorders>
              <w:bottom w:val="single" w:sz="8" w:color="00162F"/>
            </w:tcBorders>
            <w:shd w:val="clear" w:color="auto" w:fill="EDEDED"/>
          </w:tcPr>
          <w:p>
            <w:pPr>
              <w:ind w:left="720"/>
              <w:spacing w:after="0"/>
              <w:rPr>
                <w:sz w:val="20"/>
                <w:szCs w:val="20"/>
                <w:color w:val="auto"/>
              </w:rPr>
            </w:pPr>
            <w:r>
              <w:rPr>
                <w:rFonts w:ascii="Arial" w:cs="Arial" w:eastAsia="Arial" w:hAnsi="Arial"/>
                <w:sz w:val="20"/>
                <w:szCs w:val="20"/>
                <w:color w:val="00162F"/>
              </w:rPr>
              <w:t>—</w:t>
            </w:r>
          </w:p>
        </w:tc>
        <w:tc>
          <w:tcPr>
            <w:tcW w:w="6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00162F"/>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jc w:val="right"/>
              <w:ind w:right="101"/>
              <w:spacing w:after="0"/>
              <w:rPr>
                <w:sz w:val="20"/>
                <w:szCs w:val="20"/>
                <w:color w:val="auto"/>
              </w:rPr>
            </w:pPr>
            <w:r>
              <w:rPr>
                <w:rFonts w:ascii="Arial" w:cs="Arial" w:eastAsia="Arial" w:hAnsi="Arial"/>
                <w:sz w:val="20"/>
                <w:szCs w:val="20"/>
                <w:color w:val="00162F"/>
                <w:w w:val="89"/>
              </w:rPr>
              <w:t>$</w:t>
            </w:r>
          </w:p>
        </w:tc>
        <w:tc>
          <w:tcPr>
            <w:tcW w:w="9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25,234</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1000" w:type="dxa"/>
            <w:vAlign w:val="bottom"/>
            <w:tcBorders>
              <w:bottom w:val="single" w:sz="8" w:color="00162F"/>
            </w:tcBorders>
            <w:shd w:val="clear" w:color="auto" w:fill="EDEDED"/>
          </w:tcPr>
          <w:p>
            <w:pPr>
              <w:ind w:left="720"/>
              <w:spacing w:after="0"/>
              <w:rPr>
                <w:sz w:val="20"/>
                <w:szCs w:val="20"/>
                <w:color w:val="auto"/>
              </w:rPr>
            </w:pPr>
            <w:r>
              <w:rPr>
                <w:rFonts w:ascii="Arial" w:cs="Arial" w:eastAsia="Arial" w:hAnsi="Arial"/>
                <w:sz w:val="20"/>
                <w:szCs w:val="20"/>
                <w:color w:val="00162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-1221740</wp:posOffset>
            </wp:positionV>
            <wp:extent cx="97155" cy="565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2">
                      <a:extLst>
                        <a:ext uri="{28A0092B-C50C-407E-A947-70E740481C1C}"/>
                      </a:extLst>
                    </a:blip>
                    <a:srcRect/>
                    <a:stretch>
                      <a:fillRect/>
                    </a:stretch>
                  </pic:blipFill>
                  <pic:spPr bwMode="auto">
                    <a:xfrm>
                      <a:off x="0" y="0"/>
                      <a:ext cx="97155" cy="5651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-1221740</wp:posOffset>
            </wp:positionV>
            <wp:extent cx="97155" cy="565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3">
                      <a:extLst>
                        <a:ext uri="{28A0092B-C50C-407E-A947-70E740481C1C}"/>
                      </a:extLst>
                    </a:blip>
                    <a:srcRect/>
                    <a:stretch>
                      <a:fillRect/>
                    </a:stretch>
                  </pic:blipFill>
                  <pic:spPr bwMode="auto">
                    <a:xfrm>
                      <a:off x="0" y="0"/>
                      <a:ext cx="97155" cy="5651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-1071245</wp:posOffset>
            </wp:positionV>
            <wp:extent cx="1697355" cy="501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4">
                      <a:extLst>
                        <a:ext uri="{28A0092B-C50C-407E-A947-70E740481C1C}"/>
                      </a:extLst>
                    </a:blip>
                    <a:srcRect/>
                    <a:stretch>
                      <a:fillRect/>
                    </a:stretch>
                  </pic:blipFill>
                  <pic:spPr bwMode="auto">
                    <a:xfrm>
                      <a:off x="0" y="0"/>
                      <a:ext cx="1697355" cy="5016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-895350</wp:posOffset>
            </wp:positionV>
            <wp:extent cx="4245610" cy="755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5">
                      <a:extLst>
                        <a:ext uri="{28A0092B-C50C-407E-A947-70E740481C1C}"/>
                      </a:extLst>
                    </a:blip>
                    <a:srcRect/>
                    <a:stretch>
                      <a:fillRect/>
                    </a:stretch>
                  </pic:blipFill>
                  <pic:spPr bwMode="auto">
                    <a:xfrm>
                      <a:off x="0" y="0"/>
                      <a:ext cx="4245610" cy="7556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-382905</wp:posOffset>
            </wp:positionV>
            <wp:extent cx="97155" cy="565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6">
                      <a:extLst>
                        <a:ext uri="{28A0092B-C50C-407E-A947-70E740481C1C}"/>
                      </a:extLst>
                    </a:blip>
                    <a:srcRect/>
                    <a:stretch>
                      <a:fillRect/>
                    </a:stretch>
                  </pic:blipFill>
                  <pic:spPr bwMode="auto">
                    <a:xfrm>
                      <a:off x="0" y="0"/>
                      <a:ext cx="97155" cy="5651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-382905</wp:posOffset>
            </wp:positionV>
            <wp:extent cx="97155" cy="565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7">
                      <a:extLst>
                        <a:ext uri="{28A0092B-C50C-407E-A947-70E740481C1C}"/>
                      </a:extLst>
                    </a:blip>
                    <a:srcRect/>
                    <a:stretch>
                      <a:fillRect/>
                    </a:stretch>
                  </pic:blipFill>
                  <pic:spPr bwMode="auto">
                    <a:xfrm>
                      <a:off x="0" y="0"/>
                      <a:ext cx="97155" cy="5651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-231775</wp:posOffset>
            </wp:positionV>
            <wp:extent cx="2545715" cy="501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8">
                      <a:extLst>
                        <a:ext uri="{28A0092B-C50C-407E-A947-70E740481C1C}"/>
                      </a:extLst>
                    </a:blip>
                    <a:srcRect/>
                    <a:stretch>
                      <a:fillRect/>
                    </a:stretch>
                  </pic:blipFill>
                  <pic:spPr bwMode="auto">
                    <a:xfrm>
                      <a:off x="0" y="0"/>
                      <a:ext cx="2545715" cy="5016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-55880</wp:posOffset>
            </wp:positionV>
            <wp:extent cx="4245610" cy="755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9">
                      <a:extLst>
                        <a:ext uri="{28A0092B-C50C-407E-A947-70E740481C1C}"/>
                      </a:extLst>
                    </a:blip>
                    <a:srcRect/>
                    <a:stretch>
                      <a:fillRect/>
                    </a:stretch>
                  </pic:blipFill>
                  <pic:spPr bwMode="auto">
                    <a:xfrm>
                      <a:off x="0" y="0"/>
                      <a:ext cx="4245610" cy="75565"/>
                    </a:xfrm>
                    <a:prstGeom prst="rect">
                      <a:avLst/>
                    </a:prstGeom>
                    <a:noFill/>
                  </pic:spPr>
                </pic:pic>
              </a:graphicData>
            </a:graphic>
          </wp:anchor>
        </w:drawing>
      </w:r>
    </w:p>
    <w:p>
      <w:pPr>
        <w:spacing w:after="0" w:line="261"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7. Investments</w:t>
      </w:r>
    </w:p>
    <w:p>
      <w:pPr>
        <w:spacing w:after="0" w:line="88"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To help expand American’s network and as part of its ongoing commitment to sustainability, American enters into various commercial relationships or other strategic partnerships, including equity investments, with other airlines and companies.</w:t>
      </w:r>
    </w:p>
    <w:p>
      <w:pPr>
        <w:spacing w:after="0" w:line="129"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American’s equity investments, ownership interest and carrying value were as follows:</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20"/>
        </w:trPr>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00162F"/>
            </w:tcBorders>
            <w:gridSpan w:val="4"/>
          </w:tcPr>
          <w:p>
            <w:pPr>
              <w:jc w:val="center"/>
              <w:spacing w:after="0"/>
              <w:rPr>
                <w:sz w:val="20"/>
                <w:szCs w:val="20"/>
                <w:color w:val="auto"/>
              </w:rPr>
            </w:pPr>
            <w:r>
              <w:rPr>
                <w:rFonts w:ascii="Arial" w:cs="Arial" w:eastAsia="Arial" w:hAnsi="Arial"/>
                <w:sz w:val="16"/>
                <w:szCs w:val="16"/>
                <w:b w:val="1"/>
                <w:bCs w:val="1"/>
                <w:color w:val="00162F"/>
                <w:w w:val="99"/>
              </w:rPr>
              <w:t>Ownership Interest</w:t>
            </w:r>
          </w:p>
        </w:tc>
        <w:tc>
          <w:tcPr>
            <w:tcW w:w="80" w:type="dxa"/>
            <w:vAlign w:val="bottom"/>
          </w:tcPr>
          <w:p>
            <w:pPr>
              <w:spacing w:after="0"/>
              <w:rPr>
                <w:sz w:val="19"/>
                <w:szCs w:val="19"/>
                <w:color w:val="auto"/>
              </w:rPr>
            </w:pPr>
          </w:p>
        </w:tc>
        <w:tc>
          <w:tcPr>
            <w:tcW w:w="320" w:type="dxa"/>
            <w:vAlign w:val="bottom"/>
            <w:tcBorders>
              <w:bottom w:val="single" w:sz="8" w:color="00162F"/>
            </w:tcBorders>
          </w:tcPr>
          <w:p>
            <w:pPr>
              <w:spacing w:after="0"/>
              <w:rPr>
                <w:sz w:val="19"/>
                <w:szCs w:val="19"/>
                <w:color w:val="auto"/>
              </w:rPr>
            </w:pPr>
          </w:p>
        </w:tc>
        <w:tc>
          <w:tcPr>
            <w:tcW w:w="2680" w:type="dxa"/>
            <w:vAlign w:val="bottom"/>
            <w:tcBorders>
              <w:bottom w:val="single" w:sz="8" w:color="00162F"/>
            </w:tcBorders>
            <w:gridSpan w:val="4"/>
          </w:tcPr>
          <w:p>
            <w:pPr>
              <w:jc w:val="right"/>
              <w:ind w:right="385"/>
              <w:spacing w:after="0"/>
              <w:rPr>
                <w:sz w:val="20"/>
                <w:szCs w:val="20"/>
                <w:color w:val="auto"/>
              </w:rPr>
            </w:pPr>
            <w:r>
              <w:rPr>
                <w:rFonts w:ascii="Arial" w:cs="Arial" w:eastAsia="Arial" w:hAnsi="Arial"/>
                <w:sz w:val="16"/>
                <w:szCs w:val="16"/>
                <w:b w:val="1"/>
                <w:bCs w:val="1"/>
                <w:color w:val="00162F"/>
              </w:rPr>
              <w:t>Carrying Value (in millions)</w:t>
            </w:r>
          </w:p>
        </w:tc>
      </w:tr>
      <w:tr>
        <w:trPr>
          <w:trHeight w:val="218"/>
        </w:trPr>
        <w:tc>
          <w:tcPr>
            <w:tcW w:w="1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Borders>
              <w:bottom w:val="single" w:sz="8" w:color="00162F"/>
            </w:tcBorders>
            <w:gridSpan w:val="3"/>
          </w:tcPr>
          <w:p>
            <w:pPr>
              <w:jc w:val="center"/>
              <w:ind w:left="793"/>
              <w:spacing w:after="0"/>
              <w:rPr>
                <w:sz w:val="20"/>
                <w:szCs w:val="20"/>
                <w:color w:val="auto"/>
              </w:rPr>
            </w:pPr>
            <w:r>
              <w:rPr>
                <w:rFonts w:ascii="Arial" w:cs="Arial" w:eastAsia="Arial" w:hAnsi="Arial"/>
                <w:sz w:val="16"/>
                <w:szCs w:val="16"/>
                <w:b w:val="1"/>
                <w:bCs w:val="1"/>
                <w:color w:val="00162F"/>
                <w:w w:val="99"/>
              </w:rPr>
              <w:t>December 31,</w:t>
            </w:r>
          </w:p>
        </w:tc>
        <w:tc>
          <w:tcPr>
            <w:tcW w:w="880" w:type="dxa"/>
            <w:vAlign w:val="bottom"/>
            <w:tcBorders>
              <w:bottom w:val="single" w:sz="8" w:color="00162F"/>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00162F"/>
            </w:tcBorders>
          </w:tcPr>
          <w:p>
            <w:pPr>
              <w:spacing w:after="0"/>
              <w:rPr>
                <w:sz w:val="18"/>
                <w:szCs w:val="18"/>
                <w:color w:val="auto"/>
              </w:rPr>
            </w:pPr>
          </w:p>
        </w:tc>
        <w:tc>
          <w:tcPr>
            <w:tcW w:w="1740" w:type="dxa"/>
            <w:vAlign w:val="bottom"/>
            <w:tcBorders>
              <w:bottom w:val="single" w:sz="8" w:color="00162F"/>
            </w:tcBorders>
            <w:gridSpan w:val="3"/>
          </w:tcPr>
          <w:p>
            <w:pPr>
              <w:jc w:val="right"/>
              <w:ind w:right="40"/>
              <w:spacing w:after="0"/>
              <w:rPr>
                <w:sz w:val="20"/>
                <w:szCs w:val="20"/>
                <w:color w:val="auto"/>
              </w:rPr>
            </w:pPr>
            <w:r>
              <w:rPr>
                <w:rFonts w:ascii="Arial" w:cs="Arial" w:eastAsia="Arial" w:hAnsi="Arial"/>
                <w:sz w:val="16"/>
                <w:szCs w:val="16"/>
                <w:b w:val="1"/>
                <w:bCs w:val="1"/>
                <w:color w:val="00162F"/>
              </w:rPr>
              <w:t>December 31,</w:t>
            </w:r>
          </w:p>
        </w:tc>
        <w:tc>
          <w:tcPr>
            <w:tcW w:w="940" w:type="dxa"/>
            <w:vAlign w:val="bottom"/>
            <w:tcBorders>
              <w:bottom w:val="single" w:sz="8" w:color="00162F"/>
            </w:tcBorders>
          </w:tcPr>
          <w:p>
            <w:pPr>
              <w:spacing w:after="0"/>
              <w:rPr>
                <w:sz w:val="18"/>
                <w:szCs w:val="18"/>
                <w:color w:val="auto"/>
              </w:rPr>
            </w:pPr>
          </w:p>
        </w:tc>
      </w:tr>
      <w:tr>
        <w:trPr>
          <w:trHeight w:val="218"/>
        </w:trPr>
        <w:tc>
          <w:tcPr>
            <w:tcW w:w="1960" w:type="dxa"/>
            <w:vAlign w:val="bottom"/>
            <w:tcBorders>
              <w:bottom w:val="single" w:sz="8" w:color="EDEDED"/>
            </w:tcBorders>
          </w:tcPr>
          <w:p>
            <w:pPr>
              <w:spacing w:after="0"/>
              <w:rPr>
                <w:sz w:val="18"/>
                <w:szCs w:val="18"/>
                <w:color w:val="auto"/>
              </w:rPr>
            </w:pPr>
          </w:p>
        </w:tc>
        <w:tc>
          <w:tcPr>
            <w:tcW w:w="500" w:type="dxa"/>
            <w:vAlign w:val="bottom"/>
            <w:tcBorders>
              <w:bottom w:val="single" w:sz="8" w:color="EDEDED"/>
            </w:tcBorders>
          </w:tcPr>
          <w:p>
            <w:pPr>
              <w:spacing w:after="0"/>
              <w:rPr>
                <w:sz w:val="18"/>
                <w:szCs w:val="18"/>
                <w:color w:val="auto"/>
              </w:rPr>
            </w:pPr>
          </w:p>
        </w:tc>
        <w:tc>
          <w:tcPr>
            <w:tcW w:w="222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8"/>
              </w:rPr>
              <w:t>Accounting Treatment</w:t>
            </w:r>
          </w:p>
        </w:tc>
        <w:tc>
          <w:tcPr>
            <w:tcW w:w="80" w:type="dxa"/>
            <w:vAlign w:val="bottom"/>
            <w:tcBorders>
              <w:bottom w:val="single" w:sz="8" w:color="EDEDED"/>
            </w:tcBorders>
          </w:tcPr>
          <w:p>
            <w:pPr>
              <w:spacing w:after="0"/>
              <w:rPr>
                <w:sz w:val="18"/>
                <w:szCs w:val="18"/>
                <w:color w:val="auto"/>
              </w:rPr>
            </w:pPr>
          </w:p>
        </w:tc>
        <w:tc>
          <w:tcPr>
            <w:tcW w:w="1380" w:type="dxa"/>
            <w:vAlign w:val="bottom"/>
            <w:tcBorders>
              <w:bottom w:val="single" w:sz="8" w:color="00162F"/>
            </w:tcBorders>
          </w:tcPr>
          <w:p>
            <w:pPr>
              <w:jc w:val="right"/>
              <w:ind w:right="433"/>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18"/>
                <w:szCs w:val="18"/>
                <w:color w:val="auto"/>
              </w:rPr>
            </w:pPr>
          </w:p>
        </w:tc>
        <w:tc>
          <w:tcPr>
            <w:tcW w:w="500" w:type="dxa"/>
            <w:vAlign w:val="bottom"/>
            <w:tcBorders>
              <w:bottom w:val="single" w:sz="8" w:color="00162F"/>
            </w:tcBorders>
          </w:tcPr>
          <w:p>
            <w:pPr>
              <w:spacing w:after="0"/>
              <w:rPr>
                <w:sz w:val="18"/>
                <w:szCs w:val="18"/>
                <w:color w:val="auto"/>
              </w:rPr>
            </w:pPr>
          </w:p>
        </w:tc>
        <w:tc>
          <w:tcPr>
            <w:tcW w:w="880" w:type="dxa"/>
            <w:vAlign w:val="bottom"/>
            <w:tcBorders>
              <w:bottom w:val="single" w:sz="8" w:color="00162F"/>
            </w:tcBorders>
          </w:tcPr>
          <w:p>
            <w:pPr>
              <w:jc w:val="right"/>
              <w:ind w:right="428"/>
              <w:spacing w:after="0"/>
              <w:rPr>
                <w:sz w:val="20"/>
                <w:szCs w:val="20"/>
                <w:color w:val="auto"/>
              </w:rPr>
            </w:pPr>
            <w:r>
              <w:rPr>
                <w:rFonts w:ascii="Arial" w:cs="Arial" w:eastAsia="Arial" w:hAnsi="Arial"/>
                <w:sz w:val="16"/>
                <w:szCs w:val="16"/>
                <w:b w:val="1"/>
                <w:bCs w:val="1"/>
                <w:color w:val="00162F"/>
                <w:w w:val="95"/>
              </w:rPr>
              <w:t>2024</w:t>
            </w:r>
          </w:p>
        </w:tc>
        <w:tc>
          <w:tcPr>
            <w:tcW w:w="80" w:type="dxa"/>
            <w:vAlign w:val="bottom"/>
            <w:tcBorders>
              <w:bottom w:val="single" w:sz="8" w:color="EDEDED"/>
            </w:tcBorders>
          </w:tcPr>
          <w:p>
            <w:pPr>
              <w:spacing w:after="0"/>
              <w:rPr>
                <w:sz w:val="18"/>
                <w:szCs w:val="18"/>
                <w:color w:val="auto"/>
              </w:rPr>
            </w:pPr>
          </w:p>
        </w:tc>
        <w:tc>
          <w:tcPr>
            <w:tcW w:w="320" w:type="dxa"/>
            <w:vAlign w:val="bottom"/>
            <w:tcBorders>
              <w:bottom w:val="single" w:sz="8" w:color="00162F"/>
            </w:tcBorders>
          </w:tcPr>
          <w:p>
            <w:pPr>
              <w:spacing w:after="0"/>
              <w:rPr>
                <w:sz w:val="18"/>
                <w:szCs w:val="18"/>
                <w:color w:val="auto"/>
              </w:rPr>
            </w:pPr>
          </w:p>
        </w:tc>
        <w:tc>
          <w:tcPr>
            <w:tcW w:w="1140" w:type="dxa"/>
            <w:vAlign w:val="bottom"/>
            <w:tcBorders>
              <w:bottom w:val="single" w:sz="8" w:color="00162F"/>
            </w:tcBorders>
          </w:tcPr>
          <w:p>
            <w:pPr>
              <w:jc w:val="right"/>
              <w:ind w:right="470"/>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bottom w:val="single" w:sz="8" w:color="EDEDED"/>
            </w:tcBorders>
          </w:tcPr>
          <w:p>
            <w:pPr>
              <w:spacing w:after="0"/>
              <w:rPr>
                <w:sz w:val="18"/>
                <w:szCs w:val="18"/>
                <w:color w:val="auto"/>
              </w:rPr>
            </w:pPr>
          </w:p>
        </w:tc>
        <w:tc>
          <w:tcPr>
            <w:tcW w:w="520" w:type="dxa"/>
            <w:vAlign w:val="bottom"/>
            <w:tcBorders>
              <w:bottom w:val="single" w:sz="8" w:color="00162F"/>
            </w:tcBorders>
          </w:tcPr>
          <w:p>
            <w:pPr>
              <w:spacing w:after="0"/>
              <w:rPr>
                <w:sz w:val="18"/>
                <w:szCs w:val="18"/>
                <w:color w:val="auto"/>
              </w:rPr>
            </w:pPr>
          </w:p>
        </w:tc>
        <w:tc>
          <w:tcPr>
            <w:tcW w:w="940" w:type="dxa"/>
            <w:vAlign w:val="bottom"/>
            <w:tcBorders>
              <w:bottom w:val="single" w:sz="8" w:color="00162F"/>
            </w:tcBorders>
          </w:tcPr>
          <w:p>
            <w:pPr>
              <w:jc w:val="right"/>
              <w:ind w:right="465"/>
              <w:spacing w:after="0"/>
              <w:rPr>
                <w:sz w:val="20"/>
                <w:szCs w:val="20"/>
                <w:color w:val="auto"/>
              </w:rPr>
            </w:pPr>
            <w:r>
              <w:rPr>
                <w:rFonts w:ascii="Arial" w:cs="Arial" w:eastAsia="Arial" w:hAnsi="Arial"/>
                <w:sz w:val="16"/>
                <w:szCs w:val="16"/>
                <w:b w:val="1"/>
                <w:bCs w:val="1"/>
                <w:color w:val="00162F"/>
              </w:rPr>
              <w:t>2024</w:t>
            </w:r>
          </w:p>
        </w:tc>
      </w:tr>
      <w:tr>
        <w:trPr>
          <w:trHeight w:val="287"/>
        </w:trPr>
        <w:tc>
          <w:tcPr>
            <w:tcW w:w="246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Republic Holdings </w:t>
            </w:r>
            <w:r>
              <w:rPr>
                <w:rFonts w:ascii="Arial" w:cs="Arial" w:eastAsia="Arial" w:hAnsi="Arial"/>
                <w:sz w:val="12"/>
                <w:szCs w:val="12"/>
                <w:color w:val="00162F"/>
              </w:rPr>
              <w:t>(1)</w:t>
            </w:r>
          </w:p>
        </w:tc>
        <w:tc>
          <w:tcPr>
            <w:tcW w:w="222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8"/>
              </w:rPr>
              <w:t>Equity Method</w:t>
            </w:r>
          </w:p>
        </w:tc>
        <w:tc>
          <w:tcPr>
            <w:tcW w:w="80" w:type="dxa"/>
            <w:vAlign w:val="bottom"/>
            <w:shd w:val="clear" w:color="auto" w:fill="EDEDED"/>
          </w:tcPr>
          <w:p>
            <w:pPr>
              <w:spacing w:after="0"/>
              <w:rPr>
                <w:sz w:val="24"/>
                <w:szCs w:val="24"/>
                <w:color w:val="auto"/>
              </w:rPr>
            </w:pPr>
          </w:p>
        </w:tc>
        <w:tc>
          <w:tcPr>
            <w:tcW w:w="13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20.8 %</w:t>
            </w:r>
          </w:p>
        </w:tc>
        <w:tc>
          <w:tcPr>
            <w:tcW w:w="80" w:type="dxa"/>
            <w:vAlign w:val="bottom"/>
            <w:shd w:val="clear" w:color="auto" w:fill="EDEDED"/>
          </w:tcPr>
          <w:p>
            <w:pPr>
              <w:spacing w:after="0"/>
              <w:rPr>
                <w:sz w:val="24"/>
                <w:szCs w:val="24"/>
                <w:color w:val="auto"/>
              </w:rPr>
            </w:pPr>
          </w:p>
        </w:tc>
        <w:tc>
          <w:tcPr>
            <w:tcW w:w="500" w:type="dxa"/>
            <w:vAlign w:val="bottom"/>
            <w:shd w:val="clear" w:color="auto" w:fill="EDEDED"/>
          </w:tcPr>
          <w:p>
            <w:pPr>
              <w:spacing w:after="0"/>
              <w:rPr>
                <w:sz w:val="24"/>
                <w:szCs w:val="24"/>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25.0 %</w:t>
            </w:r>
          </w:p>
        </w:tc>
        <w:tc>
          <w:tcPr>
            <w:tcW w:w="400" w:type="dxa"/>
            <w:vAlign w:val="bottom"/>
            <w:gridSpan w:val="2"/>
            <w:shd w:val="clear" w:color="auto" w:fill="EDEDED"/>
          </w:tcPr>
          <w:p>
            <w:pPr>
              <w:jc w:val="right"/>
              <w:ind w:right="160"/>
              <w:spacing w:after="0"/>
              <w:rPr>
                <w:sz w:val="20"/>
                <w:szCs w:val="20"/>
                <w:color w:val="auto"/>
              </w:rPr>
            </w:pPr>
            <w:r>
              <w:rPr>
                <w:rFonts w:ascii="Arial" w:cs="Arial" w:eastAsia="Arial" w:hAnsi="Arial"/>
                <w:sz w:val="20"/>
                <w:szCs w:val="20"/>
                <w:color w:val="00162F"/>
              </w:rPr>
              <w:t>$</w:t>
            </w: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254</w:t>
            </w:r>
          </w:p>
        </w:tc>
        <w:tc>
          <w:tcPr>
            <w:tcW w:w="600" w:type="dxa"/>
            <w:vAlign w:val="bottom"/>
            <w:gridSpan w:val="2"/>
            <w:shd w:val="clear" w:color="auto" w:fill="EDEDED"/>
          </w:tcPr>
          <w:p>
            <w:pPr>
              <w:jc w:val="right"/>
              <w:ind w:right="360"/>
              <w:spacing w:after="0"/>
              <w:rPr>
                <w:sz w:val="20"/>
                <w:szCs w:val="20"/>
                <w:color w:val="auto"/>
              </w:rPr>
            </w:pPr>
            <w:r>
              <w:rPr>
                <w:rFonts w:ascii="Arial" w:cs="Arial" w:eastAsia="Arial" w:hAnsi="Arial"/>
                <w:sz w:val="20"/>
                <w:szCs w:val="20"/>
                <w:color w:val="00162F"/>
              </w:rPr>
              <w:t>$</w:t>
            </w:r>
          </w:p>
        </w:tc>
        <w:tc>
          <w:tcPr>
            <w:tcW w:w="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253</w:t>
            </w:r>
          </w:p>
        </w:tc>
      </w:tr>
      <w:tr>
        <w:trPr>
          <w:trHeight w:val="293"/>
        </w:trPr>
        <w:tc>
          <w:tcPr>
            <w:tcW w:w="2460" w:type="dxa"/>
            <w:vAlign w:val="bottom"/>
            <w:gridSpan w:val="2"/>
          </w:tcPr>
          <w:p>
            <w:pPr>
              <w:ind w:left="40"/>
              <w:spacing w:after="0"/>
              <w:rPr>
                <w:sz w:val="20"/>
                <w:szCs w:val="20"/>
                <w:color w:val="auto"/>
              </w:rPr>
            </w:pPr>
            <w:r>
              <w:rPr>
                <w:rFonts w:ascii="Arial" w:cs="Arial" w:eastAsia="Arial" w:hAnsi="Arial"/>
                <w:sz w:val="20"/>
                <w:szCs w:val="20"/>
                <w:color w:val="00162F"/>
              </w:rPr>
              <w:t>China Southern Airlines</w:t>
            </w:r>
          </w:p>
        </w:tc>
        <w:tc>
          <w:tcPr>
            <w:tcW w:w="2300" w:type="dxa"/>
            <w:vAlign w:val="bottom"/>
            <w:gridSpan w:val="2"/>
          </w:tcPr>
          <w:p>
            <w:pPr>
              <w:jc w:val="center"/>
              <w:ind w:right="80"/>
              <w:spacing w:after="0"/>
              <w:rPr>
                <w:sz w:val="20"/>
                <w:szCs w:val="20"/>
                <w:color w:val="auto"/>
              </w:rPr>
            </w:pPr>
            <w:r>
              <w:rPr>
                <w:rFonts w:ascii="Arial" w:cs="Arial" w:eastAsia="Arial" w:hAnsi="Arial"/>
                <w:sz w:val="20"/>
                <w:szCs w:val="20"/>
                <w:color w:val="00162F"/>
                <w:w w:val="98"/>
              </w:rPr>
              <w:t>Fair Value</w:t>
            </w:r>
          </w:p>
        </w:tc>
        <w:tc>
          <w:tcPr>
            <w:tcW w:w="1380" w:type="dxa"/>
            <w:vAlign w:val="bottom"/>
          </w:tcPr>
          <w:p>
            <w:pPr>
              <w:jc w:val="right"/>
              <w:spacing w:after="0"/>
              <w:rPr>
                <w:sz w:val="20"/>
                <w:szCs w:val="20"/>
                <w:color w:val="auto"/>
              </w:rPr>
            </w:pPr>
            <w:r>
              <w:rPr>
                <w:rFonts w:ascii="Arial" w:cs="Arial" w:eastAsia="Arial" w:hAnsi="Arial"/>
                <w:sz w:val="20"/>
                <w:szCs w:val="20"/>
                <w:color w:val="00162F"/>
              </w:rPr>
              <w:t>1.5 %</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00162F"/>
              </w:rPr>
              <w:t>1.5 %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203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0162F"/>
              </w:rPr>
              <w:t>142</w:t>
            </w:r>
          </w:p>
        </w:tc>
      </w:tr>
      <w:tr>
        <w:trPr>
          <w:trHeight w:val="311"/>
        </w:trPr>
        <w:tc>
          <w:tcPr>
            <w:tcW w:w="2460" w:type="dxa"/>
            <w:vAlign w:val="bottom"/>
            <w:tcBorders>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Other investments </w:t>
            </w:r>
            <w:r>
              <w:rPr>
                <w:rFonts w:ascii="Arial" w:cs="Arial" w:eastAsia="Arial" w:hAnsi="Arial"/>
                <w:sz w:val="12"/>
                <w:szCs w:val="12"/>
                <w:color w:val="00162F"/>
              </w:rPr>
              <w:t>(2)</w:t>
            </w:r>
          </w:p>
        </w:tc>
        <w:tc>
          <w:tcPr>
            <w:tcW w:w="2300" w:type="dxa"/>
            <w:vAlign w:val="bottom"/>
            <w:tcBorders>
              <w:bottom w:val="single" w:sz="8" w:color="EDEDED"/>
            </w:tcBorders>
            <w:gridSpan w:val="2"/>
            <w:shd w:val="clear" w:color="auto" w:fill="EDEDED"/>
          </w:tcPr>
          <w:p>
            <w:pPr>
              <w:jc w:val="center"/>
              <w:ind w:right="80"/>
              <w:spacing w:after="0"/>
              <w:rPr>
                <w:sz w:val="20"/>
                <w:szCs w:val="20"/>
                <w:color w:val="auto"/>
              </w:rPr>
            </w:pPr>
            <w:r>
              <w:rPr>
                <w:rFonts w:ascii="Arial" w:cs="Arial" w:eastAsia="Arial" w:hAnsi="Arial"/>
                <w:sz w:val="20"/>
                <w:szCs w:val="20"/>
                <w:color w:val="00162F"/>
                <w:w w:val="97"/>
              </w:rPr>
              <w:t>Various</w:t>
            </w:r>
          </w:p>
        </w:tc>
        <w:tc>
          <w:tcPr>
            <w:tcW w:w="138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500" w:type="dxa"/>
            <w:vAlign w:val="bottom"/>
            <w:tcBorders>
              <w:bottom w:val="single" w:sz="8" w:color="EDEDED"/>
            </w:tcBorders>
            <w:shd w:val="clear" w:color="auto" w:fill="EDEDED"/>
          </w:tcPr>
          <w:p>
            <w:pPr>
              <w:spacing w:after="0"/>
              <w:rPr>
                <w:sz w:val="24"/>
                <w:szCs w:val="24"/>
                <w:color w:val="auto"/>
              </w:rPr>
            </w:pPr>
          </w:p>
        </w:tc>
        <w:tc>
          <w:tcPr>
            <w:tcW w:w="88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1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146</w:t>
            </w:r>
          </w:p>
        </w:tc>
        <w:tc>
          <w:tcPr>
            <w:tcW w:w="80" w:type="dxa"/>
            <w:vAlign w:val="bottom"/>
            <w:tcBorders>
              <w:bottom w:val="single" w:sz="8" w:color="EDEDED"/>
            </w:tcBorders>
            <w:shd w:val="clear" w:color="auto" w:fill="EDEDED"/>
          </w:tcPr>
          <w:p>
            <w:pPr>
              <w:spacing w:after="0"/>
              <w:rPr>
                <w:sz w:val="24"/>
                <w:szCs w:val="24"/>
                <w:color w:val="auto"/>
              </w:rPr>
            </w:pPr>
          </w:p>
        </w:tc>
        <w:tc>
          <w:tcPr>
            <w:tcW w:w="520" w:type="dxa"/>
            <w:vAlign w:val="bottom"/>
            <w:tcBorders>
              <w:bottom w:val="single" w:sz="8" w:color="00162F"/>
            </w:tcBorders>
            <w:shd w:val="clear" w:color="auto" w:fill="EDEDED"/>
          </w:tcPr>
          <w:p>
            <w:pPr>
              <w:spacing w:after="0"/>
              <w:rPr>
                <w:sz w:val="24"/>
                <w:szCs w:val="24"/>
                <w:color w:val="auto"/>
              </w:rPr>
            </w:pPr>
          </w:p>
        </w:tc>
        <w:tc>
          <w:tcPr>
            <w:tcW w:w="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120</w:t>
            </w:r>
          </w:p>
        </w:tc>
      </w:tr>
      <w:tr>
        <w:trPr>
          <w:trHeight w:val="237"/>
        </w:trPr>
        <w:tc>
          <w:tcPr>
            <w:tcW w:w="2460" w:type="dxa"/>
            <w:vAlign w:val="bottom"/>
            <w:gridSpan w:val="2"/>
          </w:tcPr>
          <w:p>
            <w:pPr>
              <w:ind w:left="280"/>
              <w:spacing w:after="0"/>
              <w:rPr>
                <w:sz w:val="20"/>
                <w:szCs w:val="20"/>
                <w:color w:val="auto"/>
              </w:rPr>
            </w:pPr>
            <w:r>
              <w:rPr>
                <w:rFonts w:ascii="Arial" w:cs="Arial" w:eastAsia="Arial" w:hAnsi="Arial"/>
                <w:sz w:val="20"/>
                <w:szCs w:val="20"/>
                <w:color w:val="00162F"/>
              </w:rPr>
              <w:t>Total</w:t>
            </w: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00162F"/>
              </w:rPr>
              <w:t>$</w:t>
            </w:r>
          </w:p>
        </w:tc>
        <w:tc>
          <w:tcPr>
            <w:tcW w:w="1140" w:type="dxa"/>
            <w:vAlign w:val="bottom"/>
          </w:tcPr>
          <w:p>
            <w:pPr>
              <w:jc w:val="right"/>
              <w:spacing w:after="0"/>
              <w:rPr>
                <w:sz w:val="20"/>
                <w:szCs w:val="20"/>
                <w:color w:val="auto"/>
              </w:rPr>
            </w:pPr>
            <w:r>
              <w:rPr>
                <w:rFonts w:ascii="Arial" w:cs="Arial" w:eastAsia="Arial" w:hAnsi="Arial"/>
                <w:sz w:val="20"/>
                <w:szCs w:val="20"/>
                <w:color w:val="00162F"/>
              </w:rPr>
              <w:t>603</w:t>
            </w:r>
          </w:p>
        </w:tc>
        <w:tc>
          <w:tcPr>
            <w:tcW w:w="600" w:type="dxa"/>
            <w:vAlign w:val="bottom"/>
            <w:gridSpan w:val="2"/>
          </w:tcPr>
          <w:p>
            <w:pPr>
              <w:jc w:val="right"/>
              <w:ind w:right="360"/>
              <w:spacing w:after="0"/>
              <w:rPr>
                <w:sz w:val="20"/>
                <w:szCs w:val="20"/>
                <w:color w:val="auto"/>
              </w:rPr>
            </w:pPr>
            <w:r>
              <w:rPr>
                <w:rFonts w:ascii="Arial" w:cs="Arial" w:eastAsia="Arial" w:hAnsi="Arial"/>
                <w:sz w:val="20"/>
                <w:szCs w:val="20"/>
                <w:color w:val="00162F"/>
              </w:rPr>
              <w:t>$</w:t>
            </w:r>
          </w:p>
        </w:tc>
        <w:tc>
          <w:tcPr>
            <w:tcW w:w="940" w:type="dxa"/>
            <w:vAlign w:val="bottom"/>
          </w:tcPr>
          <w:p>
            <w:pPr>
              <w:jc w:val="right"/>
              <w:spacing w:after="0"/>
              <w:rPr>
                <w:sz w:val="20"/>
                <w:szCs w:val="20"/>
                <w:color w:val="auto"/>
              </w:rPr>
            </w:pPr>
            <w:r>
              <w:rPr>
                <w:rFonts w:ascii="Arial" w:cs="Arial" w:eastAsia="Arial" w:hAnsi="Arial"/>
                <w:sz w:val="20"/>
                <w:szCs w:val="20"/>
                <w:color w:val="00162F"/>
              </w:rPr>
              <w:t>515</w:t>
            </w:r>
          </w:p>
        </w:tc>
      </w:tr>
      <w:tr>
        <w:trPr>
          <w:trHeight w:val="20"/>
        </w:trPr>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11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162F"/>
              <w:bottom w:val="single" w:sz="8" w:color="00162F"/>
            </w:tcBorders>
          </w:tcPr>
          <w:p>
            <w:pPr>
              <w:spacing w:after="0" w:line="20" w:lineRule="exact"/>
              <w:rPr>
                <w:sz w:val="1"/>
                <w:szCs w:val="1"/>
                <w:color w:val="auto"/>
              </w:rPr>
            </w:pPr>
          </w:p>
        </w:tc>
        <w:tc>
          <w:tcPr>
            <w:tcW w:w="940" w:type="dxa"/>
            <w:vAlign w:val="bottom"/>
            <w:tcBorders>
              <w:top w:val="single" w:sz="8" w:color="00162F"/>
              <w:bottom w:val="single" w:sz="8" w:color="00162F"/>
            </w:tcBorders>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5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-895350</wp:posOffset>
            </wp:positionV>
            <wp:extent cx="5273675" cy="501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0">
                      <a:extLst>
                        <a:ext uri="{28A0092B-C50C-407E-A947-70E740481C1C}"/>
                      </a:extLst>
                    </a:blip>
                    <a:srcRect/>
                    <a:stretch>
                      <a:fillRect/>
                    </a:stretch>
                  </pic:blipFill>
                  <pic:spPr bwMode="auto">
                    <a:xfrm>
                      <a:off x="0" y="0"/>
                      <a:ext cx="5273675" cy="5016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-329565</wp:posOffset>
            </wp:positionV>
            <wp:extent cx="1005840" cy="501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1">
                      <a:extLst>
                        <a:ext uri="{28A0092B-C50C-407E-A947-70E740481C1C}"/>
                      </a:extLst>
                    </a:blip>
                    <a:srcRect/>
                    <a:stretch>
                      <a:fillRect/>
                    </a:stretch>
                  </pic:blipFill>
                  <pic:spPr bwMode="auto">
                    <a:xfrm>
                      <a:off x="0" y="0"/>
                      <a:ext cx="1005840" cy="5016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-153670</wp:posOffset>
            </wp:positionV>
            <wp:extent cx="983615" cy="755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2">
                      <a:extLst>
                        <a:ext uri="{28A0092B-C50C-407E-A947-70E740481C1C}"/>
                      </a:extLst>
                    </a:blip>
                    <a:srcRect/>
                    <a:stretch>
                      <a:fillRect/>
                    </a:stretch>
                  </pic:blipFill>
                  <pic:spPr bwMode="auto">
                    <a:xfrm>
                      <a:off x="0" y="0"/>
                      <a:ext cx="983615" cy="75565"/>
                    </a:xfrm>
                    <a:prstGeom prst="rect">
                      <a:avLst/>
                    </a:prstGeom>
                    <a:noFill/>
                  </pic:spPr>
                </pic:pic>
              </a:graphicData>
            </a:graphic>
          </wp:anchor>
        </w:drawing>
      </w:r>
    </w:p>
    <w:p>
      <w:pPr>
        <w:spacing w:after="0" w:line="14" w:lineRule="exact"/>
        <w:rPr>
          <w:sz w:val="20"/>
          <w:szCs w:val="20"/>
          <w:color w:val="auto"/>
        </w:rPr>
      </w:pPr>
    </w:p>
    <w:p>
      <w:pPr>
        <w:ind w:left="365" w:hanging="365"/>
        <w:spacing w:after="0" w:line="282" w:lineRule="auto"/>
        <w:tabs>
          <w:tab w:leader="none" w:pos="365" w:val="left"/>
        </w:tabs>
        <w:numPr>
          <w:ilvl w:val="0"/>
          <w:numId w:val="77"/>
        </w:numPr>
        <w:rPr>
          <w:rFonts w:ascii="Arial" w:cs="Arial" w:eastAsia="Arial" w:hAnsi="Arial"/>
          <w:sz w:val="13"/>
          <w:szCs w:val="13"/>
          <w:color w:val="00162F"/>
        </w:rPr>
      </w:pPr>
      <w:r>
        <w:rPr>
          <w:rFonts w:ascii="Arial" w:cs="Arial" w:eastAsia="Arial" w:hAnsi="Arial"/>
          <w:sz w:val="20"/>
          <w:szCs w:val="20"/>
          <w:color w:val="00162F"/>
        </w:rPr>
        <w:t>In November 2025, Republic Holdings completed a merger with Mesa Air Group, Inc. As a result, American’s equity interest in Republic Holdings decreased from 25.0% to 20.8%.</w:t>
      </w:r>
    </w:p>
    <w:p>
      <w:pPr>
        <w:spacing w:after="0" w:line="112"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77"/>
        </w:numPr>
        <w:rPr>
          <w:rFonts w:ascii="Arial" w:cs="Arial" w:eastAsia="Arial" w:hAnsi="Arial"/>
          <w:sz w:val="13"/>
          <w:szCs w:val="13"/>
          <w:color w:val="00162F"/>
        </w:rPr>
      </w:pPr>
      <w:r>
        <w:rPr>
          <w:rFonts w:ascii="Arial" w:cs="Arial" w:eastAsia="Arial" w:hAnsi="Arial"/>
          <w:sz w:val="20"/>
          <w:szCs w:val="20"/>
          <w:color w:val="00162F"/>
        </w:rPr>
        <w:t>Primarily includes American’s investment in JetSMART Holdings Limited, which is accounted for under the equity method.</w:t>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154</w:t>
      </w:r>
    </w:p>
    <w:p>
      <w:pPr>
        <w:sectPr>
          <w:pgSz w:w="11880" w:h="15480" w:orient="portrait"/>
          <w:cols w:equalWidth="0" w:num="1">
            <w:col w:w="10685"/>
          </w:cols>
          <w:pgMar w:left="595" w:top="249" w:right="600" w:bottom="0" w:gutter="0" w:footer="0" w:header="0"/>
          <w:type w:val="continuous"/>
        </w:sectPr>
      </w:pPr>
    </w:p>
    <w:bookmarkStart w:id="155" w:name="page156"/>
    <w:bookmarkEnd w:id="155"/>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8. Employee Benefit Plans</w:t>
      </w:r>
    </w:p>
    <w:p>
      <w:pPr>
        <w:spacing w:after="0" w:line="97" w:lineRule="exact"/>
        <w:rPr>
          <w:sz w:val="20"/>
          <w:szCs w:val="20"/>
          <w:color w:val="auto"/>
        </w:rPr>
      </w:pPr>
    </w:p>
    <w:p>
      <w:pPr>
        <w:jc w:val="both"/>
        <w:ind w:left="5" w:firstLine="267"/>
        <w:spacing w:after="0" w:line="269" w:lineRule="auto"/>
        <w:rPr>
          <w:sz w:val="20"/>
          <w:szCs w:val="20"/>
          <w:color w:val="auto"/>
        </w:rPr>
      </w:pPr>
      <w:r>
        <w:rPr>
          <w:rFonts w:ascii="Arial" w:cs="Arial" w:eastAsia="Arial" w:hAnsi="Arial"/>
          <w:sz w:val="19"/>
          <w:szCs w:val="19"/>
          <w:color w:val="00162F"/>
        </w:rPr>
        <w:t>American sponsors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American’s defined benefit pension plans were frozen and American began providing enhanced benefits under its defined contribution pension plans for certain employee groups. American uses a December 31 measurement date for all of its defined benefit pension plans. American also provides certain retiree medical and other postretirement benefits, including health care and life insurance benefits to retired employees and notional retiree health reimbursement arrangements for eligible participants.</w:t>
      </w:r>
    </w:p>
    <w:p>
      <w:pPr>
        <w:spacing w:after="0" w:line="217"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Benefit Obligations, Fair Value of Plan Assets and Funded Status</w:t>
      </w:r>
    </w:p>
    <w:p>
      <w:pPr>
        <w:spacing w:after="0" w:line="95"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The following tables provide a reconciliation of the changes in the pension and retiree medical and other postretirement benefits obligations, fair value of plan assets and funded status as of December 31, 2025 and 2024:</w:t>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vMerge w:val="restart"/>
          </w:tcPr>
          <w:p>
            <w:pPr>
              <w:jc w:val="right"/>
              <w:ind w:right="663"/>
              <w:spacing w:after="0"/>
              <w:rPr>
                <w:sz w:val="20"/>
                <w:szCs w:val="20"/>
                <w:color w:val="auto"/>
              </w:rPr>
            </w:pPr>
            <w:r>
              <w:rPr>
                <w:rFonts w:ascii="Arial" w:cs="Arial" w:eastAsia="Arial" w:hAnsi="Arial"/>
                <w:sz w:val="16"/>
                <w:szCs w:val="16"/>
                <w:b w:val="1"/>
                <w:bCs w:val="1"/>
                <w:color w:val="00162F"/>
              </w:rPr>
              <w:t>Pension Benefits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4"/>
          </w:tcPr>
          <w:p>
            <w:pPr>
              <w:jc w:val="right"/>
              <w:ind w:right="542"/>
              <w:spacing w:after="0"/>
              <w:rPr>
                <w:sz w:val="20"/>
                <w:szCs w:val="20"/>
                <w:color w:val="auto"/>
              </w:rPr>
            </w:pPr>
            <w:r>
              <w:rPr>
                <w:rFonts w:ascii="Arial" w:cs="Arial" w:eastAsia="Arial" w:hAnsi="Arial"/>
                <w:sz w:val="16"/>
                <w:szCs w:val="16"/>
                <w:b w:val="1"/>
                <w:bCs w:val="1"/>
                <w:color w:val="00162F"/>
              </w:rPr>
              <w:t>Retiree Medical and</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Borders>
              <w:bottom w:val="single" w:sz="8" w:color="00162F"/>
            </w:tcBorders>
          </w:tcPr>
          <w:p>
            <w:pPr>
              <w:spacing w:after="0"/>
              <w:rPr>
                <w:sz w:val="18"/>
                <w:szCs w:val="18"/>
                <w:color w:val="auto"/>
              </w:rPr>
            </w:pPr>
          </w:p>
        </w:tc>
        <w:tc>
          <w:tcPr>
            <w:tcW w:w="2460" w:type="dxa"/>
            <w:vAlign w:val="bottom"/>
            <w:tcBorders>
              <w:bottom w:val="single" w:sz="8" w:color="00162F"/>
            </w:tcBorders>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00162F"/>
            </w:tcBorders>
          </w:tcPr>
          <w:p>
            <w:pPr>
              <w:spacing w:after="0"/>
              <w:rPr>
                <w:sz w:val="18"/>
                <w:szCs w:val="18"/>
                <w:color w:val="auto"/>
              </w:rPr>
            </w:pPr>
          </w:p>
        </w:tc>
        <w:tc>
          <w:tcPr>
            <w:tcW w:w="2560" w:type="dxa"/>
            <w:vAlign w:val="bottom"/>
            <w:tcBorders>
              <w:bottom w:val="single" w:sz="8" w:color="00162F"/>
            </w:tcBorders>
            <w:gridSpan w:val="4"/>
          </w:tcPr>
          <w:p>
            <w:pPr>
              <w:jc w:val="right"/>
              <w:ind w:right="162"/>
              <w:spacing w:after="0"/>
              <w:rPr>
                <w:sz w:val="20"/>
                <w:szCs w:val="20"/>
                <w:color w:val="auto"/>
              </w:rPr>
            </w:pPr>
            <w:r>
              <w:rPr>
                <w:rFonts w:ascii="Arial" w:cs="Arial" w:eastAsia="Arial" w:hAnsi="Arial"/>
                <w:sz w:val="16"/>
                <w:szCs w:val="16"/>
                <w:b w:val="1"/>
                <w:bCs w:val="1"/>
                <w:color w:val="00162F"/>
              </w:rPr>
              <w:t>Other Postretirement Benefits</w:t>
            </w:r>
          </w:p>
        </w:tc>
        <w:tc>
          <w:tcPr>
            <w:tcW w:w="0" w:type="dxa"/>
            <w:vAlign w:val="bottom"/>
          </w:tcPr>
          <w:p>
            <w:pPr>
              <w:spacing w:after="0"/>
              <w:rPr>
                <w:sz w:val="1"/>
                <w:szCs w:val="1"/>
                <w:color w:val="auto"/>
              </w:rPr>
            </w:pPr>
          </w:p>
        </w:tc>
      </w:tr>
      <w:tr>
        <w:trPr>
          <w:trHeight w:val="232"/>
        </w:trPr>
        <w:tc>
          <w:tcPr>
            <w:tcW w:w="19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020" w:type="dxa"/>
            <w:vAlign w:val="bottom"/>
            <w:tcBorders>
              <w:bottom w:val="single" w:sz="8" w:color="00162F"/>
            </w:tcBorders>
          </w:tcPr>
          <w:p>
            <w:pPr>
              <w:jc w:val="right"/>
              <w:ind w:right="403"/>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rPr>
                <w:sz w:val="20"/>
                <w:szCs w:val="20"/>
                <w:color w:val="auto"/>
              </w:rPr>
            </w:pPr>
          </w:p>
        </w:tc>
        <w:tc>
          <w:tcPr>
            <w:tcW w:w="340" w:type="dxa"/>
            <w:vAlign w:val="bottom"/>
            <w:tcBorders>
              <w:bottom w:val="single" w:sz="8" w:color="00162F"/>
            </w:tcBorders>
          </w:tcPr>
          <w:p>
            <w:pPr>
              <w:spacing w:after="0"/>
              <w:rPr>
                <w:sz w:val="20"/>
                <w:szCs w:val="20"/>
                <w:color w:val="auto"/>
              </w:rPr>
            </w:pPr>
          </w:p>
        </w:tc>
        <w:tc>
          <w:tcPr>
            <w:tcW w:w="1020" w:type="dxa"/>
            <w:vAlign w:val="bottom"/>
            <w:tcBorders>
              <w:bottom w:val="single" w:sz="8" w:color="00162F"/>
            </w:tcBorders>
          </w:tcPr>
          <w:p>
            <w:pPr>
              <w:jc w:val="right"/>
              <w:ind w:right="403"/>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rPr>
                <w:sz w:val="20"/>
                <w:szCs w:val="20"/>
                <w:color w:val="auto"/>
              </w:rPr>
            </w:pPr>
          </w:p>
        </w:tc>
        <w:tc>
          <w:tcPr>
            <w:tcW w:w="220" w:type="dxa"/>
            <w:vAlign w:val="bottom"/>
            <w:tcBorders>
              <w:bottom w:val="single" w:sz="8" w:color="00162F"/>
            </w:tcBorders>
          </w:tcPr>
          <w:p>
            <w:pPr>
              <w:spacing w:after="0"/>
              <w:rPr>
                <w:sz w:val="20"/>
                <w:szCs w:val="20"/>
                <w:color w:val="auto"/>
              </w:rPr>
            </w:pPr>
          </w:p>
        </w:tc>
        <w:tc>
          <w:tcPr>
            <w:tcW w:w="1140" w:type="dxa"/>
            <w:vAlign w:val="bottom"/>
            <w:tcBorders>
              <w:bottom w:val="single" w:sz="8" w:color="00162F"/>
            </w:tcBorders>
          </w:tcPr>
          <w:p>
            <w:pPr>
              <w:jc w:val="right"/>
              <w:ind w:right="404"/>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rPr>
                <w:sz w:val="20"/>
                <w:szCs w:val="20"/>
                <w:color w:val="auto"/>
              </w:rPr>
            </w:pPr>
          </w:p>
        </w:tc>
        <w:tc>
          <w:tcPr>
            <w:tcW w:w="320" w:type="dxa"/>
            <w:vAlign w:val="bottom"/>
            <w:tcBorders>
              <w:bottom w:val="single" w:sz="8" w:color="00162F"/>
            </w:tcBorders>
          </w:tcPr>
          <w:p>
            <w:pPr>
              <w:spacing w:after="0"/>
              <w:rPr>
                <w:sz w:val="20"/>
                <w:szCs w:val="20"/>
                <w:color w:val="auto"/>
              </w:rPr>
            </w:pPr>
          </w:p>
        </w:tc>
        <w:tc>
          <w:tcPr>
            <w:tcW w:w="1020" w:type="dxa"/>
            <w:vAlign w:val="bottom"/>
            <w:tcBorders>
              <w:bottom w:val="single" w:sz="8" w:color="00162F"/>
            </w:tcBorders>
          </w:tcPr>
          <w:p>
            <w:pPr>
              <w:jc w:val="right"/>
              <w:ind w:right="402"/>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55"/>
        </w:trPr>
        <w:tc>
          <w:tcPr>
            <w:tcW w:w="19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40" w:type="dxa"/>
            <w:vAlign w:val="bottom"/>
            <w:gridSpan w:val="4"/>
          </w:tcPr>
          <w:p>
            <w:pPr>
              <w:jc w:val="right"/>
              <w:ind w:right="844"/>
              <w:spacing w:after="0"/>
              <w:rPr>
                <w:sz w:val="20"/>
                <w:szCs w:val="20"/>
                <w:color w:val="auto"/>
              </w:rPr>
            </w:pPr>
            <w:r>
              <w:rPr>
                <w:rFonts w:ascii="Arial" w:cs="Arial" w:eastAsia="Arial" w:hAnsi="Arial"/>
                <w:sz w:val="16"/>
                <w:szCs w:val="16"/>
                <w:b w:val="1"/>
                <w:bCs w:val="1"/>
                <w:color w:val="00162F"/>
              </w:rPr>
              <w:t>(In millions)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506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Benefit obligation at beginning of period</w:t>
            </w:r>
          </w:p>
        </w:tc>
        <w:tc>
          <w:tcPr>
            <w:tcW w:w="320" w:type="dxa"/>
            <w:vAlign w:val="bottom"/>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13,258</w:t>
            </w:r>
          </w:p>
        </w:tc>
        <w:tc>
          <w:tcPr>
            <w:tcW w:w="420" w:type="dxa"/>
            <w:vAlign w:val="bottom"/>
            <w:gridSpan w:val="2"/>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14,314</w:t>
            </w:r>
          </w:p>
        </w:tc>
        <w:tc>
          <w:tcPr>
            <w:tcW w:w="28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1,307</w:t>
            </w:r>
          </w:p>
        </w:tc>
        <w:tc>
          <w:tcPr>
            <w:tcW w:w="400" w:type="dxa"/>
            <w:vAlign w:val="bottom"/>
            <w:gridSpan w:val="2"/>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1,325</w:t>
            </w:r>
          </w:p>
        </w:tc>
        <w:tc>
          <w:tcPr>
            <w:tcW w:w="0" w:type="dxa"/>
            <w:vAlign w:val="bottom"/>
          </w:tcPr>
          <w:p>
            <w:pPr>
              <w:spacing w:after="0"/>
              <w:rPr>
                <w:sz w:val="1"/>
                <w:szCs w:val="1"/>
                <w:color w:val="auto"/>
              </w:rPr>
            </w:pPr>
          </w:p>
        </w:tc>
      </w:tr>
      <w:tr>
        <w:trPr>
          <w:trHeight w:val="293"/>
        </w:trPr>
        <w:tc>
          <w:tcPr>
            <w:tcW w:w="5060" w:type="dxa"/>
            <w:vAlign w:val="bottom"/>
            <w:gridSpan w:val="2"/>
          </w:tcPr>
          <w:p>
            <w:pPr>
              <w:ind w:left="260"/>
              <w:spacing w:after="0"/>
              <w:rPr>
                <w:sz w:val="20"/>
                <w:szCs w:val="20"/>
                <w:color w:val="auto"/>
              </w:rPr>
            </w:pPr>
            <w:r>
              <w:rPr>
                <w:rFonts w:ascii="Arial" w:cs="Arial" w:eastAsia="Arial" w:hAnsi="Arial"/>
                <w:sz w:val="20"/>
                <w:szCs w:val="20"/>
                <w:color w:val="00162F"/>
              </w:rPr>
              <w:t>Service cost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29</w:t>
            </w:r>
          </w:p>
        </w:tc>
        <w:tc>
          <w:tcPr>
            <w:tcW w:w="0" w:type="dxa"/>
            <w:vAlign w:val="bottom"/>
          </w:tcPr>
          <w:p>
            <w:pPr>
              <w:spacing w:after="0"/>
              <w:rPr>
                <w:sz w:val="1"/>
                <w:szCs w:val="1"/>
                <w:color w:val="auto"/>
              </w:rPr>
            </w:pPr>
          </w:p>
        </w:tc>
      </w:tr>
      <w:tr>
        <w:trPr>
          <w:trHeight w:val="301"/>
        </w:trPr>
        <w:tc>
          <w:tcPr>
            <w:tcW w:w="506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Interest cost</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725</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718</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69</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64</w:t>
            </w:r>
          </w:p>
        </w:tc>
        <w:tc>
          <w:tcPr>
            <w:tcW w:w="0" w:type="dxa"/>
            <w:vAlign w:val="bottom"/>
          </w:tcPr>
          <w:p>
            <w:pPr>
              <w:spacing w:after="0"/>
              <w:rPr>
                <w:sz w:val="1"/>
                <w:szCs w:val="1"/>
                <w:color w:val="auto"/>
              </w:rPr>
            </w:pPr>
          </w:p>
        </w:tc>
      </w:tr>
      <w:tr>
        <w:trPr>
          <w:trHeight w:val="293"/>
        </w:trPr>
        <w:tc>
          <w:tcPr>
            <w:tcW w:w="5060" w:type="dxa"/>
            <w:vAlign w:val="bottom"/>
            <w:gridSpan w:val="2"/>
          </w:tcPr>
          <w:p>
            <w:pPr>
              <w:ind w:left="260"/>
              <w:spacing w:after="0"/>
              <w:rPr>
                <w:sz w:val="20"/>
                <w:szCs w:val="20"/>
                <w:color w:val="auto"/>
              </w:rPr>
            </w:pPr>
            <w:r>
              <w:rPr>
                <w:rFonts w:ascii="Arial" w:cs="Arial" w:eastAsia="Arial" w:hAnsi="Arial"/>
                <w:sz w:val="20"/>
                <w:szCs w:val="20"/>
                <w:color w:val="00162F"/>
              </w:rPr>
              <w:t xml:space="preserve">Actuarial loss (gain) </w:t>
            </w:r>
            <w:r>
              <w:rPr>
                <w:rFonts w:ascii="Arial" w:cs="Arial" w:eastAsia="Arial" w:hAnsi="Arial"/>
                <w:sz w:val="12"/>
                <w:szCs w:val="12"/>
                <w:color w:val="00162F"/>
              </w:rPr>
              <w:t>(1), (2)</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169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(737)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(11)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(58)</w:t>
            </w:r>
          </w:p>
        </w:tc>
        <w:tc>
          <w:tcPr>
            <w:tcW w:w="0" w:type="dxa"/>
            <w:vAlign w:val="bottom"/>
          </w:tcPr>
          <w:p>
            <w:pPr>
              <w:spacing w:after="0"/>
              <w:rPr>
                <w:sz w:val="1"/>
                <w:szCs w:val="1"/>
                <w:color w:val="auto"/>
              </w:rPr>
            </w:pPr>
          </w:p>
        </w:tc>
      </w:tr>
      <w:tr>
        <w:trPr>
          <w:trHeight w:val="301"/>
        </w:trPr>
        <w:tc>
          <w:tcPr>
            <w:tcW w:w="506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Plan amendments </w:t>
            </w:r>
            <w:r>
              <w:rPr>
                <w:rFonts w:ascii="Arial" w:cs="Arial" w:eastAsia="Arial" w:hAnsi="Arial"/>
                <w:sz w:val="12"/>
                <w:szCs w:val="12"/>
                <w:color w:val="00162F"/>
              </w:rPr>
              <w:t>(3)</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54</w:t>
            </w:r>
          </w:p>
        </w:tc>
        <w:tc>
          <w:tcPr>
            <w:tcW w:w="0" w:type="dxa"/>
            <w:vAlign w:val="bottom"/>
          </w:tcPr>
          <w:p>
            <w:pPr>
              <w:spacing w:after="0"/>
              <w:rPr>
                <w:sz w:val="1"/>
                <w:szCs w:val="1"/>
                <w:color w:val="auto"/>
              </w:rPr>
            </w:pPr>
          </w:p>
        </w:tc>
      </w:tr>
      <w:tr>
        <w:trPr>
          <w:trHeight w:val="293"/>
        </w:trPr>
        <w:tc>
          <w:tcPr>
            <w:tcW w:w="5060" w:type="dxa"/>
            <w:vAlign w:val="bottom"/>
            <w:gridSpan w:val="2"/>
          </w:tcPr>
          <w:p>
            <w:pPr>
              <w:ind w:left="260"/>
              <w:spacing w:after="0"/>
              <w:rPr>
                <w:sz w:val="20"/>
                <w:szCs w:val="20"/>
                <w:color w:val="auto"/>
              </w:rPr>
            </w:pPr>
            <w:r>
              <w:rPr>
                <w:rFonts w:ascii="Arial" w:cs="Arial" w:eastAsia="Arial" w:hAnsi="Arial"/>
                <w:sz w:val="20"/>
                <w:szCs w:val="20"/>
                <w:color w:val="00162F"/>
              </w:rPr>
              <w:t>Benefit payments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(914)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(130)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(107)</w:t>
            </w:r>
          </w:p>
        </w:tc>
        <w:tc>
          <w:tcPr>
            <w:tcW w:w="0" w:type="dxa"/>
            <w:vAlign w:val="bottom"/>
          </w:tcPr>
          <w:p>
            <w:pPr>
              <w:spacing w:after="0"/>
              <w:rPr>
                <w:sz w:val="1"/>
                <w:szCs w:val="1"/>
                <w:color w:val="auto"/>
              </w:rPr>
            </w:pPr>
          </w:p>
        </w:tc>
      </w:tr>
      <w:tr>
        <w:trPr>
          <w:trHeight w:val="311"/>
        </w:trPr>
        <w:tc>
          <w:tcPr>
            <w:tcW w:w="506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Other</w:t>
            </w: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(132)</w:t>
            </w:r>
          </w:p>
        </w:tc>
        <w:tc>
          <w:tcPr>
            <w:tcW w:w="6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00162F"/>
            </w:tcBorders>
            <w:shd w:val="clear" w:color="auto" w:fill="EDEDED"/>
          </w:tcPr>
          <w:p>
            <w:pPr>
              <w:spacing w:after="0"/>
              <w:rPr>
                <w:sz w:val="24"/>
                <w:szCs w:val="24"/>
                <w:color w:val="auto"/>
              </w:rPr>
            </w:pPr>
          </w:p>
        </w:tc>
        <w:tc>
          <w:tcPr>
            <w:tcW w:w="11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0" w:type="dxa"/>
            <w:vAlign w:val="bottom"/>
          </w:tcPr>
          <w:p>
            <w:pPr>
              <w:spacing w:after="0"/>
              <w:rPr>
                <w:sz w:val="1"/>
                <w:szCs w:val="1"/>
                <w:color w:val="auto"/>
              </w:rPr>
            </w:pPr>
          </w:p>
        </w:tc>
      </w:tr>
      <w:tr>
        <w:trPr>
          <w:trHeight w:val="237"/>
        </w:trPr>
        <w:tc>
          <w:tcPr>
            <w:tcW w:w="5060" w:type="dxa"/>
            <w:vAlign w:val="bottom"/>
            <w:gridSpan w:val="2"/>
          </w:tcPr>
          <w:p>
            <w:pPr>
              <w:ind w:left="40"/>
              <w:spacing w:after="0"/>
              <w:rPr>
                <w:sz w:val="20"/>
                <w:szCs w:val="20"/>
                <w:color w:val="auto"/>
              </w:rPr>
            </w:pPr>
            <w:r>
              <w:rPr>
                <w:rFonts w:ascii="Arial" w:cs="Arial" w:eastAsia="Arial" w:hAnsi="Arial"/>
                <w:sz w:val="20"/>
                <w:szCs w:val="20"/>
                <w:color w:val="00162F"/>
              </w:rPr>
              <w:t>Benefit obligation at end of period</w:t>
            </w:r>
          </w:p>
        </w:tc>
        <w:tc>
          <w:tcPr>
            <w:tcW w:w="320" w:type="dxa"/>
            <w:vAlign w:val="bottom"/>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13,240</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13,258</w:t>
            </w:r>
          </w:p>
        </w:tc>
        <w:tc>
          <w:tcPr>
            <w:tcW w:w="28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1140" w:type="dxa"/>
            <w:vAlign w:val="bottom"/>
          </w:tcPr>
          <w:p>
            <w:pPr>
              <w:jc w:val="right"/>
              <w:spacing w:after="0"/>
              <w:rPr>
                <w:sz w:val="20"/>
                <w:szCs w:val="20"/>
                <w:color w:val="auto"/>
              </w:rPr>
            </w:pPr>
            <w:r>
              <w:rPr>
                <w:rFonts w:ascii="Arial" w:cs="Arial" w:eastAsia="Arial" w:hAnsi="Arial"/>
                <w:sz w:val="20"/>
                <w:szCs w:val="20"/>
                <w:color w:val="00162F"/>
              </w:rPr>
              <w:t>1,258</w:t>
            </w:r>
          </w:p>
        </w:tc>
        <w:tc>
          <w:tcPr>
            <w:tcW w:w="400" w:type="dxa"/>
            <w:vAlign w:val="bottom"/>
            <w:gridSpan w:val="2"/>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1,307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102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162F"/>
              <w:bottom w:val="single" w:sz="8" w:color="00162F"/>
            </w:tcBorders>
          </w:tcPr>
          <w:p>
            <w:pPr>
              <w:spacing w:after="0" w:line="20" w:lineRule="exact"/>
              <w:rPr>
                <w:sz w:val="1"/>
                <w:szCs w:val="1"/>
                <w:color w:val="auto"/>
              </w:rPr>
            </w:pPr>
          </w:p>
        </w:tc>
        <w:tc>
          <w:tcPr>
            <w:tcW w:w="102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162F"/>
              <w:bottom w:val="single" w:sz="8" w:color="00162F"/>
            </w:tcBorders>
          </w:tcPr>
          <w:p>
            <w:pPr>
              <w:spacing w:after="0" w:line="20" w:lineRule="exact"/>
              <w:rPr>
                <w:sz w:val="1"/>
                <w:szCs w:val="1"/>
                <w:color w:val="auto"/>
              </w:rPr>
            </w:pPr>
          </w:p>
        </w:tc>
        <w:tc>
          <w:tcPr>
            <w:tcW w:w="114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1020" w:type="dxa"/>
            <w:vAlign w:val="bottom"/>
            <w:tcBorders>
              <w:top w:val="single" w:sz="8" w:color="00162F"/>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9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6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Fair value of plan assets at beginning of period</w:t>
            </w:r>
          </w:p>
        </w:tc>
        <w:tc>
          <w:tcPr>
            <w:tcW w:w="320" w:type="dxa"/>
            <w:vAlign w:val="bottom"/>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12,175</w:t>
            </w:r>
          </w:p>
        </w:tc>
        <w:tc>
          <w:tcPr>
            <w:tcW w:w="420" w:type="dxa"/>
            <w:vAlign w:val="bottom"/>
            <w:gridSpan w:val="2"/>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12,358</w:t>
            </w:r>
          </w:p>
        </w:tc>
        <w:tc>
          <w:tcPr>
            <w:tcW w:w="28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128</w:t>
            </w:r>
          </w:p>
        </w:tc>
        <w:tc>
          <w:tcPr>
            <w:tcW w:w="400" w:type="dxa"/>
            <w:vAlign w:val="bottom"/>
            <w:gridSpan w:val="2"/>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133</w:t>
            </w:r>
          </w:p>
        </w:tc>
        <w:tc>
          <w:tcPr>
            <w:tcW w:w="0" w:type="dxa"/>
            <w:vAlign w:val="bottom"/>
          </w:tcPr>
          <w:p>
            <w:pPr>
              <w:spacing w:after="0"/>
              <w:rPr>
                <w:sz w:val="1"/>
                <w:szCs w:val="1"/>
                <w:color w:val="auto"/>
              </w:rPr>
            </w:pPr>
          </w:p>
        </w:tc>
      </w:tr>
      <w:tr>
        <w:trPr>
          <w:trHeight w:val="293"/>
        </w:trPr>
        <w:tc>
          <w:tcPr>
            <w:tcW w:w="5060" w:type="dxa"/>
            <w:vAlign w:val="bottom"/>
            <w:gridSpan w:val="2"/>
          </w:tcPr>
          <w:p>
            <w:pPr>
              <w:ind w:left="260"/>
              <w:spacing w:after="0"/>
              <w:rPr>
                <w:sz w:val="20"/>
                <w:szCs w:val="20"/>
                <w:color w:val="auto"/>
              </w:rPr>
            </w:pPr>
            <w:r>
              <w:rPr>
                <w:rFonts w:ascii="Arial" w:cs="Arial" w:eastAsia="Arial" w:hAnsi="Arial"/>
                <w:sz w:val="20"/>
                <w:szCs w:val="20"/>
                <w:color w:val="00162F"/>
              </w:rPr>
              <w:t>Actual return on plan assets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1,216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561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15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w:t>
            </w:r>
          </w:p>
        </w:tc>
        <w:tc>
          <w:tcPr>
            <w:tcW w:w="0" w:type="dxa"/>
            <w:vAlign w:val="bottom"/>
          </w:tcPr>
          <w:p>
            <w:pPr>
              <w:spacing w:after="0"/>
              <w:rPr>
                <w:sz w:val="1"/>
                <w:szCs w:val="1"/>
                <w:color w:val="auto"/>
              </w:rPr>
            </w:pPr>
          </w:p>
        </w:tc>
      </w:tr>
      <w:tr>
        <w:trPr>
          <w:trHeight w:val="301"/>
        </w:trPr>
        <w:tc>
          <w:tcPr>
            <w:tcW w:w="506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Employer contributions </w:t>
            </w:r>
            <w:r>
              <w:rPr>
                <w:rFonts w:ascii="Arial" w:cs="Arial" w:eastAsia="Arial" w:hAnsi="Arial"/>
                <w:sz w:val="12"/>
                <w:szCs w:val="12"/>
                <w:color w:val="00162F"/>
              </w:rPr>
              <w:t>(4)</w:t>
            </w: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225</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295</w:t>
            </w:r>
          </w:p>
        </w:tc>
        <w:tc>
          <w:tcPr>
            <w:tcW w:w="6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1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105</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93</w:t>
            </w:r>
          </w:p>
        </w:tc>
        <w:tc>
          <w:tcPr>
            <w:tcW w:w="0" w:type="dxa"/>
            <w:vAlign w:val="bottom"/>
          </w:tcPr>
          <w:p>
            <w:pPr>
              <w:spacing w:after="0"/>
              <w:rPr>
                <w:sz w:val="1"/>
                <w:szCs w:val="1"/>
                <w:color w:val="auto"/>
              </w:rPr>
            </w:pPr>
          </w:p>
        </w:tc>
      </w:tr>
      <w:tr>
        <w:trPr>
          <w:trHeight w:val="293"/>
        </w:trPr>
        <w:tc>
          <w:tcPr>
            <w:tcW w:w="5060" w:type="dxa"/>
            <w:vAlign w:val="bottom"/>
            <w:gridSpan w:val="2"/>
          </w:tcPr>
          <w:p>
            <w:pPr>
              <w:ind w:left="260"/>
              <w:spacing w:after="0"/>
              <w:rPr>
                <w:sz w:val="20"/>
                <w:szCs w:val="20"/>
                <w:color w:val="auto"/>
              </w:rPr>
            </w:pPr>
            <w:r>
              <w:rPr>
                <w:rFonts w:ascii="Arial" w:cs="Arial" w:eastAsia="Arial" w:hAnsi="Arial"/>
                <w:sz w:val="20"/>
                <w:szCs w:val="20"/>
                <w:color w:val="00162F"/>
              </w:rPr>
              <w:t>Benefit payments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(914)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(907)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00162F"/>
              </w:rPr>
              <w:t>(130)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00162F"/>
              </w:rPr>
              <w:t>(107)</w:t>
            </w:r>
          </w:p>
        </w:tc>
        <w:tc>
          <w:tcPr>
            <w:tcW w:w="0" w:type="dxa"/>
            <w:vAlign w:val="bottom"/>
          </w:tcPr>
          <w:p>
            <w:pPr>
              <w:spacing w:after="0"/>
              <w:rPr>
                <w:sz w:val="1"/>
                <w:szCs w:val="1"/>
                <w:color w:val="auto"/>
              </w:rPr>
            </w:pPr>
          </w:p>
        </w:tc>
      </w:tr>
      <w:tr>
        <w:trPr>
          <w:trHeight w:val="311"/>
        </w:trPr>
        <w:tc>
          <w:tcPr>
            <w:tcW w:w="506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Other</w:t>
            </w: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(132)</w:t>
            </w:r>
          </w:p>
        </w:tc>
        <w:tc>
          <w:tcPr>
            <w:tcW w:w="6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00162F"/>
            </w:tcBorders>
            <w:shd w:val="clear" w:color="auto" w:fill="EDEDED"/>
          </w:tcPr>
          <w:p>
            <w:pPr>
              <w:spacing w:after="0"/>
              <w:rPr>
                <w:sz w:val="24"/>
                <w:szCs w:val="24"/>
                <w:color w:val="auto"/>
              </w:rPr>
            </w:pPr>
          </w:p>
        </w:tc>
        <w:tc>
          <w:tcPr>
            <w:tcW w:w="11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0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0" w:type="dxa"/>
            <w:vAlign w:val="bottom"/>
          </w:tcPr>
          <w:p>
            <w:pPr>
              <w:spacing w:after="0"/>
              <w:rPr>
                <w:sz w:val="1"/>
                <w:szCs w:val="1"/>
                <w:color w:val="auto"/>
              </w:rPr>
            </w:pPr>
          </w:p>
        </w:tc>
      </w:tr>
      <w:tr>
        <w:trPr>
          <w:trHeight w:val="277"/>
        </w:trPr>
        <w:tc>
          <w:tcPr>
            <w:tcW w:w="5060" w:type="dxa"/>
            <w:vAlign w:val="bottom"/>
            <w:gridSpan w:val="2"/>
          </w:tcPr>
          <w:p>
            <w:pPr>
              <w:ind w:left="40"/>
              <w:spacing w:after="0"/>
              <w:rPr>
                <w:sz w:val="20"/>
                <w:szCs w:val="20"/>
                <w:color w:val="auto"/>
              </w:rPr>
            </w:pPr>
            <w:r>
              <w:rPr>
                <w:rFonts w:ascii="Arial" w:cs="Arial" w:eastAsia="Arial" w:hAnsi="Arial"/>
                <w:sz w:val="20"/>
                <w:szCs w:val="20"/>
                <w:color w:val="00162F"/>
              </w:rPr>
              <w:t>Fair value of plan assets at end of period</w:t>
            </w:r>
          </w:p>
        </w:tc>
        <w:tc>
          <w:tcPr>
            <w:tcW w:w="320" w:type="dxa"/>
            <w:vAlign w:val="bottom"/>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12,702</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12,175</w:t>
            </w:r>
          </w:p>
        </w:tc>
        <w:tc>
          <w:tcPr>
            <w:tcW w:w="28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1140" w:type="dxa"/>
            <w:vAlign w:val="bottom"/>
          </w:tcPr>
          <w:p>
            <w:pPr>
              <w:jc w:val="right"/>
              <w:spacing w:after="0"/>
              <w:rPr>
                <w:sz w:val="20"/>
                <w:szCs w:val="20"/>
                <w:color w:val="auto"/>
              </w:rPr>
            </w:pPr>
            <w:r>
              <w:rPr>
                <w:rFonts w:ascii="Arial" w:cs="Arial" w:eastAsia="Arial" w:hAnsi="Arial"/>
                <w:sz w:val="20"/>
                <w:szCs w:val="20"/>
                <w:color w:val="00162F"/>
              </w:rPr>
              <w:t>118</w:t>
            </w:r>
          </w:p>
        </w:tc>
        <w:tc>
          <w:tcPr>
            <w:tcW w:w="400" w:type="dxa"/>
            <w:vAlign w:val="bottom"/>
            <w:gridSpan w:val="2"/>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Pr>
          <w:p>
            <w:pPr>
              <w:jc w:val="right"/>
              <w:spacing w:after="0"/>
              <w:rPr>
                <w:sz w:val="20"/>
                <w:szCs w:val="20"/>
                <w:color w:val="auto"/>
              </w:rPr>
            </w:pPr>
            <w:r>
              <w:rPr>
                <w:rFonts w:ascii="Arial" w:cs="Arial" w:eastAsia="Arial" w:hAnsi="Arial"/>
                <w:sz w:val="20"/>
                <w:szCs w:val="20"/>
                <w:color w:val="00162F"/>
              </w:rPr>
              <w:t>128</w:t>
            </w:r>
          </w:p>
        </w:tc>
        <w:tc>
          <w:tcPr>
            <w:tcW w:w="0" w:type="dxa"/>
            <w:vAlign w:val="bottom"/>
          </w:tcPr>
          <w:p>
            <w:pPr>
              <w:spacing w:after="0"/>
              <w:rPr>
                <w:sz w:val="1"/>
                <w:szCs w:val="1"/>
                <w:color w:val="auto"/>
              </w:rPr>
            </w:pPr>
          </w:p>
        </w:tc>
      </w:tr>
      <w:tr>
        <w:trPr>
          <w:trHeight w:val="277"/>
        </w:trPr>
        <w:tc>
          <w:tcPr>
            <w:tcW w:w="5060" w:type="dxa"/>
            <w:vAlign w:val="bottom"/>
            <w:tcBorders>
              <w:top w:val="single" w:sz="8" w:color="EDEDED"/>
              <w:bottom w:val="single" w:sz="8" w:color="EDEDED"/>
            </w:tcBorders>
            <w:gridSpan w:val="2"/>
            <w:shd w:val="clear" w:color="auto" w:fill="EDEDED"/>
          </w:tcPr>
          <w:p>
            <w:pPr>
              <w:ind w:left="40"/>
              <w:spacing w:after="0"/>
              <w:rPr>
                <w:sz w:val="20"/>
                <w:szCs w:val="20"/>
                <w:color w:val="auto"/>
              </w:rPr>
            </w:pPr>
            <w:r>
              <w:rPr>
                <w:rFonts w:ascii="Arial" w:cs="Arial" w:eastAsia="Arial" w:hAnsi="Arial"/>
                <w:sz w:val="20"/>
                <w:szCs w:val="20"/>
                <w:color w:val="00162F"/>
              </w:rPr>
              <w:t>Funded status at end of period</w:t>
            </w:r>
          </w:p>
        </w:tc>
        <w:tc>
          <w:tcPr>
            <w:tcW w:w="320" w:type="dxa"/>
            <w:vAlign w:val="bottom"/>
            <w:tcBorders>
              <w:top w:val="single" w:sz="8" w:color="00162F"/>
              <w:bottom w:val="single" w:sz="8" w:color="00162F"/>
            </w:tcBorders>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Borders>
              <w:top w:val="single" w:sz="8" w:color="00162F"/>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538)</w:t>
            </w:r>
          </w:p>
        </w:tc>
        <w:tc>
          <w:tcPr>
            <w:tcW w:w="80" w:type="dxa"/>
            <w:vAlign w:val="bottom"/>
            <w:tcBorders>
              <w:top w:val="single" w:sz="8" w:color="EDEDED"/>
              <w:bottom w:val="single" w:sz="8" w:color="EDEDED"/>
            </w:tcBorders>
            <w:shd w:val="clear" w:color="auto" w:fill="EDEDED"/>
          </w:tcPr>
          <w:p>
            <w:pPr>
              <w:spacing w:after="0"/>
              <w:rPr>
                <w:sz w:val="24"/>
                <w:szCs w:val="24"/>
                <w:color w:val="auto"/>
              </w:rPr>
            </w:pPr>
          </w:p>
        </w:tc>
        <w:tc>
          <w:tcPr>
            <w:tcW w:w="340" w:type="dxa"/>
            <w:vAlign w:val="bottom"/>
            <w:tcBorders>
              <w:top w:val="single" w:sz="8" w:color="00162F"/>
              <w:bottom w:val="single" w:sz="8" w:color="00162F"/>
            </w:tcBorders>
            <w:shd w:val="clear" w:color="auto" w:fill="EDEDED"/>
          </w:tcPr>
          <w:p>
            <w:pPr>
              <w:jc w:val="right"/>
              <w:ind w:right="81"/>
              <w:spacing w:after="0"/>
              <w:rPr>
                <w:sz w:val="20"/>
                <w:szCs w:val="20"/>
                <w:color w:val="auto"/>
              </w:rPr>
            </w:pPr>
            <w:r>
              <w:rPr>
                <w:rFonts w:ascii="Arial" w:cs="Arial" w:eastAsia="Arial" w:hAnsi="Arial"/>
                <w:sz w:val="20"/>
                <w:szCs w:val="20"/>
                <w:color w:val="00162F"/>
              </w:rPr>
              <w:t>$</w:t>
            </w:r>
          </w:p>
        </w:tc>
        <w:tc>
          <w:tcPr>
            <w:tcW w:w="1020" w:type="dxa"/>
            <w:vAlign w:val="bottom"/>
            <w:tcBorders>
              <w:top w:val="single" w:sz="8" w:color="00162F"/>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1,083)</w:t>
            </w:r>
          </w:p>
        </w:tc>
        <w:tc>
          <w:tcPr>
            <w:tcW w:w="60" w:type="dxa"/>
            <w:vAlign w:val="bottom"/>
            <w:tcBorders>
              <w:top w:val="single" w:sz="8" w:color="EDEDED"/>
              <w:bottom w:val="single" w:sz="8" w:color="EDEDED"/>
            </w:tcBorders>
            <w:shd w:val="clear" w:color="auto" w:fill="EDEDED"/>
          </w:tcPr>
          <w:p>
            <w:pPr>
              <w:spacing w:after="0"/>
              <w:rPr>
                <w:sz w:val="24"/>
                <w:szCs w:val="24"/>
                <w:color w:val="auto"/>
              </w:rPr>
            </w:pPr>
          </w:p>
        </w:tc>
        <w:tc>
          <w:tcPr>
            <w:tcW w:w="220" w:type="dxa"/>
            <w:vAlign w:val="bottom"/>
            <w:tcBorders>
              <w:top w:val="single" w:sz="8" w:color="00162F"/>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140" w:type="dxa"/>
            <w:vAlign w:val="bottom"/>
            <w:tcBorders>
              <w:top w:val="single" w:sz="8" w:color="00162F"/>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1,140)</w:t>
            </w:r>
          </w:p>
        </w:tc>
        <w:tc>
          <w:tcPr>
            <w:tcW w:w="80" w:type="dxa"/>
            <w:vAlign w:val="bottom"/>
            <w:tcBorders>
              <w:top w:val="single" w:sz="8" w:color="EDEDED"/>
              <w:bottom w:val="single" w:sz="8" w:color="EDEDED"/>
            </w:tcBorders>
            <w:shd w:val="clear" w:color="auto" w:fill="EDEDED"/>
          </w:tcPr>
          <w:p>
            <w:pPr>
              <w:spacing w:after="0"/>
              <w:rPr>
                <w:sz w:val="24"/>
                <w:szCs w:val="24"/>
                <w:color w:val="auto"/>
              </w:rPr>
            </w:pPr>
          </w:p>
        </w:tc>
        <w:tc>
          <w:tcPr>
            <w:tcW w:w="320" w:type="dxa"/>
            <w:vAlign w:val="bottom"/>
            <w:tcBorders>
              <w:top w:val="single" w:sz="8" w:color="00162F"/>
              <w:bottom w:val="single" w:sz="8" w:color="00162F"/>
            </w:tcBorders>
            <w:shd w:val="clear" w:color="auto" w:fill="EDEDED"/>
          </w:tcPr>
          <w:p>
            <w:pPr>
              <w:jc w:val="right"/>
              <w:ind w:right="61"/>
              <w:spacing w:after="0"/>
              <w:rPr>
                <w:sz w:val="20"/>
                <w:szCs w:val="20"/>
                <w:color w:val="auto"/>
              </w:rPr>
            </w:pPr>
            <w:r>
              <w:rPr>
                <w:rFonts w:ascii="Arial" w:cs="Arial" w:eastAsia="Arial" w:hAnsi="Arial"/>
                <w:sz w:val="20"/>
                <w:szCs w:val="20"/>
                <w:color w:val="00162F"/>
              </w:rPr>
              <w:t>$</w:t>
            </w:r>
          </w:p>
        </w:tc>
        <w:tc>
          <w:tcPr>
            <w:tcW w:w="1020" w:type="dxa"/>
            <w:vAlign w:val="bottom"/>
            <w:tcBorders>
              <w:top w:val="single" w:sz="8" w:color="00162F"/>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1,179)</w:t>
            </w:r>
          </w:p>
        </w:tc>
        <w:tc>
          <w:tcPr>
            <w:tcW w:w="0" w:type="dxa"/>
            <w:vAlign w:val="bottom"/>
          </w:tcPr>
          <w:p>
            <w:pPr>
              <w:spacing w:after="0"/>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3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-1812925</wp:posOffset>
            </wp:positionV>
            <wp:extent cx="272796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3">
                      <a:extLst>
                        <a:ext uri="{28A0092B-C50C-407E-A947-70E740481C1C}"/>
                      </a:extLst>
                    </a:blip>
                    <a:srcRect/>
                    <a:stretch>
                      <a:fillRect/>
                    </a:stretch>
                  </pic:blipFill>
                  <pic:spPr bwMode="auto">
                    <a:xfrm>
                      <a:off x="0" y="0"/>
                      <a:ext cx="2727960" cy="2540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-505460</wp:posOffset>
            </wp:positionV>
            <wp:extent cx="2727960"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4">
                      <a:extLst>
                        <a:ext uri="{28A0092B-C50C-407E-A947-70E740481C1C}"/>
                      </a:extLst>
                    </a:blip>
                    <a:srcRect/>
                    <a:stretch>
                      <a:fillRect/>
                    </a:stretch>
                  </pic:blipFill>
                  <pic:spPr bwMode="auto">
                    <a:xfrm>
                      <a:off x="0" y="0"/>
                      <a:ext cx="2727960" cy="2540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-329565</wp:posOffset>
            </wp:positionV>
            <wp:extent cx="3598545" cy="508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5">
                      <a:extLst>
                        <a:ext uri="{28A0092B-C50C-407E-A947-70E740481C1C}"/>
                      </a:extLst>
                    </a:blip>
                    <a:srcRect/>
                    <a:stretch>
                      <a:fillRect/>
                    </a:stretch>
                  </pic:blipFill>
                  <pic:spPr bwMode="auto">
                    <a:xfrm>
                      <a:off x="0" y="0"/>
                      <a:ext cx="3598545" cy="5080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-140970</wp:posOffset>
            </wp:positionV>
            <wp:extent cx="3598545" cy="508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6">
                      <a:extLst>
                        <a:ext uri="{28A0092B-C50C-407E-A947-70E740481C1C}"/>
                      </a:extLst>
                    </a:blip>
                    <a:srcRect/>
                    <a:stretch>
                      <a:fillRect/>
                    </a:stretch>
                  </pic:blipFill>
                  <pic:spPr bwMode="auto">
                    <a:xfrm>
                      <a:off x="0" y="0"/>
                      <a:ext cx="3598545" cy="50800"/>
                    </a:xfrm>
                    <a:prstGeom prst="rect">
                      <a:avLst/>
                    </a:prstGeom>
                    <a:noFill/>
                  </pic:spPr>
                </pic:pic>
              </a:graphicData>
            </a:graphic>
          </wp:anchor>
        </w:drawing>
      </w:r>
    </w:p>
    <w:p>
      <w:pPr>
        <w:spacing w:after="0" w:line="14" w:lineRule="exact"/>
        <w:rPr>
          <w:sz w:val="20"/>
          <w:szCs w:val="20"/>
          <w:color w:val="auto"/>
        </w:rPr>
      </w:pPr>
    </w:p>
    <w:p>
      <w:pPr>
        <w:ind w:left="365" w:hanging="365"/>
        <w:spacing w:after="0" w:line="282" w:lineRule="auto"/>
        <w:tabs>
          <w:tab w:leader="none" w:pos="365" w:val="left"/>
        </w:tabs>
        <w:numPr>
          <w:ilvl w:val="0"/>
          <w:numId w:val="78"/>
        </w:numPr>
        <w:rPr>
          <w:rFonts w:ascii="Arial" w:cs="Arial" w:eastAsia="Arial" w:hAnsi="Arial"/>
          <w:sz w:val="13"/>
          <w:szCs w:val="13"/>
          <w:color w:val="00162F"/>
        </w:rPr>
      </w:pPr>
      <w:r>
        <w:rPr>
          <w:rFonts w:ascii="Arial" w:cs="Arial" w:eastAsia="Arial" w:hAnsi="Arial"/>
          <w:sz w:val="20"/>
          <w:szCs w:val="20"/>
          <w:color w:val="00162F"/>
        </w:rPr>
        <w:t>The 2025 and 2024 pension actuarial loss (gain) primarily relates to the change in American’s weighted average discount rate assumption.</w:t>
      </w:r>
    </w:p>
    <w:p>
      <w:pPr>
        <w:spacing w:after="0" w:line="112" w:lineRule="exact"/>
        <w:rPr>
          <w:rFonts w:ascii="Arial" w:cs="Arial" w:eastAsia="Arial" w:hAnsi="Arial"/>
          <w:sz w:val="13"/>
          <w:szCs w:val="13"/>
          <w:color w:val="00162F"/>
        </w:rPr>
      </w:pPr>
    </w:p>
    <w:p>
      <w:pPr>
        <w:jc w:val="both"/>
        <w:ind w:left="365" w:hanging="365"/>
        <w:spacing w:after="0" w:line="259" w:lineRule="auto"/>
        <w:tabs>
          <w:tab w:leader="none" w:pos="365" w:val="left"/>
        </w:tabs>
        <w:numPr>
          <w:ilvl w:val="0"/>
          <w:numId w:val="78"/>
        </w:numPr>
        <w:rPr>
          <w:rFonts w:ascii="Arial" w:cs="Arial" w:eastAsia="Arial" w:hAnsi="Arial"/>
          <w:sz w:val="13"/>
          <w:szCs w:val="13"/>
          <w:color w:val="00162F"/>
        </w:rPr>
      </w:pPr>
      <w:r>
        <w:rPr>
          <w:rFonts w:ascii="Arial" w:cs="Arial" w:eastAsia="Arial" w:hAnsi="Arial"/>
          <w:sz w:val="20"/>
          <w:szCs w:val="20"/>
          <w:color w:val="00162F"/>
        </w:rPr>
        <w:t>The 2025 and 2024 retiree medical and other postretirement benefits actuarial gain primarily relates to changes in certain retirement assumptions, offset in part by increases in health care premiums and health care cost assumptions. Changes in American’s weighted average discount rate assumption also impacted the net actuarial gain in 2025 and 2024.</w:t>
      </w:r>
    </w:p>
    <w:p>
      <w:pPr>
        <w:spacing w:after="0" w:line="135" w:lineRule="exact"/>
        <w:rPr>
          <w:rFonts w:ascii="Arial" w:cs="Arial" w:eastAsia="Arial" w:hAnsi="Arial"/>
          <w:sz w:val="13"/>
          <w:szCs w:val="13"/>
          <w:color w:val="00162F"/>
        </w:rPr>
      </w:pPr>
    </w:p>
    <w:p>
      <w:pPr>
        <w:jc w:val="both"/>
        <w:ind w:left="365" w:hanging="365"/>
        <w:spacing w:after="0" w:line="259" w:lineRule="auto"/>
        <w:tabs>
          <w:tab w:leader="none" w:pos="365" w:val="left"/>
        </w:tabs>
        <w:numPr>
          <w:ilvl w:val="0"/>
          <w:numId w:val="78"/>
        </w:numPr>
        <w:rPr>
          <w:rFonts w:ascii="Arial" w:cs="Arial" w:eastAsia="Arial" w:hAnsi="Arial"/>
          <w:sz w:val="13"/>
          <w:szCs w:val="13"/>
          <w:color w:val="00162F"/>
        </w:rPr>
      </w:pPr>
      <w:r>
        <w:rPr>
          <w:rFonts w:ascii="Arial" w:cs="Arial" w:eastAsia="Arial" w:hAnsi="Arial"/>
          <w:sz w:val="20"/>
          <w:szCs w:val="20"/>
          <w:color w:val="00162F"/>
        </w:rPr>
        <w:t>In 2024, American remeasured its retiree medical and other postretirement benefits to account for enhanced retirement benefits pursuant to the ratification of new CBAs. As a result, American increased its postretirement benefits obligation by $54 million, which was included as a component of prior service cost in accumulated other comprehensive loss.</w:t>
      </w:r>
    </w:p>
    <w:p>
      <w:pPr>
        <w:spacing w:after="0" w:line="135"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78"/>
        </w:numPr>
        <w:rPr>
          <w:rFonts w:ascii="Arial" w:cs="Arial" w:eastAsia="Arial" w:hAnsi="Arial"/>
          <w:sz w:val="13"/>
          <w:szCs w:val="13"/>
          <w:color w:val="00162F"/>
        </w:rPr>
      </w:pPr>
      <w:r>
        <w:rPr>
          <w:rFonts w:ascii="Arial" w:cs="Arial" w:eastAsia="Arial" w:hAnsi="Arial"/>
          <w:sz w:val="20"/>
          <w:szCs w:val="20"/>
          <w:color w:val="00162F"/>
        </w:rPr>
        <w:t>In 2025 and 2024, American made required contributions of $221 million and $280 million, respectively, to its defined benefit pension plans.</w:t>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155</w:t>
      </w:r>
    </w:p>
    <w:p>
      <w:pPr>
        <w:sectPr>
          <w:pgSz w:w="11880" w:h="15480" w:orient="portrait"/>
          <w:cols w:equalWidth="0" w:num="1">
            <w:col w:w="10685"/>
          </w:cols>
          <w:pgMar w:left="595" w:top="249" w:right="600" w:bottom="0"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Balance Sheet Position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11"/>
            <w:vMerge w:val="restart"/>
          </w:tcPr>
          <w:p>
            <w:pPr>
              <w:ind w:left="420"/>
              <w:spacing w:after="0"/>
              <w:rPr>
                <w:sz w:val="20"/>
                <w:szCs w:val="20"/>
                <w:color w:val="auto"/>
              </w:rPr>
            </w:pPr>
            <w:r>
              <w:rPr>
                <w:rFonts w:ascii="Arial" w:cs="Arial" w:eastAsia="Arial" w:hAnsi="Arial"/>
                <w:sz w:val="16"/>
                <w:szCs w:val="16"/>
                <w:b w:val="1"/>
                <w:bCs w:val="1"/>
                <w:color w:val="00162F"/>
              </w:rPr>
              <w:t>Pension Benefits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8"/>
          </w:tcPr>
          <w:p>
            <w:pPr>
              <w:jc w:val="center"/>
              <w:ind w:right="106"/>
              <w:spacing w:after="0"/>
              <w:rPr>
                <w:sz w:val="20"/>
                <w:szCs w:val="20"/>
                <w:color w:val="auto"/>
              </w:rPr>
            </w:pPr>
            <w:r>
              <w:rPr>
                <w:rFonts w:ascii="Arial" w:cs="Arial" w:eastAsia="Arial" w:hAnsi="Arial"/>
                <w:sz w:val="16"/>
                <w:szCs w:val="16"/>
                <w:b w:val="1"/>
                <w:bCs w:val="1"/>
                <w:color w:val="00162F"/>
                <w:w w:val="99"/>
              </w:rPr>
              <w:t>Retiree Medical and</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11"/>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8"/>
          </w:tcPr>
          <w:p>
            <w:pPr>
              <w:jc w:val="center"/>
              <w:ind w:right="106"/>
              <w:spacing w:after="0"/>
              <w:rPr>
                <w:sz w:val="20"/>
                <w:szCs w:val="20"/>
                <w:color w:val="auto"/>
              </w:rPr>
            </w:pPr>
            <w:r>
              <w:rPr>
                <w:rFonts w:ascii="Arial" w:cs="Arial" w:eastAsia="Arial" w:hAnsi="Arial"/>
                <w:sz w:val="16"/>
                <w:szCs w:val="16"/>
                <w:b w:val="1"/>
                <w:bCs w:val="1"/>
                <w:color w:val="00162F"/>
                <w:w w:val="99"/>
              </w:rPr>
              <w:t>Other Postretirement Benefits</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00162F"/>
              <w:bottom w:val="single" w:sz="8" w:color="00162F"/>
            </w:tcBorders>
          </w:tcPr>
          <w:p>
            <w:pPr>
              <w:spacing w:after="0"/>
              <w:rPr>
                <w:sz w:val="20"/>
                <w:szCs w:val="20"/>
                <w:color w:val="auto"/>
              </w:rPr>
            </w:pPr>
          </w:p>
        </w:tc>
        <w:tc>
          <w:tcPr>
            <w:tcW w:w="980" w:type="dxa"/>
            <w:vAlign w:val="bottom"/>
            <w:tcBorders>
              <w:top w:val="single" w:sz="8" w:color="00162F"/>
              <w:bottom w:val="single" w:sz="8" w:color="00162F"/>
            </w:tcBorders>
          </w:tcPr>
          <w:p>
            <w:pPr>
              <w:jc w:val="right"/>
              <w:ind w:right="349"/>
              <w:spacing w:after="0"/>
              <w:rPr>
                <w:sz w:val="20"/>
                <w:szCs w:val="20"/>
                <w:color w:val="auto"/>
              </w:rPr>
            </w:pPr>
            <w:r>
              <w:rPr>
                <w:rFonts w:ascii="Arial" w:cs="Arial" w:eastAsia="Arial" w:hAnsi="Arial"/>
                <w:sz w:val="16"/>
                <w:szCs w:val="16"/>
                <w:b w:val="1"/>
                <w:bCs w:val="1"/>
                <w:color w:val="00162F"/>
              </w:rPr>
              <w:t>2025</w:t>
            </w:r>
          </w:p>
        </w:tc>
        <w:tc>
          <w:tcPr>
            <w:tcW w:w="40" w:type="dxa"/>
            <w:vAlign w:val="bottom"/>
            <w:tcBorders>
              <w:top w:val="single" w:sz="8" w:color="00162F"/>
              <w:bottom w:val="single" w:sz="8" w:color="00162F"/>
            </w:tcBorders>
          </w:tcPr>
          <w:p>
            <w:pPr>
              <w:spacing w:after="0"/>
              <w:rPr>
                <w:sz w:val="20"/>
                <w:szCs w:val="20"/>
                <w:color w:val="auto"/>
              </w:rPr>
            </w:pPr>
          </w:p>
        </w:tc>
        <w:tc>
          <w:tcPr>
            <w:tcW w:w="20" w:type="dxa"/>
            <w:vAlign w:val="bottom"/>
            <w:tcBorders>
              <w:top w:val="single" w:sz="8" w:color="00162F"/>
              <w:bottom w:val="single" w:sz="8" w:color="00162F"/>
            </w:tcBorders>
          </w:tcPr>
          <w:p>
            <w:pPr>
              <w:spacing w:after="0"/>
              <w:rPr>
                <w:sz w:val="20"/>
                <w:szCs w:val="20"/>
                <w:color w:val="auto"/>
              </w:rPr>
            </w:pPr>
          </w:p>
        </w:tc>
        <w:tc>
          <w:tcPr>
            <w:tcW w:w="20" w:type="dxa"/>
            <w:vAlign w:val="bottom"/>
            <w:tcBorders>
              <w:top w:val="single" w:sz="8" w:color="00162F"/>
            </w:tcBorders>
          </w:tcPr>
          <w:p>
            <w:pPr>
              <w:spacing w:after="0"/>
              <w:rPr>
                <w:sz w:val="20"/>
                <w:szCs w:val="20"/>
                <w:color w:val="auto"/>
              </w:rPr>
            </w:pPr>
          </w:p>
        </w:tc>
        <w:tc>
          <w:tcPr>
            <w:tcW w:w="40" w:type="dxa"/>
            <w:vAlign w:val="bottom"/>
            <w:tcBorders>
              <w:top w:val="single" w:sz="8" w:color="00162F"/>
            </w:tcBorders>
          </w:tcPr>
          <w:p>
            <w:pPr>
              <w:spacing w:after="0"/>
              <w:rPr>
                <w:sz w:val="20"/>
                <w:szCs w:val="20"/>
                <w:color w:val="auto"/>
              </w:rPr>
            </w:pPr>
          </w:p>
        </w:tc>
        <w:tc>
          <w:tcPr>
            <w:tcW w:w="320" w:type="dxa"/>
            <w:vAlign w:val="bottom"/>
            <w:tcBorders>
              <w:top w:val="single" w:sz="8" w:color="00162F"/>
              <w:bottom w:val="single" w:sz="8" w:color="00162F"/>
            </w:tcBorders>
          </w:tcPr>
          <w:p>
            <w:pPr>
              <w:spacing w:after="0"/>
              <w:rPr>
                <w:sz w:val="20"/>
                <w:szCs w:val="20"/>
                <w:color w:val="auto"/>
              </w:rPr>
            </w:pPr>
          </w:p>
        </w:tc>
        <w:tc>
          <w:tcPr>
            <w:tcW w:w="1000" w:type="dxa"/>
            <w:vAlign w:val="bottom"/>
            <w:tcBorders>
              <w:top w:val="single" w:sz="8" w:color="00162F"/>
              <w:bottom w:val="single" w:sz="8" w:color="00162F"/>
            </w:tcBorders>
            <w:gridSpan w:val="2"/>
          </w:tcPr>
          <w:p>
            <w:pPr>
              <w:jc w:val="right"/>
              <w:ind w:right="376"/>
              <w:spacing w:after="0"/>
              <w:rPr>
                <w:sz w:val="20"/>
                <w:szCs w:val="20"/>
                <w:color w:val="auto"/>
              </w:rPr>
            </w:pPr>
            <w:r>
              <w:rPr>
                <w:rFonts w:ascii="Arial" w:cs="Arial" w:eastAsia="Arial" w:hAnsi="Arial"/>
                <w:sz w:val="16"/>
                <w:szCs w:val="16"/>
                <w:b w:val="1"/>
                <w:bCs w:val="1"/>
                <w:color w:val="00162F"/>
              </w:rPr>
              <w:t>2024</w:t>
            </w:r>
          </w:p>
        </w:tc>
        <w:tc>
          <w:tcPr>
            <w:tcW w:w="20" w:type="dxa"/>
            <w:vAlign w:val="bottom"/>
            <w:tcBorders>
              <w:top w:val="single" w:sz="8" w:color="00162F"/>
              <w:bottom w:val="single" w:sz="8" w:color="00162F"/>
            </w:tcBorders>
          </w:tcPr>
          <w:p>
            <w:pPr>
              <w:spacing w:after="0"/>
              <w:rPr>
                <w:sz w:val="20"/>
                <w:szCs w:val="20"/>
                <w:color w:val="auto"/>
              </w:rPr>
            </w:pPr>
          </w:p>
        </w:tc>
        <w:tc>
          <w:tcPr>
            <w:tcW w:w="20" w:type="dxa"/>
            <w:vAlign w:val="bottom"/>
            <w:tcBorders>
              <w:top w:val="single" w:sz="8" w:color="00162F"/>
              <w:bottom w:val="single" w:sz="8" w:color="00162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00162F"/>
              <w:bottom w:val="single" w:sz="8" w:color="00162F"/>
            </w:tcBorders>
          </w:tcPr>
          <w:p>
            <w:pPr>
              <w:spacing w:after="0"/>
              <w:rPr>
                <w:sz w:val="20"/>
                <w:szCs w:val="20"/>
                <w:color w:val="auto"/>
              </w:rPr>
            </w:pPr>
          </w:p>
        </w:tc>
        <w:tc>
          <w:tcPr>
            <w:tcW w:w="720" w:type="dxa"/>
            <w:vAlign w:val="bottom"/>
            <w:tcBorders>
              <w:top w:val="single" w:sz="8" w:color="00162F"/>
              <w:bottom w:val="single" w:sz="8" w:color="00162F"/>
            </w:tcBorders>
          </w:tcPr>
          <w:p>
            <w:pPr>
              <w:jc w:val="center"/>
              <w:ind w:left="132"/>
              <w:spacing w:after="0"/>
              <w:rPr>
                <w:sz w:val="20"/>
                <w:szCs w:val="20"/>
                <w:color w:val="auto"/>
              </w:rPr>
            </w:pPr>
            <w:r>
              <w:rPr>
                <w:rFonts w:ascii="Arial" w:cs="Arial" w:eastAsia="Arial" w:hAnsi="Arial"/>
                <w:sz w:val="16"/>
                <w:szCs w:val="16"/>
                <w:b w:val="1"/>
                <w:bCs w:val="1"/>
                <w:color w:val="00162F"/>
                <w:w w:val="95"/>
              </w:rPr>
              <w:t>2025</w:t>
            </w:r>
          </w:p>
        </w:tc>
        <w:tc>
          <w:tcPr>
            <w:tcW w:w="80" w:type="dxa"/>
            <w:vAlign w:val="bottom"/>
            <w:tcBorders>
              <w:top w:val="single" w:sz="8" w:color="00162F"/>
              <w:bottom w:val="single" w:sz="8" w:color="00162F"/>
            </w:tcBorders>
          </w:tcPr>
          <w:p>
            <w:pPr>
              <w:spacing w:after="0"/>
              <w:rPr>
                <w:sz w:val="20"/>
                <w:szCs w:val="20"/>
                <w:color w:val="auto"/>
              </w:rPr>
            </w:pPr>
          </w:p>
        </w:tc>
        <w:tc>
          <w:tcPr>
            <w:tcW w:w="60" w:type="dxa"/>
            <w:vAlign w:val="bottom"/>
            <w:tcBorders>
              <w:top w:val="single" w:sz="8" w:color="00162F"/>
              <w:bottom w:val="single" w:sz="8" w:color="00162F"/>
            </w:tcBorders>
          </w:tcPr>
          <w:p>
            <w:pPr>
              <w:spacing w:after="0"/>
              <w:rPr>
                <w:sz w:val="20"/>
                <w:szCs w:val="20"/>
                <w:color w:val="auto"/>
              </w:rPr>
            </w:pPr>
          </w:p>
        </w:tc>
        <w:tc>
          <w:tcPr>
            <w:tcW w:w="260" w:type="dxa"/>
            <w:vAlign w:val="bottom"/>
            <w:tcBorders>
              <w:top w:val="single" w:sz="8" w:color="00162F"/>
              <w:bottom w:val="single" w:sz="8" w:color="00162F"/>
            </w:tcBorders>
          </w:tcPr>
          <w:p>
            <w:pPr>
              <w:spacing w:after="0"/>
              <w:rPr>
                <w:sz w:val="20"/>
                <w:szCs w:val="20"/>
                <w:color w:val="auto"/>
              </w:rPr>
            </w:pPr>
          </w:p>
        </w:tc>
        <w:tc>
          <w:tcPr>
            <w:tcW w:w="20" w:type="dxa"/>
            <w:vAlign w:val="bottom"/>
            <w:tcBorders>
              <w:top w:val="single" w:sz="8" w:color="00162F"/>
              <w:bottom w:val="single" w:sz="8" w:color="00162F"/>
            </w:tcBorders>
          </w:tcPr>
          <w:p>
            <w:pPr>
              <w:spacing w:after="0"/>
              <w:rPr>
                <w:sz w:val="20"/>
                <w:szCs w:val="20"/>
                <w:color w:val="auto"/>
              </w:rPr>
            </w:pPr>
          </w:p>
        </w:tc>
        <w:tc>
          <w:tcPr>
            <w:tcW w:w="60" w:type="dxa"/>
            <w:vAlign w:val="bottom"/>
            <w:tcBorders>
              <w:top w:val="single" w:sz="8" w:color="00162F"/>
            </w:tcBorders>
          </w:tcPr>
          <w:p>
            <w:pPr>
              <w:spacing w:after="0"/>
              <w:rPr>
                <w:sz w:val="20"/>
                <w:szCs w:val="20"/>
                <w:color w:val="auto"/>
              </w:rPr>
            </w:pPr>
          </w:p>
        </w:tc>
        <w:tc>
          <w:tcPr>
            <w:tcW w:w="300" w:type="dxa"/>
            <w:vAlign w:val="bottom"/>
            <w:tcBorders>
              <w:top w:val="single" w:sz="8" w:color="00162F"/>
              <w:bottom w:val="single" w:sz="8" w:color="00162F"/>
            </w:tcBorders>
          </w:tcPr>
          <w:p>
            <w:pPr>
              <w:spacing w:after="0"/>
              <w:rPr>
                <w:sz w:val="20"/>
                <w:szCs w:val="20"/>
                <w:color w:val="auto"/>
              </w:rPr>
            </w:pPr>
          </w:p>
        </w:tc>
        <w:tc>
          <w:tcPr>
            <w:tcW w:w="1040" w:type="dxa"/>
            <w:vAlign w:val="bottom"/>
            <w:tcBorders>
              <w:top w:val="single" w:sz="8" w:color="00162F"/>
              <w:bottom w:val="single" w:sz="8" w:color="00162F"/>
            </w:tcBorders>
          </w:tcPr>
          <w:p>
            <w:pPr>
              <w:jc w:val="right"/>
              <w:ind w:right="386"/>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gridSpan w:val="8"/>
          </w:tcPr>
          <w:p>
            <w:pPr>
              <w:jc w:val="right"/>
              <w:ind w:right="432"/>
              <w:spacing w:after="0"/>
              <w:rPr>
                <w:sz w:val="20"/>
                <w:szCs w:val="20"/>
                <w:color w:val="auto"/>
              </w:rPr>
            </w:pPr>
            <w:r>
              <w:rPr>
                <w:rFonts w:ascii="Arial" w:cs="Arial" w:eastAsia="Arial" w:hAnsi="Arial"/>
                <w:sz w:val="16"/>
                <w:szCs w:val="16"/>
                <w:b w:val="1"/>
                <w:bCs w:val="1"/>
                <w:color w:val="00162F"/>
              </w:rPr>
              <w:t>(In millions)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Borders>
              <w:bottom w:val="single" w:sz="8" w:color="EDEDED"/>
            </w:tcBorders>
            <w:shd w:val="clear" w:color="auto" w:fill="EDEDED"/>
          </w:tcPr>
          <w:p>
            <w:pPr>
              <w:spacing w:after="0"/>
              <w:rPr>
                <w:sz w:val="24"/>
                <w:szCs w:val="24"/>
                <w:color w:val="auto"/>
              </w:rPr>
            </w:pPr>
          </w:p>
        </w:tc>
        <w:tc>
          <w:tcPr>
            <w:tcW w:w="1760" w:type="dxa"/>
            <w:vAlign w:val="bottom"/>
            <w:tcBorders>
              <w:bottom w:val="single" w:sz="8" w:color="00162F"/>
            </w:tcBorders>
            <w:shd w:val="clear" w:color="auto" w:fill="EDEDED"/>
          </w:tcPr>
          <w:p>
            <w:pPr>
              <w:spacing w:after="0"/>
              <w:rPr>
                <w:sz w:val="20"/>
                <w:szCs w:val="20"/>
                <w:color w:val="auto"/>
              </w:rPr>
            </w:pPr>
            <w:r>
              <w:rPr>
                <w:rFonts w:ascii="Arial" w:cs="Arial" w:eastAsia="Arial" w:hAnsi="Arial"/>
                <w:sz w:val="20"/>
                <w:szCs w:val="20"/>
                <w:color w:val="00162F"/>
                <w:w w:val="98"/>
              </w:rPr>
              <w:t>As of December 31:</w:t>
            </w:r>
          </w:p>
        </w:tc>
        <w:tc>
          <w:tcPr>
            <w:tcW w:w="3300" w:type="dxa"/>
            <w:vAlign w:val="bottom"/>
            <w:tcBorders>
              <w:bottom w:val="single" w:sz="8" w:color="EDEDED"/>
            </w:tcBorders>
            <w:gridSpan w:val="2"/>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EDEDED"/>
            </w:tcBorders>
            <w:shd w:val="clear" w:color="auto" w:fill="EDEDED"/>
          </w:tcPr>
          <w:p>
            <w:pPr>
              <w:spacing w:after="0"/>
              <w:rPr>
                <w:sz w:val="24"/>
                <w:szCs w:val="24"/>
                <w:color w:val="auto"/>
              </w:rPr>
            </w:pPr>
          </w:p>
        </w:tc>
        <w:tc>
          <w:tcPr>
            <w:tcW w:w="7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0"/>
                <w:szCs w:val="20"/>
                <w:color w:val="00162F"/>
              </w:rPr>
              <w:t>Current liability</w:t>
            </w:r>
          </w:p>
        </w:tc>
        <w:tc>
          <w:tcPr>
            <w:tcW w:w="320" w:type="dxa"/>
            <w:vAlign w:val="bottom"/>
            <w:gridSpan w:val="2"/>
          </w:tcPr>
          <w:p>
            <w:pPr>
              <w:jc w:val="right"/>
              <w:ind w:right="140"/>
              <w:spacing w:after="0"/>
              <w:rPr>
                <w:sz w:val="20"/>
                <w:szCs w:val="20"/>
                <w:color w:val="auto"/>
              </w:rPr>
            </w:pPr>
            <w:r>
              <w:rPr>
                <w:rFonts w:ascii="Arial" w:cs="Arial" w:eastAsia="Arial" w:hAnsi="Arial"/>
                <w:sz w:val="20"/>
                <w:szCs w:val="20"/>
                <w:color w:val="00162F"/>
              </w:rPr>
              <w:t>$</w:t>
            </w:r>
          </w:p>
        </w:tc>
        <w:tc>
          <w:tcPr>
            <w:tcW w:w="980" w:type="dxa"/>
            <w:vAlign w:val="bottom"/>
          </w:tcPr>
          <w:p>
            <w:pPr>
              <w:jc w:val="right"/>
              <w:spacing w:after="0"/>
              <w:rPr>
                <w:sz w:val="20"/>
                <w:szCs w:val="20"/>
                <w:color w:val="auto"/>
              </w:rPr>
            </w:pPr>
            <w:r>
              <w:rPr>
                <w:rFonts w:ascii="Arial" w:cs="Arial" w:eastAsia="Arial" w:hAnsi="Arial"/>
                <w:sz w:val="20"/>
                <w:szCs w:val="20"/>
                <w:color w:val="00162F"/>
              </w:rPr>
              <w:t>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3"/>
          </w:tcPr>
          <w:p>
            <w:pPr>
              <w:jc w:val="right"/>
              <w:ind w:right="61"/>
              <w:spacing w:after="0"/>
              <w:rPr>
                <w:sz w:val="20"/>
                <w:szCs w:val="20"/>
                <w:color w:val="auto"/>
              </w:rPr>
            </w:pPr>
            <w:r>
              <w:rPr>
                <w:rFonts w:ascii="Arial" w:cs="Arial" w:eastAsia="Arial" w:hAnsi="Arial"/>
                <w:sz w:val="20"/>
                <w:szCs w:val="20"/>
                <w:color w:val="00162F"/>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00162F"/>
              </w:rPr>
              <w:t>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20"/>
                <w:szCs w:val="20"/>
                <w:color w:val="00162F"/>
              </w:rPr>
              <w:t>$</w:t>
            </w:r>
          </w:p>
        </w:tc>
        <w:tc>
          <w:tcPr>
            <w:tcW w:w="72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20"/>
                <w:szCs w:val="20"/>
                <w:color w:val="00162F"/>
                <w:w w:val="95"/>
              </w:rPr>
              <w:t>108</w:t>
            </w:r>
          </w:p>
        </w:tc>
        <w:tc>
          <w:tcPr>
            <w:tcW w:w="20" w:type="dxa"/>
            <w:vAlign w:val="bottom"/>
          </w:tcPr>
          <w:p>
            <w:pPr>
              <w:spacing w:after="0"/>
              <w:rPr>
                <w:sz w:val="24"/>
                <w:szCs w:val="24"/>
                <w:color w:val="auto"/>
              </w:rPr>
            </w:pPr>
          </w:p>
        </w:tc>
        <w:tc>
          <w:tcPr>
            <w:tcW w:w="360" w:type="dxa"/>
            <w:vAlign w:val="bottom"/>
            <w:gridSpan w:val="2"/>
          </w:tcPr>
          <w:p>
            <w:pPr>
              <w:jc w:val="right"/>
              <w:ind w:right="21"/>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142</w:t>
            </w:r>
          </w:p>
        </w:tc>
        <w:tc>
          <w:tcPr>
            <w:tcW w:w="0" w:type="dxa"/>
            <w:vAlign w:val="bottom"/>
          </w:tcPr>
          <w:p>
            <w:pPr>
              <w:spacing w:after="0"/>
              <w:rPr>
                <w:sz w:val="1"/>
                <w:szCs w:val="1"/>
                <w:color w:val="auto"/>
              </w:rPr>
            </w:pPr>
          </w:p>
        </w:tc>
      </w:tr>
      <w:tr>
        <w:trPr>
          <w:trHeight w:val="291"/>
        </w:trPr>
        <w:tc>
          <w:tcPr>
            <w:tcW w:w="40" w:type="dxa"/>
            <w:vAlign w:val="bottom"/>
            <w:tcBorders>
              <w:bottom w:val="single" w:sz="8" w:color="EDEDED"/>
            </w:tcBorders>
            <w:shd w:val="clear" w:color="auto" w:fill="EDEDED"/>
          </w:tcPr>
          <w:p>
            <w:pPr>
              <w:spacing w:after="0"/>
              <w:rPr>
                <w:sz w:val="24"/>
                <w:szCs w:val="24"/>
                <w:color w:val="auto"/>
              </w:rPr>
            </w:pPr>
          </w:p>
        </w:tc>
        <w:tc>
          <w:tcPr>
            <w:tcW w:w="5060" w:type="dxa"/>
            <w:vAlign w:val="bottom"/>
            <w:tcBorders>
              <w:bottom w:val="single" w:sz="8" w:color="EDEDED"/>
            </w:tcBorders>
            <w:gridSpan w:val="3"/>
            <w:shd w:val="clear" w:color="auto" w:fill="EDEDED"/>
          </w:tcPr>
          <w:p>
            <w:pPr>
              <w:spacing w:after="0"/>
              <w:rPr>
                <w:sz w:val="20"/>
                <w:szCs w:val="20"/>
                <w:color w:val="auto"/>
              </w:rPr>
            </w:pPr>
            <w:r>
              <w:rPr>
                <w:rFonts w:ascii="Arial" w:cs="Arial" w:eastAsia="Arial" w:hAnsi="Arial"/>
                <w:sz w:val="20"/>
                <w:szCs w:val="20"/>
                <w:color w:val="00162F"/>
              </w:rPr>
              <w:t>Noncurrent liability</w:t>
            </w:r>
          </w:p>
        </w:tc>
        <w:tc>
          <w:tcPr>
            <w:tcW w:w="2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spacing w:after="0"/>
              <w:rPr>
                <w:sz w:val="24"/>
                <w:szCs w:val="24"/>
                <w:color w:val="auto"/>
              </w:rPr>
            </w:pPr>
          </w:p>
        </w:tc>
        <w:tc>
          <w:tcPr>
            <w:tcW w:w="9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534</w:t>
            </w:r>
          </w:p>
        </w:tc>
        <w:tc>
          <w:tcPr>
            <w:tcW w:w="40" w:type="dxa"/>
            <w:vAlign w:val="bottom"/>
            <w:tcBorders>
              <w:bottom w:val="single" w:sz="8" w:color="00162F"/>
            </w:tcBorders>
            <w:shd w:val="clear" w:color="auto" w:fill="EDEDED"/>
          </w:tcPr>
          <w:p>
            <w:pPr>
              <w:spacing w:after="0"/>
              <w:rPr>
                <w:sz w:val="24"/>
                <w:szCs w:val="24"/>
                <w:color w:val="auto"/>
              </w:rPr>
            </w:pPr>
          </w:p>
        </w:tc>
        <w:tc>
          <w:tcPr>
            <w:tcW w:w="20" w:type="dxa"/>
            <w:vAlign w:val="bottom"/>
            <w:tcBorders>
              <w:bottom w:val="single" w:sz="8" w:color="00162F"/>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000" w:type="dxa"/>
            <w:vAlign w:val="bottom"/>
            <w:tcBorders>
              <w:bottom w:val="single" w:sz="8" w:color="00162F"/>
            </w:tcBorders>
            <w:gridSpan w:val="2"/>
            <w:shd w:val="clear" w:color="auto" w:fill="EDEDED"/>
          </w:tcPr>
          <w:p>
            <w:pPr>
              <w:jc w:val="right"/>
              <w:spacing w:after="0"/>
              <w:rPr>
                <w:sz w:val="20"/>
                <w:szCs w:val="20"/>
                <w:color w:val="auto"/>
              </w:rPr>
            </w:pPr>
            <w:r>
              <w:rPr>
                <w:rFonts w:ascii="Arial" w:cs="Arial" w:eastAsia="Arial" w:hAnsi="Arial"/>
                <w:sz w:val="20"/>
                <w:szCs w:val="20"/>
                <w:color w:val="00162F"/>
              </w:rPr>
              <w:t>1,078</w:t>
            </w:r>
          </w:p>
        </w:tc>
        <w:tc>
          <w:tcPr>
            <w:tcW w:w="20" w:type="dxa"/>
            <w:vAlign w:val="bottom"/>
            <w:tcBorders>
              <w:bottom w:val="single" w:sz="8" w:color="00162F"/>
            </w:tcBorders>
            <w:shd w:val="clear" w:color="auto" w:fill="EDEDED"/>
          </w:tcPr>
          <w:p>
            <w:pPr>
              <w:spacing w:after="0"/>
              <w:rPr>
                <w:sz w:val="24"/>
                <w:szCs w:val="24"/>
                <w:color w:val="auto"/>
              </w:rPr>
            </w:pPr>
          </w:p>
        </w:tc>
        <w:tc>
          <w:tcPr>
            <w:tcW w:w="20" w:type="dxa"/>
            <w:vAlign w:val="bottom"/>
            <w:tcBorders>
              <w:bottom w:val="single" w:sz="8" w:color="00162F"/>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1120" w:type="dxa"/>
            <w:vAlign w:val="bottom"/>
            <w:tcBorders>
              <w:bottom w:val="single" w:sz="8" w:color="00162F"/>
            </w:tcBorders>
            <w:gridSpan w:val="4"/>
            <w:shd w:val="clear" w:color="auto" w:fill="EDEDED"/>
          </w:tcPr>
          <w:p>
            <w:pPr>
              <w:jc w:val="right"/>
              <w:ind w:right="60"/>
              <w:spacing w:after="0"/>
              <w:rPr>
                <w:sz w:val="20"/>
                <w:szCs w:val="20"/>
                <w:color w:val="auto"/>
              </w:rPr>
            </w:pPr>
            <w:r>
              <w:rPr>
                <w:rFonts w:ascii="Arial" w:cs="Arial" w:eastAsia="Arial" w:hAnsi="Arial"/>
                <w:sz w:val="20"/>
                <w:szCs w:val="20"/>
                <w:color w:val="00162F"/>
              </w:rPr>
              <w:t>1,032</w:t>
            </w:r>
          </w:p>
        </w:tc>
        <w:tc>
          <w:tcPr>
            <w:tcW w:w="20" w:type="dxa"/>
            <w:vAlign w:val="bottom"/>
            <w:tcBorders>
              <w:bottom w:val="single" w:sz="8" w:color="00162F"/>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1,037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60" w:type="dxa"/>
            <w:vAlign w:val="bottom"/>
            <w:gridSpan w:val="3"/>
          </w:tcPr>
          <w:p>
            <w:pPr>
              <w:spacing w:after="0"/>
              <w:rPr>
                <w:sz w:val="20"/>
                <w:szCs w:val="20"/>
                <w:color w:val="auto"/>
              </w:rPr>
            </w:pPr>
            <w:r>
              <w:rPr>
                <w:rFonts w:ascii="Arial" w:cs="Arial" w:eastAsia="Arial" w:hAnsi="Arial"/>
                <w:sz w:val="20"/>
                <w:szCs w:val="20"/>
                <w:color w:val="00162F"/>
              </w:rPr>
              <w:t>Total liabilities</w:t>
            </w:r>
          </w:p>
        </w:tc>
        <w:tc>
          <w:tcPr>
            <w:tcW w:w="320" w:type="dxa"/>
            <w:vAlign w:val="bottom"/>
            <w:gridSpan w:val="2"/>
          </w:tcPr>
          <w:p>
            <w:pPr>
              <w:jc w:val="right"/>
              <w:ind w:right="140"/>
              <w:spacing w:after="0"/>
              <w:rPr>
                <w:sz w:val="20"/>
                <w:szCs w:val="20"/>
                <w:color w:val="auto"/>
              </w:rPr>
            </w:pPr>
            <w:r>
              <w:rPr>
                <w:rFonts w:ascii="Arial" w:cs="Arial" w:eastAsia="Arial" w:hAnsi="Arial"/>
                <w:sz w:val="20"/>
                <w:szCs w:val="20"/>
                <w:color w:val="00162F"/>
              </w:rPr>
              <w:t>$</w:t>
            </w:r>
          </w:p>
        </w:tc>
        <w:tc>
          <w:tcPr>
            <w:tcW w:w="980" w:type="dxa"/>
            <w:vAlign w:val="bottom"/>
          </w:tcPr>
          <w:p>
            <w:pPr>
              <w:jc w:val="right"/>
              <w:spacing w:after="0"/>
              <w:rPr>
                <w:sz w:val="20"/>
                <w:szCs w:val="20"/>
                <w:color w:val="auto"/>
              </w:rPr>
            </w:pPr>
            <w:r>
              <w:rPr>
                <w:rFonts w:ascii="Arial" w:cs="Arial" w:eastAsia="Arial" w:hAnsi="Arial"/>
                <w:sz w:val="20"/>
                <w:szCs w:val="20"/>
                <w:color w:val="00162F"/>
              </w:rPr>
              <w:t>538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gridSpan w:val="3"/>
          </w:tcPr>
          <w:p>
            <w:pPr>
              <w:jc w:val="right"/>
              <w:ind w:right="61"/>
              <w:spacing w:after="0"/>
              <w:rPr>
                <w:sz w:val="20"/>
                <w:szCs w:val="20"/>
                <w:color w:val="auto"/>
              </w:rPr>
            </w:pPr>
            <w:r>
              <w:rPr>
                <w:rFonts w:ascii="Arial" w:cs="Arial" w:eastAsia="Arial" w:hAnsi="Arial"/>
                <w:sz w:val="20"/>
                <w:szCs w:val="20"/>
                <w:color w:val="00162F"/>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00162F"/>
              </w:rPr>
              <w:t>1,083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20"/>
                <w:szCs w:val="20"/>
                <w:color w:val="00162F"/>
              </w:rPr>
              <w:t>$</w:t>
            </w:r>
          </w:p>
        </w:tc>
        <w:tc>
          <w:tcPr>
            <w:tcW w:w="1120" w:type="dxa"/>
            <w:vAlign w:val="bottom"/>
            <w:gridSpan w:val="4"/>
          </w:tcPr>
          <w:p>
            <w:pPr>
              <w:jc w:val="right"/>
              <w:ind w:right="60"/>
              <w:spacing w:after="0"/>
              <w:rPr>
                <w:sz w:val="20"/>
                <w:szCs w:val="20"/>
                <w:color w:val="auto"/>
              </w:rPr>
            </w:pPr>
            <w:r>
              <w:rPr>
                <w:rFonts w:ascii="Arial" w:cs="Arial" w:eastAsia="Arial" w:hAnsi="Arial"/>
                <w:sz w:val="20"/>
                <w:szCs w:val="20"/>
                <w:color w:val="00162F"/>
              </w:rPr>
              <w:t>1,140</w:t>
            </w:r>
          </w:p>
        </w:tc>
        <w:tc>
          <w:tcPr>
            <w:tcW w:w="20" w:type="dxa"/>
            <w:vAlign w:val="bottom"/>
          </w:tcPr>
          <w:p>
            <w:pPr>
              <w:spacing w:after="0"/>
              <w:rPr>
                <w:sz w:val="22"/>
                <w:szCs w:val="22"/>
                <w:color w:val="auto"/>
              </w:rPr>
            </w:pPr>
          </w:p>
        </w:tc>
        <w:tc>
          <w:tcPr>
            <w:tcW w:w="360" w:type="dxa"/>
            <w:vAlign w:val="bottom"/>
            <w:gridSpan w:val="2"/>
          </w:tcPr>
          <w:p>
            <w:pPr>
              <w:jc w:val="right"/>
              <w:ind w:right="21"/>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1,179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162F"/>
              <w:bottom w:val="single" w:sz="8" w:color="00162F"/>
            </w:tcBorders>
          </w:tcPr>
          <w:p>
            <w:pPr>
              <w:spacing w:after="0" w:line="20" w:lineRule="exact"/>
              <w:rPr>
                <w:sz w:val="1"/>
                <w:szCs w:val="1"/>
                <w:color w:val="auto"/>
              </w:rPr>
            </w:pPr>
          </w:p>
        </w:tc>
        <w:tc>
          <w:tcPr>
            <w:tcW w:w="980" w:type="dxa"/>
            <w:vAlign w:val="bottom"/>
            <w:tcBorders>
              <w:top w:val="single" w:sz="8" w:color="00162F"/>
              <w:bottom w:val="single" w:sz="8" w:color="00162F"/>
            </w:tcBorders>
          </w:tcPr>
          <w:p>
            <w:pPr>
              <w:spacing w:after="0" w:line="20" w:lineRule="exact"/>
              <w:rPr>
                <w:sz w:val="1"/>
                <w:szCs w:val="1"/>
                <w:color w:val="auto"/>
              </w:rPr>
            </w:pPr>
          </w:p>
        </w:tc>
        <w:tc>
          <w:tcPr>
            <w:tcW w:w="40" w:type="dxa"/>
            <w:vAlign w:val="bottom"/>
            <w:tcBorders>
              <w:top w:val="single" w:sz="8" w:color="00162F"/>
              <w:bottom w:val="single" w:sz="8" w:color="00162F"/>
            </w:tcBorders>
          </w:tcPr>
          <w:p>
            <w:pPr>
              <w:spacing w:after="0" w:line="20" w:lineRule="exact"/>
              <w:rPr>
                <w:sz w:val="1"/>
                <w:szCs w:val="1"/>
                <w:color w:val="auto"/>
              </w:rPr>
            </w:pPr>
          </w:p>
        </w:tc>
        <w:tc>
          <w:tcPr>
            <w:tcW w:w="20" w:type="dxa"/>
            <w:vAlign w:val="bottom"/>
            <w:tcBorders>
              <w:top w:val="single" w:sz="8" w:color="00162F"/>
              <w:bottom w:val="single" w:sz="8" w:color="00162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162F"/>
              <w:bottom w:val="single" w:sz="8" w:color="00162F"/>
            </w:tcBorders>
          </w:tcPr>
          <w:p>
            <w:pPr>
              <w:spacing w:after="0" w:line="20" w:lineRule="exact"/>
              <w:rPr>
                <w:sz w:val="1"/>
                <w:szCs w:val="1"/>
                <w:color w:val="auto"/>
              </w:rPr>
            </w:pPr>
          </w:p>
        </w:tc>
        <w:tc>
          <w:tcPr>
            <w:tcW w:w="420" w:type="dxa"/>
            <w:vAlign w:val="bottom"/>
            <w:tcBorders>
              <w:top w:val="single" w:sz="8" w:color="00162F"/>
              <w:bottom w:val="single" w:sz="8" w:color="00162F"/>
            </w:tcBorders>
          </w:tcPr>
          <w:p>
            <w:pPr>
              <w:spacing w:after="0" w:line="20" w:lineRule="exact"/>
              <w:rPr>
                <w:sz w:val="1"/>
                <w:szCs w:val="1"/>
                <w:color w:val="auto"/>
              </w:rPr>
            </w:pPr>
          </w:p>
        </w:tc>
        <w:tc>
          <w:tcPr>
            <w:tcW w:w="580" w:type="dxa"/>
            <w:vAlign w:val="bottom"/>
            <w:tcBorders>
              <w:top w:val="single" w:sz="8" w:color="00162F"/>
              <w:bottom w:val="single" w:sz="8" w:color="00162F"/>
            </w:tcBorders>
          </w:tcPr>
          <w:p>
            <w:pPr>
              <w:spacing w:after="0" w:line="20" w:lineRule="exact"/>
              <w:rPr>
                <w:sz w:val="1"/>
                <w:szCs w:val="1"/>
                <w:color w:val="auto"/>
              </w:rPr>
            </w:pPr>
          </w:p>
        </w:tc>
        <w:tc>
          <w:tcPr>
            <w:tcW w:w="20" w:type="dxa"/>
            <w:vAlign w:val="bottom"/>
            <w:tcBorders>
              <w:top w:val="single" w:sz="8" w:color="00162F"/>
              <w:bottom w:val="single" w:sz="8" w:color="00162F"/>
            </w:tcBorders>
          </w:tcPr>
          <w:p>
            <w:pPr>
              <w:spacing w:after="0" w:line="20" w:lineRule="exact"/>
              <w:rPr>
                <w:sz w:val="1"/>
                <w:szCs w:val="1"/>
                <w:color w:val="auto"/>
              </w:rPr>
            </w:pPr>
          </w:p>
        </w:tc>
        <w:tc>
          <w:tcPr>
            <w:tcW w:w="20" w:type="dxa"/>
            <w:vAlign w:val="bottom"/>
            <w:tcBorders>
              <w:top w:val="single" w:sz="8" w:color="00162F"/>
              <w:bottom w:val="single" w:sz="8" w:color="00162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162F"/>
              <w:bottom w:val="single" w:sz="8" w:color="00162F"/>
            </w:tcBorders>
          </w:tcPr>
          <w:p>
            <w:pPr>
              <w:spacing w:after="0" w:line="20" w:lineRule="exact"/>
              <w:rPr>
                <w:sz w:val="1"/>
                <w:szCs w:val="1"/>
                <w:color w:val="auto"/>
              </w:rPr>
            </w:pPr>
          </w:p>
        </w:tc>
        <w:tc>
          <w:tcPr>
            <w:tcW w:w="72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Borders>
              <w:top w:val="single" w:sz="8" w:color="00162F"/>
              <w:bottom w:val="single" w:sz="8" w:color="00162F"/>
            </w:tcBorders>
          </w:tcPr>
          <w:p>
            <w:pPr>
              <w:spacing w:after="0" w:line="20" w:lineRule="exact"/>
              <w:rPr>
                <w:sz w:val="1"/>
                <w:szCs w:val="1"/>
                <w:color w:val="auto"/>
              </w:rPr>
            </w:pPr>
          </w:p>
        </w:tc>
        <w:tc>
          <w:tcPr>
            <w:tcW w:w="260" w:type="dxa"/>
            <w:vAlign w:val="bottom"/>
            <w:tcBorders>
              <w:top w:val="single" w:sz="8" w:color="00162F"/>
              <w:bottom w:val="single" w:sz="8" w:color="00162F"/>
            </w:tcBorders>
          </w:tcPr>
          <w:p>
            <w:pPr>
              <w:spacing w:after="0" w:line="20" w:lineRule="exact"/>
              <w:rPr>
                <w:sz w:val="1"/>
                <w:szCs w:val="1"/>
                <w:color w:val="auto"/>
              </w:rPr>
            </w:pPr>
          </w:p>
        </w:tc>
        <w:tc>
          <w:tcPr>
            <w:tcW w:w="2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00162F"/>
              <w:bottom w:val="single" w:sz="8" w:color="00162F"/>
            </w:tcBorders>
          </w:tcPr>
          <w:p>
            <w:pPr>
              <w:spacing w:after="0" w:line="20" w:lineRule="exact"/>
              <w:rPr>
                <w:sz w:val="1"/>
                <w:szCs w:val="1"/>
                <w:color w:val="auto"/>
              </w:rPr>
            </w:pPr>
          </w:p>
        </w:tc>
        <w:tc>
          <w:tcPr>
            <w:tcW w:w="1040" w:type="dxa"/>
            <w:vAlign w:val="bottom"/>
            <w:tcBorders>
              <w:top w:val="single" w:sz="8" w:color="00162F"/>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11"/>
            <w:vMerge w:val="restart"/>
          </w:tcPr>
          <w:p>
            <w:pPr>
              <w:ind w:left="420"/>
              <w:spacing w:after="0"/>
              <w:rPr>
                <w:sz w:val="20"/>
                <w:szCs w:val="20"/>
                <w:color w:val="auto"/>
              </w:rPr>
            </w:pPr>
            <w:r>
              <w:rPr>
                <w:rFonts w:ascii="Arial" w:cs="Arial" w:eastAsia="Arial" w:hAnsi="Arial"/>
                <w:sz w:val="16"/>
                <w:szCs w:val="16"/>
                <w:b w:val="1"/>
                <w:bCs w:val="1"/>
                <w:color w:val="00162F"/>
              </w:rPr>
              <w:t>Pension Benefits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8"/>
          </w:tcPr>
          <w:p>
            <w:pPr>
              <w:jc w:val="right"/>
              <w:ind w:right="566"/>
              <w:spacing w:after="0"/>
              <w:rPr>
                <w:sz w:val="20"/>
                <w:szCs w:val="20"/>
                <w:color w:val="auto"/>
              </w:rPr>
            </w:pPr>
            <w:r>
              <w:rPr>
                <w:rFonts w:ascii="Arial" w:cs="Arial" w:eastAsia="Arial" w:hAnsi="Arial"/>
                <w:sz w:val="16"/>
                <w:szCs w:val="16"/>
                <w:b w:val="1"/>
                <w:bCs w:val="1"/>
                <w:color w:val="00162F"/>
              </w:rPr>
              <w:t>Retiree Medical and</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11"/>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8"/>
          </w:tcPr>
          <w:p>
            <w:pPr>
              <w:jc w:val="center"/>
              <w:ind w:right="126"/>
              <w:spacing w:after="0"/>
              <w:rPr>
                <w:sz w:val="20"/>
                <w:szCs w:val="20"/>
                <w:color w:val="auto"/>
              </w:rPr>
            </w:pPr>
            <w:r>
              <w:rPr>
                <w:rFonts w:ascii="Arial" w:cs="Arial" w:eastAsia="Arial" w:hAnsi="Arial"/>
                <w:sz w:val="16"/>
                <w:szCs w:val="16"/>
                <w:b w:val="1"/>
                <w:bCs w:val="1"/>
                <w:color w:val="00162F"/>
                <w:w w:val="98"/>
              </w:rPr>
              <w:t>Other Postretirement Benefits</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162F"/>
              <w:bottom w:val="single" w:sz="8" w:color="00162F"/>
            </w:tcBorders>
          </w:tcPr>
          <w:p>
            <w:pPr>
              <w:spacing w:after="0"/>
              <w:rPr>
                <w:sz w:val="20"/>
                <w:szCs w:val="20"/>
                <w:color w:val="auto"/>
              </w:rPr>
            </w:pPr>
          </w:p>
        </w:tc>
        <w:tc>
          <w:tcPr>
            <w:tcW w:w="300" w:type="dxa"/>
            <w:vAlign w:val="bottom"/>
            <w:tcBorders>
              <w:top w:val="single" w:sz="8" w:color="00162F"/>
              <w:bottom w:val="single" w:sz="8" w:color="00162F"/>
            </w:tcBorders>
          </w:tcPr>
          <w:p>
            <w:pPr>
              <w:spacing w:after="0"/>
              <w:rPr>
                <w:sz w:val="20"/>
                <w:szCs w:val="20"/>
                <w:color w:val="auto"/>
              </w:rPr>
            </w:pPr>
          </w:p>
        </w:tc>
        <w:tc>
          <w:tcPr>
            <w:tcW w:w="980" w:type="dxa"/>
            <w:vAlign w:val="bottom"/>
            <w:tcBorders>
              <w:top w:val="single" w:sz="8" w:color="00162F"/>
              <w:bottom w:val="single" w:sz="8" w:color="00162F"/>
            </w:tcBorders>
          </w:tcPr>
          <w:p>
            <w:pPr>
              <w:jc w:val="right"/>
              <w:ind w:right="369"/>
              <w:spacing w:after="0"/>
              <w:rPr>
                <w:sz w:val="20"/>
                <w:szCs w:val="20"/>
                <w:color w:val="auto"/>
              </w:rPr>
            </w:pPr>
            <w:r>
              <w:rPr>
                <w:rFonts w:ascii="Arial" w:cs="Arial" w:eastAsia="Arial" w:hAnsi="Arial"/>
                <w:sz w:val="16"/>
                <w:szCs w:val="16"/>
                <w:b w:val="1"/>
                <w:bCs w:val="1"/>
                <w:color w:val="00162F"/>
              </w:rPr>
              <w:t>2025</w:t>
            </w:r>
          </w:p>
        </w:tc>
        <w:tc>
          <w:tcPr>
            <w:tcW w:w="40" w:type="dxa"/>
            <w:vAlign w:val="bottom"/>
            <w:tcBorders>
              <w:top w:val="single" w:sz="8" w:color="00162F"/>
              <w:bottom w:val="single" w:sz="8" w:color="00162F"/>
            </w:tcBorders>
          </w:tcPr>
          <w:p>
            <w:pPr>
              <w:spacing w:after="0"/>
              <w:rPr>
                <w:sz w:val="20"/>
                <w:szCs w:val="20"/>
                <w:color w:val="auto"/>
              </w:rPr>
            </w:pPr>
          </w:p>
        </w:tc>
        <w:tc>
          <w:tcPr>
            <w:tcW w:w="20" w:type="dxa"/>
            <w:vAlign w:val="bottom"/>
            <w:tcBorders>
              <w:top w:val="single" w:sz="8" w:color="00162F"/>
            </w:tcBorders>
          </w:tcPr>
          <w:p>
            <w:pPr>
              <w:spacing w:after="0"/>
              <w:rPr>
                <w:sz w:val="20"/>
                <w:szCs w:val="20"/>
                <w:color w:val="auto"/>
              </w:rPr>
            </w:pPr>
          </w:p>
        </w:tc>
        <w:tc>
          <w:tcPr>
            <w:tcW w:w="20" w:type="dxa"/>
            <w:vAlign w:val="bottom"/>
            <w:tcBorders>
              <w:top w:val="single" w:sz="8" w:color="00162F"/>
            </w:tcBorders>
          </w:tcPr>
          <w:p>
            <w:pPr>
              <w:spacing w:after="0"/>
              <w:rPr>
                <w:sz w:val="20"/>
                <w:szCs w:val="20"/>
                <w:color w:val="auto"/>
              </w:rPr>
            </w:pPr>
          </w:p>
        </w:tc>
        <w:tc>
          <w:tcPr>
            <w:tcW w:w="40" w:type="dxa"/>
            <w:vAlign w:val="bottom"/>
            <w:tcBorders>
              <w:top w:val="single" w:sz="8" w:color="00162F"/>
            </w:tcBorders>
          </w:tcPr>
          <w:p>
            <w:pPr>
              <w:spacing w:after="0"/>
              <w:rPr>
                <w:sz w:val="20"/>
                <w:szCs w:val="20"/>
                <w:color w:val="auto"/>
              </w:rPr>
            </w:pPr>
          </w:p>
        </w:tc>
        <w:tc>
          <w:tcPr>
            <w:tcW w:w="320" w:type="dxa"/>
            <w:vAlign w:val="bottom"/>
            <w:tcBorders>
              <w:top w:val="single" w:sz="8" w:color="00162F"/>
              <w:bottom w:val="single" w:sz="8" w:color="00162F"/>
            </w:tcBorders>
          </w:tcPr>
          <w:p>
            <w:pPr>
              <w:spacing w:after="0"/>
              <w:rPr>
                <w:sz w:val="20"/>
                <w:szCs w:val="20"/>
                <w:color w:val="auto"/>
              </w:rPr>
            </w:pPr>
          </w:p>
        </w:tc>
        <w:tc>
          <w:tcPr>
            <w:tcW w:w="1000" w:type="dxa"/>
            <w:vAlign w:val="bottom"/>
            <w:tcBorders>
              <w:top w:val="single" w:sz="8" w:color="00162F"/>
              <w:bottom w:val="single" w:sz="8" w:color="00162F"/>
            </w:tcBorders>
            <w:gridSpan w:val="2"/>
          </w:tcPr>
          <w:p>
            <w:pPr>
              <w:jc w:val="right"/>
              <w:ind w:right="396"/>
              <w:spacing w:after="0"/>
              <w:rPr>
                <w:sz w:val="20"/>
                <w:szCs w:val="20"/>
                <w:color w:val="auto"/>
              </w:rPr>
            </w:pPr>
            <w:r>
              <w:rPr>
                <w:rFonts w:ascii="Arial" w:cs="Arial" w:eastAsia="Arial" w:hAnsi="Arial"/>
                <w:sz w:val="16"/>
                <w:szCs w:val="16"/>
                <w:b w:val="1"/>
                <w:bCs w:val="1"/>
                <w:color w:val="00162F"/>
              </w:rPr>
              <w:t>2024</w:t>
            </w:r>
          </w:p>
        </w:tc>
        <w:tc>
          <w:tcPr>
            <w:tcW w:w="20" w:type="dxa"/>
            <w:vAlign w:val="bottom"/>
            <w:tcBorders>
              <w:top w:val="single" w:sz="8" w:color="00162F"/>
              <w:bottom w:val="single" w:sz="8" w:color="00162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162F"/>
              <w:bottom w:val="single" w:sz="8" w:color="00162F"/>
            </w:tcBorders>
          </w:tcPr>
          <w:p>
            <w:pPr>
              <w:spacing w:after="0"/>
              <w:rPr>
                <w:sz w:val="20"/>
                <w:szCs w:val="20"/>
                <w:color w:val="auto"/>
              </w:rPr>
            </w:pPr>
          </w:p>
        </w:tc>
        <w:tc>
          <w:tcPr>
            <w:tcW w:w="200" w:type="dxa"/>
            <w:vAlign w:val="bottom"/>
            <w:tcBorders>
              <w:top w:val="single" w:sz="8" w:color="00162F"/>
              <w:bottom w:val="single" w:sz="8" w:color="00162F"/>
            </w:tcBorders>
          </w:tcPr>
          <w:p>
            <w:pPr>
              <w:spacing w:after="0"/>
              <w:rPr>
                <w:sz w:val="20"/>
                <w:szCs w:val="20"/>
                <w:color w:val="auto"/>
              </w:rPr>
            </w:pPr>
          </w:p>
        </w:tc>
        <w:tc>
          <w:tcPr>
            <w:tcW w:w="720" w:type="dxa"/>
            <w:vAlign w:val="bottom"/>
            <w:tcBorders>
              <w:top w:val="single" w:sz="8" w:color="00162F"/>
              <w:bottom w:val="single" w:sz="8" w:color="00162F"/>
            </w:tcBorders>
          </w:tcPr>
          <w:p>
            <w:pPr>
              <w:jc w:val="right"/>
              <w:ind w:right="12"/>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top w:val="single" w:sz="8" w:color="00162F"/>
              <w:bottom w:val="single" w:sz="8" w:color="00162F"/>
            </w:tcBorders>
          </w:tcPr>
          <w:p>
            <w:pPr>
              <w:spacing w:after="0"/>
              <w:rPr>
                <w:sz w:val="20"/>
                <w:szCs w:val="20"/>
                <w:color w:val="auto"/>
              </w:rPr>
            </w:pPr>
          </w:p>
        </w:tc>
        <w:tc>
          <w:tcPr>
            <w:tcW w:w="60" w:type="dxa"/>
            <w:vAlign w:val="bottom"/>
            <w:tcBorders>
              <w:top w:val="single" w:sz="8" w:color="00162F"/>
              <w:bottom w:val="single" w:sz="8" w:color="00162F"/>
            </w:tcBorders>
          </w:tcPr>
          <w:p>
            <w:pPr>
              <w:spacing w:after="0"/>
              <w:rPr>
                <w:sz w:val="20"/>
                <w:szCs w:val="20"/>
                <w:color w:val="auto"/>
              </w:rPr>
            </w:pPr>
          </w:p>
        </w:tc>
        <w:tc>
          <w:tcPr>
            <w:tcW w:w="260" w:type="dxa"/>
            <w:vAlign w:val="bottom"/>
            <w:tcBorders>
              <w:top w:val="single" w:sz="8" w:color="00162F"/>
              <w:bottom w:val="single" w:sz="8" w:color="00162F"/>
            </w:tcBorders>
          </w:tcPr>
          <w:p>
            <w:pPr>
              <w:spacing w:after="0"/>
              <w:rPr>
                <w:sz w:val="20"/>
                <w:szCs w:val="20"/>
                <w:color w:val="auto"/>
              </w:rPr>
            </w:pPr>
          </w:p>
        </w:tc>
        <w:tc>
          <w:tcPr>
            <w:tcW w:w="20" w:type="dxa"/>
            <w:vAlign w:val="bottom"/>
            <w:tcBorders>
              <w:top w:val="single" w:sz="8" w:color="00162F"/>
            </w:tcBorders>
          </w:tcPr>
          <w:p>
            <w:pPr>
              <w:spacing w:after="0"/>
              <w:rPr>
                <w:sz w:val="20"/>
                <w:szCs w:val="20"/>
                <w:color w:val="auto"/>
              </w:rPr>
            </w:pPr>
          </w:p>
        </w:tc>
        <w:tc>
          <w:tcPr>
            <w:tcW w:w="60" w:type="dxa"/>
            <w:vAlign w:val="bottom"/>
            <w:tcBorders>
              <w:top w:val="single" w:sz="8" w:color="00162F"/>
            </w:tcBorders>
          </w:tcPr>
          <w:p>
            <w:pPr>
              <w:spacing w:after="0"/>
              <w:rPr>
                <w:sz w:val="20"/>
                <w:szCs w:val="20"/>
                <w:color w:val="auto"/>
              </w:rPr>
            </w:pPr>
          </w:p>
        </w:tc>
        <w:tc>
          <w:tcPr>
            <w:tcW w:w="300" w:type="dxa"/>
            <w:vAlign w:val="bottom"/>
            <w:tcBorders>
              <w:top w:val="single" w:sz="8" w:color="00162F"/>
              <w:bottom w:val="single" w:sz="8" w:color="00162F"/>
            </w:tcBorders>
          </w:tcPr>
          <w:p>
            <w:pPr>
              <w:spacing w:after="0"/>
              <w:rPr>
                <w:sz w:val="20"/>
                <w:szCs w:val="20"/>
                <w:color w:val="auto"/>
              </w:rPr>
            </w:pPr>
          </w:p>
        </w:tc>
        <w:tc>
          <w:tcPr>
            <w:tcW w:w="1040" w:type="dxa"/>
            <w:vAlign w:val="bottom"/>
            <w:tcBorders>
              <w:top w:val="single" w:sz="8" w:color="00162F"/>
              <w:bottom w:val="single" w:sz="8" w:color="00162F"/>
            </w:tcBorders>
          </w:tcPr>
          <w:p>
            <w:pPr>
              <w:jc w:val="right"/>
              <w:ind w:right="406"/>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gridSpan w:val="8"/>
          </w:tcPr>
          <w:p>
            <w:pPr>
              <w:jc w:val="right"/>
              <w:ind w:right="432"/>
              <w:spacing w:after="0"/>
              <w:rPr>
                <w:sz w:val="20"/>
                <w:szCs w:val="20"/>
                <w:color w:val="auto"/>
              </w:rPr>
            </w:pPr>
            <w:r>
              <w:rPr>
                <w:rFonts w:ascii="Arial" w:cs="Arial" w:eastAsia="Arial" w:hAnsi="Arial"/>
                <w:sz w:val="16"/>
                <w:szCs w:val="16"/>
                <w:b w:val="1"/>
                <w:bCs w:val="1"/>
                <w:color w:val="00162F"/>
              </w:rPr>
              <w:t>(In millions)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Borders>
              <w:bottom w:val="single" w:sz="8" w:color="EDEDED"/>
            </w:tcBorders>
            <w:shd w:val="clear" w:color="auto" w:fill="EDEDED"/>
          </w:tcPr>
          <w:p>
            <w:pPr>
              <w:spacing w:after="0"/>
              <w:rPr>
                <w:sz w:val="24"/>
                <w:szCs w:val="24"/>
                <w:color w:val="auto"/>
              </w:rPr>
            </w:pPr>
          </w:p>
        </w:tc>
        <w:tc>
          <w:tcPr>
            <w:tcW w:w="1760" w:type="dxa"/>
            <w:vAlign w:val="bottom"/>
            <w:tcBorders>
              <w:bottom w:val="single" w:sz="8" w:color="00162F"/>
            </w:tcBorders>
            <w:shd w:val="clear" w:color="auto" w:fill="EDEDED"/>
          </w:tcPr>
          <w:p>
            <w:pPr>
              <w:spacing w:after="0"/>
              <w:rPr>
                <w:sz w:val="20"/>
                <w:szCs w:val="20"/>
                <w:color w:val="auto"/>
              </w:rPr>
            </w:pPr>
            <w:r>
              <w:rPr>
                <w:rFonts w:ascii="Arial" w:cs="Arial" w:eastAsia="Arial" w:hAnsi="Arial"/>
                <w:sz w:val="20"/>
                <w:szCs w:val="20"/>
                <w:color w:val="00162F"/>
                <w:w w:val="98"/>
              </w:rPr>
              <w:t>As of December 31:</w:t>
            </w:r>
          </w:p>
        </w:tc>
        <w:tc>
          <w:tcPr>
            <w:tcW w:w="3300" w:type="dxa"/>
            <w:vAlign w:val="bottom"/>
            <w:tcBorders>
              <w:bottom w:val="single" w:sz="8" w:color="EDEDED"/>
            </w:tcBorders>
            <w:gridSpan w:val="2"/>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EDEDED"/>
            </w:tcBorders>
            <w:shd w:val="clear" w:color="auto" w:fill="EDEDED"/>
          </w:tcPr>
          <w:p>
            <w:pPr>
              <w:spacing w:after="0"/>
              <w:rPr>
                <w:sz w:val="24"/>
                <w:szCs w:val="24"/>
                <w:color w:val="auto"/>
              </w:rPr>
            </w:pPr>
          </w:p>
        </w:tc>
        <w:tc>
          <w:tcPr>
            <w:tcW w:w="7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0"/>
                <w:szCs w:val="20"/>
                <w:color w:val="00162F"/>
              </w:rPr>
              <w:t>Net actuarial loss (gain)</w:t>
            </w:r>
          </w:p>
        </w:tc>
        <w:tc>
          <w:tcPr>
            <w:tcW w:w="320" w:type="dxa"/>
            <w:vAlign w:val="bottom"/>
            <w:gridSpan w:val="2"/>
          </w:tcPr>
          <w:p>
            <w:pPr>
              <w:jc w:val="right"/>
              <w:ind w:right="160"/>
              <w:spacing w:after="0"/>
              <w:rPr>
                <w:sz w:val="20"/>
                <w:szCs w:val="20"/>
                <w:color w:val="auto"/>
              </w:rPr>
            </w:pPr>
            <w:r>
              <w:rPr>
                <w:rFonts w:ascii="Arial" w:cs="Arial" w:eastAsia="Arial" w:hAnsi="Arial"/>
                <w:sz w:val="20"/>
                <w:szCs w:val="20"/>
                <w:color w:val="00162F"/>
              </w:rPr>
              <w:t>$</w:t>
            </w:r>
          </w:p>
        </w:tc>
        <w:tc>
          <w:tcPr>
            <w:tcW w:w="980" w:type="dxa"/>
            <w:vAlign w:val="bottom"/>
          </w:tcPr>
          <w:p>
            <w:pPr>
              <w:jc w:val="right"/>
              <w:spacing w:after="0"/>
              <w:rPr>
                <w:sz w:val="20"/>
                <w:szCs w:val="20"/>
                <w:color w:val="auto"/>
              </w:rPr>
            </w:pPr>
            <w:r>
              <w:rPr>
                <w:rFonts w:ascii="Arial" w:cs="Arial" w:eastAsia="Arial" w:hAnsi="Arial"/>
                <w:sz w:val="20"/>
                <w:szCs w:val="20"/>
                <w:color w:val="00162F"/>
              </w:rPr>
              <w:t>2,915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3"/>
          </w:tcPr>
          <w:p>
            <w:pPr>
              <w:jc w:val="right"/>
              <w:ind w:right="61"/>
              <w:spacing w:after="0"/>
              <w:rPr>
                <w:sz w:val="20"/>
                <w:szCs w:val="20"/>
                <w:color w:val="auto"/>
              </w:rPr>
            </w:pPr>
            <w:r>
              <w:rPr>
                <w:rFonts w:ascii="Arial" w:cs="Arial" w:eastAsia="Arial" w:hAnsi="Arial"/>
                <w:sz w:val="20"/>
                <w:szCs w:val="20"/>
                <w:color w:val="00162F"/>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00162F"/>
              </w:rPr>
              <w:t>3,130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20"/>
                <w:szCs w:val="20"/>
                <w:color w:val="00162F"/>
              </w:rPr>
              <w:t>$</w:t>
            </w:r>
          </w:p>
        </w:tc>
        <w:tc>
          <w:tcPr>
            <w:tcW w:w="1120" w:type="dxa"/>
            <w:vAlign w:val="bottom"/>
            <w:gridSpan w:val="4"/>
          </w:tcPr>
          <w:p>
            <w:pPr>
              <w:jc w:val="right"/>
              <w:ind w:right="20"/>
              <w:spacing w:after="0"/>
              <w:rPr>
                <w:sz w:val="20"/>
                <w:szCs w:val="20"/>
                <w:color w:val="auto"/>
              </w:rPr>
            </w:pPr>
            <w:r>
              <w:rPr>
                <w:rFonts w:ascii="Arial" w:cs="Arial" w:eastAsia="Arial" w:hAnsi="Arial"/>
                <w:sz w:val="20"/>
                <w:szCs w:val="20"/>
                <w:color w:val="00162F"/>
              </w:rPr>
              <w:t>(395)</w:t>
            </w:r>
          </w:p>
        </w:tc>
        <w:tc>
          <w:tcPr>
            <w:tcW w:w="20" w:type="dxa"/>
            <w:vAlign w:val="bottom"/>
          </w:tcPr>
          <w:p>
            <w:pPr>
              <w:spacing w:after="0"/>
              <w:rPr>
                <w:sz w:val="24"/>
                <w:szCs w:val="24"/>
                <w:color w:val="auto"/>
              </w:rPr>
            </w:pP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(407)</w:t>
            </w:r>
          </w:p>
        </w:tc>
        <w:tc>
          <w:tcPr>
            <w:tcW w:w="0" w:type="dxa"/>
            <w:vAlign w:val="bottom"/>
          </w:tcPr>
          <w:p>
            <w:pPr>
              <w:spacing w:after="0"/>
              <w:rPr>
                <w:sz w:val="1"/>
                <w:szCs w:val="1"/>
                <w:color w:val="auto"/>
              </w:rPr>
            </w:pPr>
          </w:p>
        </w:tc>
      </w:tr>
      <w:tr>
        <w:trPr>
          <w:trHeight w:val="311"/>
        </w:trPr>
        <w:tc>
          <w:tcPr>
            <w:tcW w:w="40" w:type="dxa"/>
            <w:vAlign w:val="bottom"/>
            <w:tcBorders>
              <w:bottom w:val="single" w:sz="8" w:color="EDEDED"/>
            </w:tcBorders>
            <w:shd w:val="clear" w:color="auto" w:fill="EDEDED"/>
          </w:tcPr>
          <w:p>
            <w:pPr>
              <w:spacing w:after="0"/>
              <w:rPr>
                <w:sz w:val="24"/>
                <w:szCs w:val="24"/>
                <w:color w:val="auto"/>
              </w:rPr>
            </w:pPr>
          </w:p>
        </w:tc>
        <w:tc>
          <w:tcPr>
            <w:tcW w:w="5060" w:type="dxa"/>
            <w:vAlign w:val="bottom"/>
            <w:tcBorders>
              <w:bottom w:val="single" w:sz="8" w:color="EDEDED"/>
            </w:tcBorders>
            <w:gridSpan w:val="3"/>
            <w:shd w:val="clear" w:color="auto" w:fill="EDEDED"/>
          </w:tcPr>
          <w:p>
            <w:pPr>
              <w:spacing w:after="0"/>
              <w:rPr>
                <w:sz w:val="20"/>
                <w:szCs w:val="20"/>
                <w:color w:val="auto"/>
              </w:rPr>
            </w:pPr>
            <w:r>
              <w:rPr>
                <w:rFonts w:ascii="Arial" w:cs="Arial" w:eastAsia="Arial" w:hAnsi="Arial"/>
                <w:sz w:val="20"/>
                <w:szCs w:val="20"/>
                <w:color w:val="00162F"/>
              </w:rPr>
              <w:t>Prior service cost</w:t>
            </w:r>
          </w:p>
        </w:tc>
        <w:tc>
          <w:tcPr>
            <w:tcW w:w="20" w:type="dxa"/>
            <w:vAlign w:val="bottom"/>
            <w:tcBorders>
              <w:bottom w:val="single" w:sz="8" w:color="00162F"/>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spacing w:after="0"/>
              <w:rPr>
                <w:sz w:val="24"/>
                <w:szCs w:val="24"/>
                <w:color w:val="auto"/>
              </w:rPr>
            </w:pPr>
          </w:p>
        </w:tc>
        <w:tc>
          <w:tcPr>
            <w:tcW w:w="9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w:t>
            </w:r>
          </w:p>
        </w:tc>
        <w:tc>
          <w:tcPr>
            <w:tcW w:w="40" w:type="dxa"/>
            <w:vAlign w:val="bottom"/>
            <w:tcBorders>
              <w:bottom w:val="single" w:sz="8" w:color="00162F"/>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00162F"/>
            </w:tcBorders>
            <w:shd w:val="clear" w:color="auto" w:fill="EDEDED"/>
          </w:tcPr>
          <w:p>
            <w:pPr>
              <w:spacing w:after="0"/>
              <w:rPr>
                <w:sz w:val="24"/>
                <w:szCs w:val="24"/>
                <w:color w:val="auto"/>
              </w:rPr>
            </w:pPr>
          </w:p>
        </w:tc>
        <w:tc>
          <w:tcPr>
            <w:tcW w:w="1000" w:type="dxa"/>
            <w:vAlign w:val="bottom"/>
            <w:tcBorders>
              <w:bottom w:val="single" w:sz="8" w:color="00162F"/>
            </w:tcBorders>
            <w:gridSpan w:val="2"/>
            <w:shd w:val="clear" w:color="auto" w:fill="EDEDED"/>
          </w:tcPr>
          <w:p>
            <w:pPr>
              <w:jc w:val="right"/>
              <w:spacing w:after="0"/>
              <w:rPr>
                <w:sz w:val="20"/>
                <w:szCs w:val="20"/>
                <w:color w:val="auto"/>
              </w:rPr>
            </w:pPr>
            <w:r>
              <w:rPr>
                <w:rFonts w:ascii="Arial" w:cs="Arial" w:eastAsia="Arial" w:hAnsi="Arial"/>
                <w:sz w:val="20"/>
                <w:szCs w:val="20"/>
                <w:color w:val="00162F"/>
              </w:rPr>
              <w:t>1</w:t>
            </w:r>
          </w:p>
        </w:tc>
        <w:tc>
          <w:tcPr>
            <w:tcW w:w="20" w:type="dxa"/>
            <w:vAlign w:val="bottom"/>
            <w:tcBorders>
              <w:bottom w:val="single" w:sz="8" w:color="00162F"/>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00162F"/>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1120" w:type="dxa"/>
            <w:vAlign w:val="bottom"/>
            <w:tcBorders>
              <w:bottom w:val="single" w:sz="8" w:color="00162F"/>
            </w:tcBorders>
            <w:gridSpan w:val="4"/>
            <w:shd w:val="clear" w:color="auto" w:fill="EDEDED"/>
          </w:tcPr>
          <w:p>
            <w:pPr>
              <w:jc w:val="right"/>
              <w:ind w:right="80"/>
              <w:spacing w:after="0"/>
              <w:rPr>
                <w:sz w:val="20"/>
                <w:szCs w:val="20"/>
                <w:color w:val="auto"/>
              </w:rPr>
            </w:pPr>
            <w:r>
              <w:rPr>
                <w:rFonts w:ascii="Arial" w:cs="Arial" w:eastAsia="Arial" w:hAnsi="Arial"/>
                <w:sz w:val="20"/>
                <w:szCs w:val="20"/>
                <w:color w:val="00162F"/>
              </w:rPr>
              <w:t>221</w:t>
            </w:r>
          </w:p>
        </w:tc>
        <w:tc>
          <w:tcPr>
            <w:tcW w:w="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00162F"/>
            </w:tcBorders>
            <w:shd w:val="clear" w:color="auto" w:fill="EDEDED"/>
          </w:tcPr>
          <w:p>
            <w:pPr>
              <w:spacing w:after="0"/>
              <w:rPr>
                <w:sz w:val="24"/>
                <w:szCs w:val="24"/>
                <w:color w:val="auto"/>
              </w:rPr>
            </w:pPr>
          </w:p>
        </w:tc>
        <w:tc>
          <w:tcPr>
            <w:tcW w:w="1040" w:type="dxa"/>
            <w:vAlign w:val="bottom"/>
            <w:tcBorders>
              <w:bottom w:val="single" w:sz="8" w:color="00162F"/>
            </w:tcBorders>
            <w:shd w:val="clear" w:color="auto" w:fill="EDEDED"/>
          </w:tcPr>
          <w:p>
            <w:pPr>
              <w:jc w:val="right"/>
              <w:ind w:right="6"/>
              <w:spacing w:after="0"/>
              <w:rPr>
                <w:sz w:val="20"/>
                <w:szCs w:val="20"/>
                <w:color w:val="auto"/>
              </w:rPr>
            </w:pPr>
            <w:r>
              <w:rPr>
                <w:rFonts w:ascii="Arial" w:cs="Arial" w:eastAsia="Arial" w:hAnsi="Arial"/>
                <w:sz w:val="20"/>
                <w:szCs w:val="20"/>
                <w:color w:val="00162F"/>
              </w:rPr>
              <w:t>238</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060" w:type="dxa"/>
            <w:vAlign w:val="bottom"/>
            <w:gridSpan w:val="3"/>
          </w:tcPr>
          <w:p>
            <w:pPr>
              <w:spacing w:after="0" w:line="190" w:lineRule="exact"/>
              <w:rPr>
                <w:sz w:val="20"/>
                <w:szCs w:val="20"/>
                <w:color w:val="auto"/>
              </w:rPr>
            </w:pPr>
            <w:r>
              <w:rPr>
                <w:rFonts w:ascii="Arial" w:cs="Arial" w:eastAsia="Arial" w:hAnsi="Arial"/>
                <w:sz w:val="20"/>
                <w:szCs w:val="20"/>
                <w:color w:val="00162F"/>
              </w:rPr>
              <w:t>Total accumulated other comprehensive loss (income),</w:t>
            </w: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00162F"/>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00162F"/>
              </w:rPr>
              <w:t>2,916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vMerge w:val="restart"/>
          </w:tcPr>
          <w:p>
            <w:pPr>
              <w:spacing w:after="0"/>
              <w:rPr>
                <w:sz w:val="16"/>
                <w:szCs w:val="16"/>
                <w:color w:val="auto"/>
              </w:rPr>
            </w:pPr>
          </w:p>
        </w:tc>
        <w:tc>
          <w:tcPr>
            <w:tcW w:w="320" w:type="dxa"/>
            <w:vAlign w:val="bottom"/>
            <w:vMerge w:val="restart"/>
          </w:tcPr>
          <w:p>
            <w:pPr>
              <w:jc w:val="right"/>
              <w:ind w:right="61"/>
              <w:spacing w:after="0"/>
              <w:rPr>
                <w:sz w:val="20"/>
                <w:szCs w:val="20"/>
                <w:color w:val="auto"/>
              </w:rPr>
            </w:pPr>
            <w:r>
              <w:rPr>
                <w:rFonts w:ascii="Arial" w:cs="Arial" w:eastAsia="Arial" w:hAnsi="Arial"/>
                <w:sz w:val="20"/>
                <w:szCs w:val="20"/>
                <w:color w:val="00162F"/>
              </w:rPr>
              <w:t>$</w:t>
            </w:r>
          </w:p>
        </w:tc>
        <w:tc>
          <w:tcPr>
            <w:tcW w:w="1000" w:type="dxa"/>
            <w:vAlign w:val="bottom"/>
            <w:gridSpan w:val="2"/>
            <w:vMerge w:val="restart"/>
          </w:tcPr>
          <w:p>
            <w:pPr>
              <w:jc w:val="right"/>
              <w:spacing w:after="0"/>
              <w:rPr>
                <w:sz w:val="20"/>
                <w:szCs w:val="20"/>
                <w:color w:val="auto"/>
              </w:rPr>
            </w:pPr>
            <w:r>
              <w:rPr>
                <w:rFonts w:ascii="Arial" w:cs="Arial" w:eastAsia="Arial" w:hAnsi="Arial"/>
                <w:sz w:val="20"/>
                <w:szCs w:val="20"/>
                <w:color w:val="00162F"/>
              </w:rPr>
              <w:t>3,131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20"/>
                <w:szCs w:val="20"/>
                <w:color w:val="00162F"/>
              </w:rPr>
              <w:t>$</w:t>
            </w:r>
          </w:p>
        </w:tc>
        <w:tc>
          <w:tcPr>
            <w:tcW w:w="1120" w:type="dxa"/>
            <w:vAlign w:val="bottom"/>
            <w:gridSpan w:val="4"/>
            <w:vMerge w:val="restart"/>
          </w:tcPr>
          <w:p>
            <w:pPr>
              <w:jc w:val="right"/>
              <w:ind w:right="20"/>
              <w:spacing w:after="0"/>
              <w:rPr>
                <w:sz w:val="20"/>
                <w:szCs w:val="20"/>
                <w:color w:val="auto"/>
              </w:rPr>
            </w:pPr>
            <w:r>
              <w:rPr>
                <w:rFonts w:ascii="Arial" w:cs="Arial" w:eastAsia="Arial" w:hAnsi="Arial"/>
                <w:sz w:val="20"/>
                <w:szCs w:val="20"/>
                <w:color w:val="00162F"/>
              </w:rPr>
              <w:t>174)</w:t>
            </w:r>
          </w:p>
        </w:tc>
        <w:tc>
          <w:tcPr>
            <w:tcW w:w="2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300" w:type="dxa"/>
            <w:vAlign w:val="bottom"/>
            <w:vMerge w:val="restart"/>
          </w:tcPr>
          <w:p>
            <w:pPr>
              <w:jc w:val="right"/>
              <w:ind w:right="41"/>
              <w:spacing w:after="0"/>
              <w:rPr>
                <w:sz w:val="20"/>
                <w:szCs w:val="20"/>
                <w:color w:val="auto"/>
              </w:rPr>
            </w:pPr>
            <w:r>
              <w:rPr>
                <w:rFonts w:ascii="Arial" w:cs="Arial" w:eastAsia="Arial" w:hAnsi="Arial"/>
                <w:sz w:val="20"/>
                <w:szCs w:val="20"/>
                <w:color w:val="00162F"/>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00162F"/>
              </w:rPr>
              <w:t>169)</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060" w:type="dxa"/>
            <w:vAlign w:val="bottom"/>
            <w:gridSpan w:val="3"/>
          </w:tcPr>
          <w:p>
            <w:pPr>
              <w:ind w:left="180"/>
              <w:spacing w:after="0"/>
              <w:rPr>
                <w:sz w:val="20"/>
                <w:szCs w:val="20"/>
                <w:color w:val="auto"/>
              </w:rPr>
            </w:pPr>
            <w:r>
              <w:rPr>
                <w:rFonts w:ascii="Arial" w:cs="Arial" w:eastAsia="Arial" w:hAnsi="Arial"/>
                <w:sz w:val="20"/>
                <w:szCs w:val="20"/>
                <w:color w:val="00162F"/>
              </w:rPr>
              <w:t>pre-tax</w:t>
            </w:r>
          </w:p>
        </w:tc>
        <w:tc>
          <w:tcPr>
            <w:tcW w:w="320" w:type="dxa"/>
            <w:vAlign w:val="bottom"/>
            <w:tcBorders>
              <w:bottom w:val="single" w:sz="8" w:color="00162F"/>
            </w:tcBorders>
            <w:gridSpan w:val="2"/>
            <w:vMerge w:val="continue"/>
          </w:tcPr>
          <w:p>
            <w:pPr>
              <w:spacing w:after="0"/>
              <w:rPr>
                <w:sz w:val="20"/>
                <w:szCs w:val="20"/>
                <w:color w:val="auto"/>
              </w:rPr>
            </w:pPr>
          </w:p>
        </w:tc>
        <w:tc>
          <w:tcPr>
            <w:tcW w:w="980" w:type="dxa"/>
            <w:vAlign w:val="bottom"/>
            <w:tcBorders>
              <w:bottom w:val="single" w:sz="8" w:color="00162F"/>
            </w:tcBorders>
            <w:vMerge w:val="continue"/>
          </w:tcPr>
          <w:p>
            <w:pPr>
              <w:spacing w:after="0"/>
              <w:rPr>
                <w:sz w:val="20"/>
                <w:szCs w:val="20"/>
                <w:color w:val="auto"/>
              </w:rPr>
            </w:pPr>
          </w:p>
        </w:tc>
        <w:tc>
          <w:tcPr>
            <w:tcW w:w="40" w:type="dxa"/>
            <w:vAlign w:val="bottom"/>
            <w:tcBorders>
              <w:bottom w:val="single" w:sz="8" w:color="00162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320" w:type="dxa"/>
            <w:vAlign w:val="bottom"/>
            <w:tcBorders>
              <w:bottom w:val="single" w:sz="8" w:color="00162F"/>
            </w:tcBorders>
            <w:vMerge w:val="continue"/>
          </w:tcPr>
          <w:p>
            <w:pPr>
              <w:spacing w:after="0"/>
              <w:rPr>
                <w:sz w:val="20"/>
                <w:szCs w:val="20"/>
                <w:color w:val="auto"/>
              </w:rPr>
            </w:pPr>
          </w:p>
        </w:tc>
        <w:tc>
          <w:tcPr>
            <w:tcW w:w="1000" w:type="dxa"/>
            <w:vAlign w:val="bottom"/>
            <w:tcBorders>
              <w:bottom w:val="single" w:sz="8" w:color="00162F"/>
            </w:tcBorders>
            <w:gridSpan w:val="2"/>
            <w:vMerge w:val="continue"/>
          </w:tcPr>
          <w:p>
            <w:pPr>
              <w:spacing w:after="0"/>
              <w:rPr>
                <w:sz w:val="20"/>
                <w:szCs w:val="20"/>
                <w:color w:val="auto"/>
              </w:rPr>
            </w:pPr>
          </w:p>
        </w:tc>
        <w:tc>
          <w:tcPr>
            <w:tcW w:w="20" w:type="dxa"/>
            <w:vAlign w:val="bottom"/>
            <w:tcBorders>
              <w:bottom w:val="single" w:sz="8" w:color="00162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20" w:type="dxa"/>
            <w:vAlign w:val="bottom"/>
            <w:tcBorders>
              <w:bottom w:val="single" w:sz="8" w:color="00162F"/>
            </w:tcBorders>
            <w:gridSpan w:val="2"/>
            <w:vMerge w:val="continue"/>
          </w:tcPr>
          <w:p>
            <w:pPr>
              <w:spacing w:after="0"/>
              <w:rPr>
                <w:sz w:val="20"/>
                <w:szCs w:val="20"/>
                <w:color w:val="auto"/>
              </w:rPr>
            </w:pPr>
          </w:p>
        </w:tc>
        <w:tc>
          <w:tcPr>
            <w:tcW w:w="1120" w:type="dxa"/>
            <w:vAlign w:val="bottom"/>
            <w:tcBorders>
              <w:bottom w:val="single" w:sz="8" w:color="00162F"/>
            </w:tcBorders>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300" w:type="dxa"/>
            <w:vAlign w:val="bottom"/>
            <w:tcBorders>
              <w:bottom w:val="single" w:sz="8" w:color="00162F"/>
            </w:tcBorders>
            <w:vMerge w:val="continue"/>
          </w:tcPr>
          <w:p>
            <w:pPr>
              <w:spacing w:after="0"/>
              <w:rPr>
                <w:sz w:val="20"/>
                <w:szCs w:val="20"/>
                <w:color w:val="auto"/>
              </w:rPr>
            </w:pPr>
          </w:p>
        </w:tc>
        <w:tc>
          <w:tcPr>
            <w:tcW w:w="1040" w:type="dxa"/>
            <w:vAlign w:val="bottom"/>
            <w:tcBorders>
              <w:bottom w:val="single" w:sz="8" w:color="00162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00162F"/>
            </w:tcBorders>
            <w:gridSpan w:val="3"/>
          </w:tcPr>
          <w:p>
            <w:pPr>
              <w:spacing w:after="0" w:line="20" w:lineRule="exact"/>
              <w:rPr>
                <w:sz w:val="1"/>
                <w:szCs w:val="1"/>
                <w:color w:val="auto"/>
              </w:rPr>
            </w:pPr>
          </w:p>
        </w:tc>
        <w:tc>
          <w:tcPr>
            <w:tcW w:w="40" w:type="dxa"/>
            <w:vAlign w:val="bottom"/>
            <w:tcBorders>
              <w:bottom w:val="single" w:sz="8" w:color="00162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00162F"/>
            </w:tcBorders>
            <w:gridSpan w:val="2"/>
          </w:tcPr>
          <w:p>
            <w:pPr>
              <w:spacing w:after="0" w:line="20" w:lineRule="exact"/>
              <w:rPr>
                <w:sz w:val="1"/>
                <w:szCs w:val="1"/>
                <w:color w:val="auto"/>
              </w:rPr>
            </w:pPr>
          </w:p>
        </w:tc>
        <w:tc>
          <w:tcPr>
            <w:tcW w:w="580" w:type="dxa"/>
            <w:vAlign w:val="bottom"/>
            <w:tcBorders>
              <w:bottom w:val="single" w:sz="8" w:color="00162F"/>
            </w:tcBorders>
          </w:tcPr>
          <w:p>
            <w:pPr>
              <w:spacing w:after="0" w:line="20" w:lineRule="exact"/>
              <w:rPr>
                <w:sz w:val="1"/>
                <w:szCs w:val="1"/>
                <w:color w:val="auto"/>
              </w:rPr>
            </w:pPr>
          </w:p>
        </w:tc>
        <w:tc>
          <w:tcPr>
            <w:tcW w:w="20" w:type="dxa"/>
            <w:vAlign w:val="bottom"/>
            <w:tcBorders>
              <w:bottom w:val="single" w:sz="8" w:color="00162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162F"/>
            </w:tcBorders>
          </w:tcPr>
          <w:p>
            <w:pPr>
              <w:spacing w:after="0" w:line="20" w:lineRule="exact"/>
              <w:rPr>
                <w:sz w:val="1"/>
                <w:szCs w:val="1"/>
                <w:color w:val="auto"/>
              </w:rPr>
            </w:pPr>
          </w:p>
        </w:tc>
        <w:tc>
          <w:tcPr>
            <w:tcW w:w="200" w:type="dxa"/>
            <w:vAlign w:val="bottom"/>
            <w:tcBorders>
              <w:bottom w:val="single" w:sz="8" w:color="00162F"/>
            </w:tcBorders>
          </w:tcPr>
          <w:p>
            <w:pPr>
              <w:spacing w:after="0" w:line="20" w:lineRule="exact"/>
              <w:rPr>
                <w:sz w:val="1"/>
                <w:szCs w:val="1"/>
                <w:color w:val="auto"/>
              </w:rPr>
            </w:pPr>
          </w:p>
        </w:tc>
        <w:tc>
          <w:tcPr>
            <w:tcW w:w="720" w:type="dxa"/>
            <w:vAlign w:val="bottom"/>
            <w:tcBorders>
              <w:bottom w:val="single" w:sz="8" w:color="00162F"/>
            </w:tcBorders>
          </w:tcPr>
          <w:p>
            <w:pPr>
              <w:spacing w:after="0" w:line="20" w:lineRule="exact"/>
              <w:rPr>
                <w:sz w:val="1"/>
                <w:szCs w:val="1"/>
                <w:color w:val="auto"/>
              </w:rPr>
            </w:pPr>
          </w:p>
        </w:tc>
        <w:tc>
          <w:tcPr>
            <w:tcW w:w="80" w:type="dxa"/>
            <w:vAlign w:val="bottom"/>
            <w:tcBorders>
              <w:bottom w:val="single" w:sz="8" w:color="00162F"/>
            </w:tcBorders>
          </w:tcPr>
          <w:p>
            <w:pPr>
              <w:spacing w:after="0" w:line="20" w:lineRule="exact"/>
              <w:rPr>
                <w:sz w:val="1"/>
                <w:szCs w:val="1"/>
                <w:color w:val="auto"/>
              </w:rPr>
            </w:pPr>
          </w:p>
        </w:tc>
        <w:tc>
          <w:tcPr>
            <w:tcW w:w="60" w:type="dxa"/>
            <w:vAlign w:val="bottom"/>
            <w:tcBorders>
              <w:bottom w:val="single" w:sz="8" w:color="00162F"/>
            </w:tcBorders>
          </w:tcPr>
          <w:p>
            <w:pPr>
              <w:spacing w:after="0" w:line="20" w:lineRule="exact"/>
              <w:rPr>
                <w:sz w:val="1"/>
                <w:szCs w:val="1"/>
                <w:color w:val="auto"/>
              </w:rPr>
            </w:pPr>
          </w:p>
        </w:tc>
        <w:tc>
          <w:tcPr>
            <w:tcW w:w="260" w:type="dxa"/>
            <w:vAlign w:val="bottom"/>
            <w:tcBorders>
              <w:bottom w:val="single" w:sz="8" w:color="00162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00162F"/>
            </w:tcBorders>
          </w:tcPr>
          <w:p>
            <w:pPr>
              <w:spacing w:after="0" w:line="20" w:lineRule="exact"/>
              <w:rPr>
                <w:sz w:val="1"/>
                <w:szCs w:val="1"/>
                <w:color w:val="auto"/>
              </w:rPr>
            </w:pPr>
          </w:p>
        </w:tc>
        <w:tc>
          <w:tcPr>
            <w:tcW w:w="1040" w:type="dxa"/>
            <w:vAlign w:val="bottom"/>
            <w:tcBorders>
              <w:bottom w:val="single" w:sz="8" w:color="00162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7860" w:type="dxa"/>
            <w:vAlign w:val="bottom"/>
            <w:gridSpan w:val="16"/>
          </w:tcPr>
          <w:p>
            <w:pPr>
              <w:ind w:left="220"/>
              <w:spacing w:after="0"/>
              <w:rPr>
                <w:sz w:val="20"/>
                <w:szCs w:val="20"/>
                <w:color w:val="auto"/>
              </w:rPr>
            </w:pPr>
            <w:r>
              <w:rPr>
                <w:rFonts w:ascii="Arial" w:cs="Arial" w:eastAsia="Arial" w:hAnsi="Arial"/>
                <w:sz w:val="20"/>
                <w:szCs w:val="20"/>
                <w:b w:val="1"/>
                <w:bCs w:val="1"/>
                <w:i w:val="1"/>
                <w:iCs w:val="1"/>
                <w:color w:val="00162F"/>
              </w:rPr>
              <w:t>Plans with Projected Benefit Obligations Exceeding Fair Value of Plan Assets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20" w:type="dxa"/>
            <w:vAlign w:val="bottom"/>
            <w:tcBorders>
              <w:bottom w:val="single" w:sz="8" w:color="00162F"/>
            </w:tcBorders>
          </w:tcPr>
          <w:p>
            <w:pPr>
              <w:spacing w:after="0"/>
              <w:rPr>
                <w:sz w:val="24"/>
                <w:szCs w:val="24"/>
                <w:color w:val="auto"/>
              </w:rPr>
            </w:pPr>
          </w:p>
        </w:tc>
        <w:tc>
          <w:tcPr>
            <w:tcW w:w="20" w:type="dxa"/>
            <w:vAlign w:val="bottom"/>
            <w:tcBorders>
              <w:bottom w:val="single" w:sz="8" w:color="00162F"/>
            </w:tcBorders>
          </w:tcPr>
          <w:p>
            <w:pPr>
              <w:spacing w:after="0"/>
              <w:rPr>
                <w:sz w:val="24"/>
                <w:szCs w:val="24"/>
                <w:color w:val="auto"/>
              </w:rPr>
            </w:pPr>
          </w:p>
        </w:tc>
        <w:tc>
          <w:tcPr>
            <w:tcW w:w="20" w:type="dxa"/>
            <w:vAlign w:val="bottom"/>
            <w:tcBorders>
              <w:bottom w:val="single" w:sz="8" w:color="00162F"/>
            </w:tcBorders>
          </w:tcPr>
          <w:p>
            <w:pPr>
              <w:spacing w:after="0"/>
              <w:rPr>
                <w:sz w:val="24"/>
                <w:szCs w:val="24"/>
                <w:color w:val="auto"/>
              </w:rPr>
            </w:pPr>
          </w:p>
        </w:tc>
        <w:tc>
          <w:tcPr>
            <w:tcW w:w="20" w:type="dxa"/>
            <w:vAlign w:val="bottom"/>
            <w:tcBorders>
              <w:bottom w:val="single" w:sz="8" w:color="00162F"/>
            </w:tcBorders>
          </w:tcPr>
          <w:p>
            <w:pPr>
              <w:spacing w:after="0"/>
              <w:rPr>
                <w:sz w:val="24"/>
                <w:szCs w:val="24"/>
                <w:color w:val="auto"/>
              </w:rPr>
            </w:pPr>
          </w:p>
        </w:tc>
        <w:tc>
          <w:tcPr>
            <w:tcW w:w="20" w:type="dxa"/>
            <w:vAlign w:val="bottom"/>
            <w:tcBorders>
              <w:bottom w:val="single" w:sz="8" w:color="00162F"/>
            </w:tcBorders>
          </w:tcPr>
          <w:p>
            <w:pPr>
              <w:spacing w:after="0"/>
              <w:rPr>
                <w:sz w:val="24"/>
                <w:szCs w:val="24"/>
                <w:color w:val="auto"/>
              </w:rPr>
            </w:pPr>
          </w:p>
        </w:tc>
        <w:tc>
          <w:tcPr>
            <w:tcW w:w="200" w:type="dxa"/>
            <w:vAlign w:val="bottom"/>
            <w:tcBorders>
              <w:bottom w:val="single" w:sz="8" w:color="00162F"/>
            </w:tcBorders>
          </w:tcPr>
          <w:p>
            <w:pPr>
              <w:spacing w:after="0"/>
              <w:rPr>
                <w:sz w:val="24"/>
                <w:szCs w:val="24"/>
                <w:color w:val="auto"/>
              </w:rPr>
            </w:pPr>
          </w:p>
        </w:tc>
        <w:tc>
          <w:tcPr>
            <w:tcW w:w="1500" w:type="dxa"/>
            <w:vAlign w:val="bottom"/>
            <w:tcBorders>
              <w:bottom w:val="single" w:sz="8" w:color="00162F"/>
            </w:tcBorders>
            <w:gridSpan w:val="7"/>
          </w:tcPr>
          <w:p>
            <w:pPr>
              <w:jc w:val="right"/>
              <w:spacing w:after="0"/>
              <w:rPr>
                <w:sz w:val="20"/>
                <w:szCs w:val="20"/>
                <w:color w:val="auto"/>
              </w:rPr>
            </w:pPr>
            <w:r>
              <w:rPr>
                <w:rFonts w:ascii="Arial" w:cs="Arial" w:eastAsia="Arial" w:hAnsi="Arial"/>
                <w:sz w:val="16"/>
                <w:szCs w:val="16"/>
                <w:b w:val="1"/>
                <w:bCs w:val="1"/>
                <w:color w:val="00162F"/>
              </w:rPr>
              <w:t>Pension Benefits</w:t>
            </w:r>
          </w:p>
        </w:tc>
        <w:tc>
          <w:tcPr>
            <w:tcW w:w="1040" w:type="dxa"/>
            <w:vAlign w:val="bottom"/>
            <w:tcBorders>
              <w:bottom w:val="single" w:sz="8" w:color="00162F"/>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bottom w:val="single" w:sz="8" w:color="00162F"/>
            </w:tcBorders>
          </w:tcPr>
          <w:p>
            <w:pPr>
              <w:spacing w:after="0"/>
              <w:rPr>
                <w:sz w:val="20"/>
                <w:szCs w:val="20"/>
                <w:color w:val="auto"/>
              </w:rPr>
            </w:pPr>
          </w:p>
        </w:tc>
        <w:tc>
          <w:tcPr>
            <w:tcW w:w="20" w:type="dxa"/>
            <w:vAlign w:val="bottom"/>
            <w:tcBorders>
              <w:bottom w:val="single" w:sz="8" w:color="00162F"/>
            </w:tcBorders>
          </w:tcPr>
          <w:p>
            <w:pPr>
              <w:spacing w:after="0"/>
              <w:rPr>
                <w:sz w:val="20"/>
                <w:szCs w:val="20"/>
                <w:color w:val="auto"/>
              </w:rPr>
            </w:pPr>
          </w:p>
        </w:tc>
        <w:tc>
          <w:tcPr>
            <w:tcW w:w="20" w:type="dxa"/>
            <w:vAlign w:val="bottom"/>
            <w:tcBorders>
              <w:bottom w:val="single" w:sz="8" w:color="00162F"/>
            </w:tcBorders>
          </w:tcPr>
          <w:p>
            <w:pPr>
              <w:spacing w:after="0"/>
              <w:rPr>
                <w:sz w:val="20"/>
                <w:szCs w:val="20"/>
                <w:color w:val="auto"/>
              </w:rPr>
            </w:pPr>
          </w:p>
        </w:tc>
        <w:tc>
          <w:tcPr>
            <w:tcW w:w="20" w:type="dxa"/>
            <w:vAlign w:val="bottom"/>
            <w:tcBorders>
              <w:bottom w:val="single" w:sz="8" w:color="00162F"/>
            </w:tcBorders>
          </w:tcPr>
          <w:p>
            <w:pPr>
              <w:spacing w:after="0"/>
              <w:rPr>
                <w:sz w:val="20"/>
                <w:szCs w:val="20"/>
                <w:color w:val="auto"/>
              </w:rPr>
            </w:pPr>
          </w:p>
        </w:tc>
        <w:tc>
          <w:tcPr>
            <w:tcW w:w="960" w:type="dxa"/>
            <w:vAlign w:val="bottom"/>
            <w:tcBorders>
              <w:bottom w:val="single" w:sz="8" w:color="00162F"/>
            </w:tcBorders>
            <w:gridSpan w:val="4"/>
          </w:tcPr>
          <w:p>
            <w:pPr>
              <w:jc w:val="right"/>
              <w:ind w:right="512"/>
              <w:spacing w:after="0"/>
              <w:rPr>
                <w:sz w:val="20"/>
                <w:szCs w:val="20"/>
                <w:color w:val="auto"/>
              </w:rPr>
            </w:pPr>
            <w:r>
              <w:rPr>
                <w:rFonts w:ascii="Arial" w:cs="Arial" w:eastAsia="Arial" w:hAnsi="Arial"/>
                <w:sz w:val="16"/>
                <w:szCs w:val="16"/>
                <w:b w:val="1"/>
                <w:bCs w:val="1"/>
                <w:color w:val="00162F"/>
                <w:w w:val="95"/>
              </w:rPr>
              <w:t>2025</w:t>
            </w:r>
          </w:p>
        </w:tc>
        <w:tc>
          <w:tcPr>
            <w:tcW w:w="80" w:type="dxa"/>
            <w:vAlign w:val="bottom"/>
            <w:tcBorders>
              <w:bottom w:val="single" w:sz="8" w:color="00162F"/>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20" w:type="dxa"/>
            <w:vAlign w:val="bottom"/>
            <w:tcBorders>
              <w:bottom w:val="single" w:sz="8" w:color="00162F"/>
            </w:tcBorders>
          </w:tcPr>
          <w:p>
            <w:pPr>
              <w:spacing w:after="0"/>
              <w:rPr>
                <w:sz w:val="20"/>
                <w:szCs w:val="20"/>
                <w:color w:val="auto"/>
              </w:rPr>
            </w:pPr>
          </w:p>
        </w:tc>
        <w:tc>
          <w:tcPr>
            <w:tcW w:w="60" w:type="dxa"/>
            <w:vAlign w:val="bottom"/>
            <w:tcBorders>
              <w:bottom w:val="single" w:sz="8" w:color="00162F"/>
            </w:tcBorders>
          </w:tcPr>
          <w:p>
            <w:pPr>
              <w:spacing w:after="0"/>
              <w:rPr>
                <w:sz w:val="20"/>
                <w:szCs w:val="20"/>
                <w:color w:val="auto"/>
              </w:rPr>
            </w:pPr>
          </w:p>
        </w:tc>
        <w:tc>
          <w:tcPr>
            <w:tcW w:w="300" w:type="dxa"/>
            <w:vAlign w:val="bottom"/>
            <w:tcBorders>
              <w:bottom w:val="single" w:sz="8" w:color="00162F"/>
            </w:tcBorders>
          </w:tcPr>
          <w:p>
            <w:pPr>
              <w:spacing w:after="0"/>
              <w:rPr>
                <w:sz w:val="20"/>
                <w:szCs w:val="20"/>
                <w:color w:val="auto"/>
              </w:rPr>
            </w:pPr>
          </w:p>
        </w:tc>
        <w:tc>
          <w:tcPr>
            <w:tcW w:w="1040" w:type="dxa"/>
            <w:vAlign w:val="bottom"/>
            <w:tcBorders>
              <w:bottom w:val="single" w:sz="8" w:color="00162F"/>
            </w:tcBorders>
          </w:tcPr>
          <w:p>
            <w:pPr>
              <w:jc w:val="right"/>
              <w:ind w:right="566"/>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7"/>
          </w:tcPr>
          <w:p>
            <w:pPr>
              <w:jc w:val="right"/>
              <w:ind w:right="121"/>
              <w:spacing w:after="0"/>
              <w:rPr>
                <w:sz w:val="20"/>
                <w:szCs w:val="20"/>
                <w:color w:val="auto"/>
              </w:rPr>
            </w:pPr>
            <w:r>
              <w:rPr>
                <w:rFonts w:ascii="Arial" w:cs="Arial" w:eastAsia="Arial" w:hAnsi="Arial"/>
                <w:sz w:val="16"/>
                <w:szCs w:val="16"/>
                <w:b w:val="1"/>
                <w:bCs w:val="1"/>
                <w:color w:val="00162F"/>
              </w:rPr>
              <w:t>(In millions)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Borders>
              <w:bottom w:val="single" w:sz="8" w:color="EDEDED"/>
            </w:tcBorders>
            <w:shd w:val="clear" w:color="auto" w:fill="EDEDED"/>
          </w:tcPr>
          <w:p>
            <w:pPr>
              <w:spacing w:after="0"/>
              <w:rPr>
                <w:sz w:val="24"/>
                <w:szCs w:val="24"/>
                <w:color w:val="auto"/>
              </w:rPr>
            </w:pPr>
          </w:p>
        </w:tc>
        <w:tc>
          <w:tcPr>
            <w:tcW w:w="1760" w:type="dxa"/>
            <w:vAlign w:val="bottom"/>
            <w:tcBorders>
              <w:bottom w:val="single" w:sz="8" w:color="00162F"/>
            </w:tcBorders>
            <w:shd w:val="clear" w:color="auto" w:fill="EDEDED"/>
          </w:tcPr>
          <w:p>
            <w:pPr>
              <w:spacing w:after="0"/>
              <w:rPr>
                <w:sz w:val="20"/>
                <w:szCs w:val="20"/>
                <w:color w:val="auto"/>
              </w:rPr>
            </w:pPr>
            <w:r>
              <w:rPr>
                <w:rFonts w:ascii="Arial" w:cs="Arial" w:eastAsia="Arial" w:hAnsi="Arial"/>
                <w:sz w:val="20"/>
                <w:szCs w:val="20"/>
                <w:color w:val="00162F"/>
                <w:w w:val="98"/>
              </w:rPr>
              <w:t>As of December 31:</w:t>
            </w:r>
          </w:p>
        </w:tc>
        <w:tc>
          <w:tcPr>
            <w:tcW w:w="3300" w:type="dxa"/>
            <w:vAlign w:val="bottom"/>
            <w:tcBorders>
              <w:bottom w:val="single" w:sz="8" w:color="EDEDED"/>
            </w:tcBorders>
            <w:gridSpan w:val="2"/>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EDEDED"/>
            </w:tcBorders>
            <w:shd w:val="clear" w:color="auto" w:fill="EDEDED"/>
          </w:tcPr>
          <w:p>
            <w:pPr>
              <w:spacing w:after="0"/>
              <w:rPr>
                <w:sz w:val="24"/>
                <w:szCs w:val="24"/>
                <w:color w:val="auto"/>
              </w:rPr>
            </w:pPr>
          </w:p>
        </w:tc>
        <w:tc>
          <w:tcPr>
            <w:tcW w:w="7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0"/>
                <w:szCs w:val="20"/>
                <w:color w:val="00162F"/>
              </w:rPr>
              <w:t>Projected benefit obligation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336"/>
              <w:spacing w:after="0"/>
              <w:rPr>
                <w:sz w:val="20"/>
                <w:szCs w:val="20"/>
                <w:color w:val="auto"/>
              </w:rPr>
            </w:pPr>
            <w:r>
              <w:rPr>
                <w:rFonts w:ascii="Arial" w:cs="Arial" w:eastAsia="Arial" w:hAnsi="Arial"/>
                <w:sz w:val="20"/>
                <w:szCs w:val="20"/>
                <w:color w:val="00162F"/>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center"/>
              <w:ind w:left="132"/>
              <w:spacing w:after="0"/>
              <w:rPr>
                <w:sz w:val="20"/>
                <w:szCs w:val="20"/>
                <w:color w:val="auto"/>
              </w:rPr>
            </w:pPr>
            <w:r>
              <w:rPr>
                <w:rFonts w:ascii="Arial" w:cs="Arial" w:eastAsia="Arial" w:hAnsi="Arial"/>
                <w:sz w:val="20"/>
                <w:szCs w:val="20"/>
                <w:color w:val="00162F"/>
                <w:w w:val="99"/>
              </w:rPr>
              <w:t>8,807</w:t>
            </w:r>
          </w:p>
        </w:tc>
        <w:tc>
          <w:tcPr>
            <w:tcW w:w="400" w:type="dxa"/>
            <w:vAlign w:val="bottom"/>
            <w:gridSpan w:val="3"/>
          </w:tcPr>
          <w:p>
            <w:pPr>
              <w:jc w:val="right"/>
              <w:ind w:right="100"/>
              <w:spacing w:after="0"/>
              <w:rPr>
                <w:sz w:val="20"/>
                <w:szCs w:val="20"/>
                <w:color w:val="auto"/>
              </w:rPr>
            </w:pPr>
            <w:r>
              <w:rPr>
                <w:rFonts w:ascii="Arial" w:cs="Arial" w:eastAsia="Arial" w:hAnsi="Arial"/>
                <w:sz w:val="20"/>
                <w:szCs w:val="20"/>
                <w:color w:val="00162F"/>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13,258</w:t>
            </w:r>
          </w:p>
        </w:tc>
        <w:tc>
          <w:tcPr>
            <w:tcW w:w="0" w:type="dxa"/>
            <w:vAlign w:val="bottom"/>
          </w:tcPr>
          <w:p>
            <w:pPr>
              <w:spacing w:after="0"/>
              <w:rPr>
                <w:sz w:val="1"/>
                <w:szCs w:val="1"/>
                <w:color w:val="auto"/>
              </w:rPr>
            </w:pPr>
          </w:p>
        </w:tc>
      </w:tr>
      <w:tr>
        <w:trPr>
          <w:trHeight w:val="301"/>
        </w:trPr>
        <w:tc>
          <w:tcPr>
            <w:tcW w:w="40" w:type="dxa"/>
            <w:vAlign w:val="bottom"/>
            <w:shd w:val="clear" w:color="auto" w:fill="EDEDED"/>
          </w:tcPr>
          <w:p>
            <w:pPr>
              <w:spacing w:after="0"/>
              <w:rPr>
                <w:sz w:val="24"/>
                <w:szCs w:val="24"/>
                <w:color w:val="auto"/>
              </w:rPr>
            </w:pPr>
          </w:p>
        </w:tc>
        <w:tc>
          <w:tcPr>
            <w:tcW w:w="5060" w:type="dxa"/>
            <w:vAlign w:val="bottom"/>
            <w:gridSpan w:val="3"/>
            <w:shd w:val="clear" w:color="auto" w:fill="EDEDED"/>
          </w:tcPr>
          <w:p>
            <w:pPr>
              <w:spacing w:after="0"/>
              <w:rPr>
                <w:sz w:val="20"/>
                <w:szCs w:val="20"/>
                <w:color w:val="auto"/>
              </w:rPr>
            </w:pPr>
            <w:r>
              <w:rPr>
                <w:rFonts w:ascii="Arial" w:cs="Arial" w:eastAsia="Arial" w:hAnsi="Arial"/>
                <w:sz w:val="20"/>
                <w:szCs w:val="20"/>
                <w:color w:val="00162F"/>
              </w:rPr>
              <w:t>Fair value of plan assets</w:t>
            </w:r>
          </w:p>
        </w:tc>
        <w:tc>
          <w:tcPr>
            <w:tcW w:w="2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42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720" w:type="dxa"/>
            <w:vAlign w:val="bottom"/>
            <w:shd w:val="clear" w:color="auto" w:fill="EDEDED"/>
          </w:tcPr>
          <w:p>
            <w:pPr>
              <w:jc w:val="center"/>
              <w:ind w:left="132"/>
              <w:spacing w:after="0"/>
              <w:rPr>
                <w:sz w:val="20"/>
                <w:szCs w:val="20"/>
                <w:color w:val="auto"/>
              </w:rPr>
            </w:pPr>
            <w:r>
              <w:rPr>
                <w:rFonts w:ascii="Arial" w:cs="Arial" w:eastAsia="Arial" w:hAnsi="Arial"/>
                <w:sz w:val="20"/>
                <w:szCs w:val="20"/>
                <w:color w:val="00162F"/>
                <w:w w:val="99"/>
              </w:rPr>
              <w:t>8,209</w:t>
            </w:r>
          </w:p>
        </w:tc>
        <w:tc>
          <w:tcPr>
            <w:tcW w:w="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12,175</w:t>
            </w:r>
          </w:p>
        </w:tc>
        <w:tc>
          <w:tcPr>
            <w:tcW w:w="0" w:type="dxa"/>
            <w:vAlign w:val="bottom"/>
          </w:tcPr>
          <w:p>
            <w:pPr>
              <w:spacing w:after="0"/>
              <w:rPr>
                <w:sz w:val="1"/>
                <w:szCs w:val="1"/>
                <w:color w:val="auto"/>
              </w:rPr>
            </w:pPr>
          </w:p>
        </w:tc>
      </w:tr>
      <w:tr>
        <w:trPr>
          <w:trHeight w:val="584"/>
        </w:trPr>
        <w:tc>
          <w:tcPr>
            <w:tcW w:w="40" w:type="dxa"/>
            <w:vAlign w:val="bottom"/>
          </w:tcPr>
          <w:p>
            <w:pPr>
              <w:spacing w:after="0"/>
              <w:rPr>
                <w:sz w:val="24"/>
                <w:szCs w:val="24"/>
                <w:color w:val="auto"/>
              </w:rPr>
            </w:pPr>
          </w:p>
        </w:tc>
        <w:tc>
          <w:tcPr>
            <w:tcW w:w="7860" w:type="dxa"/>
            <w:vAlign w:val="bottom"/>
            <w:gridSpan w:val="16"/>
          </w:tcPr>
          <w:p>
            <w:pPr>
              <w:ind w:left="220"/>
              <w:spacing w:after="0"/>
              <w:rPr>
                <w:sz w:val="20"/>
                <w:szCs w:val="20"/>
                <w:color w:val="auto"/>
              </w:rPr>
            </w:pPr>
            <w:r>
              <w:rPr>
                <w:rFonts w:ascii="Arial" w:cs="Arial" w:eastAsia="Arial" w:hAnsi="Arial"/>
                <w:sz w:val="20"/>
                <w:szCs w:val="20"/>
                <w:b w:val="1"/>
                <w:bCs w:val="1"/>
                <w:i w:val="1"/>
                <w:iCs w:val="1"/>
                <w:color w:val="00162F"/>
                <w:w w:val="99"/>
              </w:rPr>
              <w:t>Plans with Accumulated Benefit Obligations Exceeding Fair Value of Plan Assets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11"/>
            <w:vMerge w:val="restart"/>
          </w:tcPr>
          <w:p>
            <w:pPr>
              <w:ind w:left="380"/>
              <w:spacing w:after="0"/>
              <w:rPr>
                <w:sz w:val="20"/>
                <w:szCs w:val="20"/>
                <w:color w:val="auto"/>
              </w:rPr>
            </w:pPr>
            <w:r>
              <w:rPr>
                <w:rFonts w:ascii="Arial" w:cs="Arial" w:eastAsia="Arial" w:hAnsi="Arial"/>
                <w:sz w:val="16"/>
                <w:szCs w:val="16"/>
                <w:b w:val="1"/>
                <w:bCs w:val="1"/>
                <w:color w:val="00162F"/>
              </w:rPr>
              <w:t>Pension Benefits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8"/>
          </w:tcPr>
          <w:p>
            <w:pPr>
              <w:jc w:val="center"/>
              <w:ind w:right="126"/>
              <w:spacing w:after="0"/>
              <w:rPr>
                <w:sz w:val="20"/>
                <w:szCs w:val="20"/>
                <w:color w:val="auto"/>
              </w:rPr>
            </w:pPr>
            <w:r>
              <w:rPr>
                <w:rFonts w:ascii="Arial" w:cs="Arial" w:eastAsia="Arial" w:hAnsi="Arial"/>
                <w:sz w:val="16"/>
                <w:szCs w:val="16"/>
                <w:b w:val="1"/>
                <w:bCs w:val="1"/>
                <w:color w:val="00162F"/>
                <w:w w:val="98"/>
              </w:rPr>
              <w:t>Retiree Medical and</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11"/>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8"/>
          </w:tcPr>
          <w:p>
            <w:pPr>
              <w:jc w:val="center"/>
              <w:ind w:right="126"/>
              <w:spacing w:after="0"/>
              <w:rPr>
                <w:sz w:val="20"/>
                <w:szCs w:val="20"/>
                <w:color w:val="auto"/>
              </w:rPr>
            </w:pPr>
            <w:r>
              <w:rPr>
                <w:rFonts w:ascii="Arial" w:cs="Arial" w:eastAsia="Arial" w:hAnsi="Arial"/>
                <w:sz w:val="16"/>
                <w:szCs w:val="16"/>
                <w:b w:val="1"/>
                <w:bCs w:val="1"/>
                <w:color w:val="00162F"/>
                <w:w w:val="98"/>
              </w:rPr>
              <w:t>Other Postretirement Benefits</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 w:type="dxa"/>
            <w:vAlign w:val="bottom"/>
            <w:tcBorders>
              <w:top w:val="single" w:sz="8" w:color="00162F"/>
              <w:bottom w:val="single" w:sz="8" w:color="00162F"/>
            </w:tcBorders>
          </w:tcPr>
          <w:p>
            <w:pPr>
              <w:spacing w:after="0"/>
              <w:rPr>
                <w:sz w:val="20"/>
                <w:szCs w:val="20"/>
                <w:color w:val="auto"/>
              </w:rPr>
            </w:pPr>
          </w:p>
        </w:tc>
        <w:tc>
          <w:tcPr>
            <w:tcW w:w="20" w:type="dxa"/>
            <w:vAlign w:val="bottom"/>
            <w:tcBorders>
              <w:top w:val="single" w:sz="8" w:color="00162F"/>
              <w:bottom w:val="single" w:sz="8" w:color="00162F"/>
            </w:tcBorders>
          </w:tcPr>
          <w:p>
            <w:pPr>
              <w:spacing w:after="0"/>
              <w:rPr>
                <w:sz w:val="20"/>
                <w:szCs w:val="20"/>
                <w:color w:val="auto"/>
              </w:rPr>
            </w:pPr>
          </w:p>
        </w:tc>
        <w:tc>
          <w:tcPr>
            <w:tcW w:w="300" w:type="dxa"/>
            <w:vAlign w:val="bottom"/>
            <w:tcBorders>
              <w:top w:val="single" w:sz="8" w:color="00162F"/>
              <w:bottom w:val="single" w:sz="8" w:color="00162F"/>
            </w:tcBorders>
          </w:tcPr>
          <w:p>
            <w:pPr>
              <w:spacing w:after="0"/>
              <w:rPr>
                <w:sz w:val="20"/>
                <w:szCs w:val="20"/>
                <w:color w:val="auto"/>
              </w:rPr>
            </w:pPr>
          </w:p>
        </w:tc>
        <w:tc>
          <w:tcPr>
            <w:tcW w:w="980" w:type="dxa"/>
            <w:vAlign w:val="bottom"/>
            <w:tcBorders>
              <w:top w:val="single" w:sz="8" w:color="00162F"/>
              <w:bottom w:val="single" w:sz="8" w:color="00162F"/>
            </w:tcBorders>
          </w:tcPr>
          <w:p>
            <w:pPr>
              <w:jc w:val="right"/>
              <w:ind w:right="409"/>
              <w:spacing w:after="0"/>
              <w:rPr>
                <w:sz w:val="20"/>
                <w:szCs w:val="20"/>
                <w:color w:val="auto"/>
              </w:rPr>
            </w:pPr>
            <w:r>
              <w:rPr>
                <w:rFonts w:ascii="Arial" w:cs="Arial" w:eastAsia="Arial" w:hAnsi="Arial"/>
                <w:sz w:val="16"/>
                <w:szCs w:val="16"/>
                <w:b w:val="1"/>
                <w:bCs w:val="1"/>
                <w:color w:val="00162F"/>
              </w:rPr>
              <w:t>2025</w:t>
            </w:r>
          </w:p>
        </w:tc>
        <w:tc>
          <w:tcPr>
            <w:tcW w:w="40" w:type="dxa"/>
            <w:vAlign w:val="bottom"/>
            <w:tcBorders>
              <w:top w:val="single" w:sz="8" w:color="00162F"/>
            </w:tcBorders>
          </w:tcPr>
          <w:p>
            <w:pPr>
              <w:spacing w:after="0"/>
              <w:rPr>
                <w:sz w:val="20"/>
                <w:szCs w:val="20"/>
                <w:color w:val="auto"/>
              </w:rPr>
            </w:pPr>
          </w:p>
        </w:tc>
        <w:tc>
          <w:tcPr>
            <w:tcW w:w="20" w:type="dxa"/>
            <w:vAlign w:val="bottom"/>
            <w:tcBorders>
              <w:top w:val="single" w:sz="8" w:color="00162F"/>
            </w:tcBorders>
          </w:tcPr>
          <w:p>
            <w:pPr>
              <w:spacing w:after="0"/>
              <w:rPr>
                <w:sz w:val="20"/>
                <w:szCs w:val="20"/>
                <w:color w:val="auto"/>
              </w:rPr>
            </w:pPr>
          </w:p>
        </w:tc>
        <w:tc>
          <w:tcPr>
            <w:tcW w:w="20" w:type="dxa"/>
            <w:vAlign w:val="bottom"/>
            <w:tcBorders>
              <w:top w:val="single" w:sz="8" w:color="00162F"/>
            </w:tcBorders>
          </w:tcPr>
          <w:p>
            <w:pPr>
              <w:spacing w:after="0"/>
              <w:rPr>
                <w:sz w:val="20"/>
                <w:szCs w:val="20"/>
                <w:color w:val="auto"/>
              </w:rPr>
            </w:pPr>
          </w:p>
        </w:tc>
        <w:tc>
          <w:tcPr>
            <w:tcW w:w="40" w:type="dxa"/>
            <w:vAlign w:val="bottom"/>
            <w:tcBorders>
              <w:top w:val="single" w:sz="8" w:color="00162F"/>
              <w:bottom w:val="single" w:sz="8" w:color="00162F"/>
            </w:tcBorders>
          </w:tcPr>
          <w:p>
            <w:pPr>
              <w:spacing w:after="0"/>
              <w:rPr>
                <w:sz w:val="20"/>
                <w:szCs w:val="20"/>
                <w:color w:val="auto"/>
              </w:rPr>
            </w:pPr>
          </w:p>
        </w:tc>
        <w:tc>
          <w:tcPr>
            <w:tcW w:w="320" w:type="dxa"/>
            <w:vAlign w:val="bottom"/>
            <w:tcBorders>
              <w:top w:val="single" w:sz="8" w:color="00162F"/>
              <w:bottom w:val="single" w:sz="8" w:color="00162F"/>
            </w:tcBorders>
          </w:tcPr>
          <w:p>
            <w:pPr>
              <w:spacing w:after="0"/>
              <w:rPr>
                <w:sz w:val="20"/>
                <w:szCs w:val="20"/>
                <w:color w:val="auto"/>
              </w:rPr>
            </w:pPr>
          </w:p>
        </w:tc>
        <w:tc>
          <w:tcPr>
            <w:tcW w:w="1000" w:type="dxa"/>
            <w:vAlign w:val="bottom"/>
            <w:tcBorders>
              <w:top w:val="single" w:sz="8" w:color="00162F"/>
              <w:bottom w:val="single" w:sz="8" w:color="00162F"/>
            </w:tcBorders>
            <w:gridSpan w:val="2"/>
          </w:tcPr>
          <w:p>
            <w:pPr>
              <w:jc w:val="right"/>
              <w:ind w:right="416"/>
              <w:spacing w:after="0"/>
              <w:rPr>
                <w:sz w:val="20"/>
                <w:szCs w:val="20"/>
                <w:color w:val="auto"/>
              </w:rPr>
            </w:pPr>
            <w:r>
              <w:rPr>
                <w:rFonts w:ascii="Arial" w:cs="Arial" w:eastAsia="Arial" w:hAnsi="Arial"/>
                <w:sz w:val="16"/>
                <w:szCs w:val="16"/>
                <w:b w:val="1"/>
                <w:bCs w:val="1"/>
                <w:color w:val="00162F"/>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162F"/>
              <w:bottom w:val="single" w:sz="8" w:color="00162F"/>
            </w:tcBorders>
          </w:tcPr>
          <w:p>
            <w:pPr>
              <w:spacing w:after="0"/>
              <w:rPr>
                <w:sz w:val="20"/>
                <w:szCs w:val="20"/>
                <w:color w:val="auto"/>
              </w:rPr>
            </w:pPr>
          </w:p>
        </w:tc>
        <w:tc>
          <w:tcPr>
            <w:tcW w:w="20" w:type="dxa"/>
            <w:vAlign w:val="bottom"/>
            <w:tcBorders>
              <w:top w:val="single" w:sz="8" w:color="00162F"/>
              <w:bottom w:val="single" w:sz="8" w:color="00162F"/>
            </w:tcBorders>
          </w:tcPr>
          <w:p>
            <w:pPr>
              <w:spacing w:after="0"/>
              <w:rPr>
                <w:sz w:val="20"/>
                <w:szCs w:val="20"/>
                <w:color w:val="auto"/>
              </w:rPr>
            </w:pPr>
          </w:p>
        </w:tc>
        <w:tc>
          <w:tcPr>
            <w:tcW w:w="200" w:type="dxa"/>
            <w:vAlign w:val="bottom"/>
            <w:tcBorders>
              <w:top w:val="single" w:sz="8" w:color="00162F"/>
              <w:bottom w:val="single" w:sz="8" w:color="00162F"/>
            </w:tcBorders>
          </w:tcPr>
          <w:p>
            <w:pPr>
              <w:spacing w:after="0"/>
              <w:rPr>
                <w:sz w:val="20"/>
                <w:szCs w:val="20"/>
                <w:color w:val="auto"/>
              </w:rPr>
            </w:pPr>
          </w:p>
        </w:tc>
        <w:tc>
          <w:tcPr>
            <w:tcW w:w="720" w:type="dxa"/>
            <w:vAlign w:val="bottom"/>
            <w:tcBorders>
              <w:top w:val="single" w:sz="8" w:color="00162F"/>
              <w:bottom w:val="single" w:sz="8" w:color="00162F"/>
            </w:tcBorders>
          </w:tcPr>
          <w:p>
            <w:pPr>
              <w:jc w:val="right"/>
              <w:ind w:right="12"/>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top w:val="single" w:sz="8" w:color="00162F"/>
              <w:bottom w:val="single" w:sz="8" w:color="00162F"/>
            </w:tcBorders>
          </w:tcPr>
          <w:p>
            <w:pPr>
              <w:spacing w:after="0"/>
              <w:rPr>
                <w:sz w:val="20"/>
                <w:szCs w:val="20"/>
                <w:color w:val="auto"/>
              </w:rPr>
            </w:pPr>
          </w:p>
        </w:tc>
        <w:tc>
          <w:tcPr>
            <w:tcW w:w="60" w:type="dxa"/>
            <w:vAlign w:val="bottom"/>
            <w:tcBorders>
              <w:top w:val="single" w:sz="8" w:color="00162F"/>
              <w:bottom w:val="single" w:sz="8" w:color="00162F"/>
            </w:tcBorders>
          </w:tcPr>
          <w:p>
            <w:pPr>
              <w:spacing w:after="0"/>
              <w:rPr>
                <w:sz w:val="20"/>
                <w:szCs w:val="20"/>
                <w:color w:val="auto"/>
              </w:rPr>
            </w:pPr>
          </w:p>
        </w:tc>
        <w:tc>
          <w:tcPr>
            <w:tcW w:w="260" w:type="dxa"/>
            <w:vAlign w:val="bottom"/>
            <w:tcBorders>
              <w:top w:val="single" w:sz="8" w:color="00162F"/>
              <w:bottom w:val="single" w:sz="8" w:color="00162F"/>
            </w:tcBorders>
          </w:tcPr>
          <w:p>
            <w:pPr>
              <w:spacing w:after="0"/>
              <w:rPr>
                <w:sz w:val="20"/>
                <w:szCs w:val="20"/>
                <w:color w:val="auto"/>
              </w:rPr>
            </w:pPr>
          </w:p>
        </w:tc>
        <w:tc>
          <w:tcPr>
            <w:tcW w:w="20" w:type="dxa"/>
            <w:vAlign w:val="bottom"/>
            <w:tcBorders>
              <w:top w:val="single" w:sz="8" w:color="00162F"/>
            </w:tcBorders>
          </w:tcPr>
          <w:p>
            <w:pPr>
              <w:spacing w:after="0"/>
              <w:rPr>
                <w:sz w:val="20"/>
                <w:szCs w:val="20"/>
                <w:color w:val="auto"/>
              </w:rPr>
            </w:pPr>
          </w:p>
        </w:tc>
        <w:tc>
          <w:tcPr>
            <w:tcW w:w="60" w:type="dxa"/>
            <w:vAlign w:val="bottom"/>
            <w:tcBorders>
              <w:top w:val="single" w:sz="8" w:color="00162F"/>
            </w:tcBorders>
          </w:tcPr>
          <w:p>
            <w:pPr>
              <w:spacing w:after="0"/>
              <w:rPr>
                <w:sz w:val="20"/>
                <w:szCs w:val="20"/>
                <w:color w:val="auto"/>
              </w:rPr>
            </w:pPr>
          </w:p>
        </w:tc>
        <w:tc>
          <w:tcPr>
            <w:tcW w:w="300" w:type="dxa"/>
            <w:vAlign w:val="bottom"/>
            <w:tcBorders>
              <w:top w:val="single" w:sz="8" w:color="00162F"/>
              <w:bottom w:val="single" w:sz="8" w:color="00162F"/>
            </w:tcBorders>
          </w:tcPr>
          <w:p>
            <w:pPr>
              <w:spacing w:after="0"/>
              <w:rPr>
                <w:sz w:val="20"/>
                <w:szCs w:val="20"/>
                <w:color w:val="auto"/>
              </w:rPr>
            </w:pPr>
          </w:p>
        </w:tc>
        <w:tc>
          <w:tcPr>
            <w:tcW w:w="1040" w:type="dxa"/>
            <w:vAlign w:val="bottom"/>
            <w:tcBorders>
              <w:top w:val="single" w:sz="8" w:color="00162F"/>
              <w:bottom w:val="single" w:sz="8" w:color="00162F"/>
            </w:tcBorders>
          </w:tcPr>
          <w:p>
            <w:pPr>
              <w:jc w:val="right"/>
              <w:ind w:right="406"/>
              <w:spacing w:after="0"/>
              <w:rPr>
                <w:sz w:val="20"/>
                <w:szCs w:val="20"/>
                <w:color w:val="auto"/>
              </w:rPr>
            </w:pPr>
            <w:r>
              <w:rPr>
                <w:rFonts w:ascii="Arial" w:cs="Arial" w:eastAsia="Arial" w:hAnsi="Arial"/>
                <w:sz w:val="16"/>
                <w:szCs w:val="16"/>
                <w:b w:val="1"/>
                <w:bCs w:val="1"/>
                <w:color w:val="00162F"/>
              </w:rPr>
              <w:t>2024</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0" w:type="dxa"/>
            <w:vAlign w:val="bottom"/>
            <w:gridSpan w:val="8"/>
          </w:tcPr>
          <w:p>
            <w:pPr>
              <w:jc w:val="right"/>
              <w:ind w:right="452"/>
              <w:spacing w:after="0"/>
              <w:rPr>
                <w:sz w:val="20"/>
                <w:szCs w:val="20"/>
                <w:color w:val="auto"/>
              </w:rPr>
            </w:pPr>
            <w:r>
              <w:rPr>
                <w:rFonts w:ascii="Arial" w:cs="Arial" w:eastAsia="Arial" w:hAnsi="Arial"/>
                <w:sz w:val="16"/>
                <w:szCs w:val="16"/>
                <w:b w:val="1"/>
                <w:bCs w:val="1"/>
                <w:color w:val="00162F"/>
              </w:rPr>
              <w:t>(In millions)</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Borders>
              <w:bottom w:val="single" w:sz="8" w:color="EDEDED"/>
            </w:tcBorders>
            <w:shd w:val="clear" w:color="auto" w:fill="EDEDED"/>
          </w:tcPr>
          <w:p>
            <w:pPr>
              <w:spacing w:after="0"/>
              <w:rPr>
                <w:sz w:val="24"/>
                <w:szCs w:val="24"/>
                <w:color w:val="auto"/>
              </w:rPr>
            </w:pPr>
          </w:p>
        </w:tc>
        <w:tc>
          <w:tcPr>
            <w:tcW w:w="1760" w:type="dxa"/>
            <w:vAlign w:val="bottom"/>
            <w:tcBorders>
              <w:bottom w:val="single" w:sz="8" w:color="00162F"/>
            </w:tcBorders>
            <w:shd w:val="clear" w:color="auto" w:fill="EDEDED"/>
          </w:tcPr>
          <w:p>
            <w:pPr>
              <w:spacing w:after="0"/>
              <w:rPr>
                <w:sz w:val="20"/>
                <w:szCs w:val="20"/>
                <w:color w:val="auto"/>
              </w:rPr>
            </w:pPr>
            <w:r>
              <w:rPr>
                <w:rFonts w:ascii="Arial" w:cs="Arial" w:eastAsia="Arial" w:hAnsi="Arial"/>
                <w:sz w:val="20"/>
                <w:szCs w:val="20"/>
                <w:color w:val="00162F"/>
                <w:w w:val="98"/>
              </w:rPr>
              <w:t>As of December 31:</w:t>
            </w:r>
          </w:p>
        </w:tc>
        <w:tc>
          <w:tcPr>
            <w:tcW w:w="3300" w:type="dxa"/>
            <w:vAlign w:val="bottom"/>
            <w:tcBorders>
              <w:bottom w:val="single" w:sz="8" w:color="EDEDED"/>
            </w:tcBorders>
            <w:gridSpan w:val="2"/>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42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EDEDED"/>
            </w:tcBorders>
            <w:shd w:val="clear" w:color="auto" w:fill="EDEDED"/>
          </w:tcPr>
          <w:p>
            <w:pPr>
              <w:spacing w:after="0"/>
              <w:rPr>
                <w:sz w:val="24"/>
                <w:szCs w:val="24"/>
                <w:color w:val="auto"/>
              </w:rPr>
            </w:pPr>
          </w:p>
        </w:tc>
        <w:tc>
          <w:tcPr>
            <w:tcW w:w="7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EDEDED"/>
            </w:tcBorders>
            <w:shd w:val="clear" w:color="auto" w:fill="EDEDED"/>
          </w:tcPr>
          <w:p>
            <w:pPr>
              <w:spacing w:after="0"/>
              <w:rPr>
                <w:sz w:val="24"/>
                <w:szCs w:val="24"/>
                <w:color w:val="auto"/>
              </w:rPr>
            </w:pPr>
          </w:p>
        </w:tc>
        <w:tc>
          <w:tcPr>
            <w:tcW w:w="104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0"/>
                <w:szCs w:val="20"/>
                <w:color w:val="00162F"/>
              </w:rPr>
              <w:t>Accumulated benefit obligation</w:t>
            </w:r>
          </w:p>
        </w:tc>
        <w:tc>
          <w:tcPr>
            <w:tcW w:w="320" w:type="dxa"/>
            <w:vAlign w:val="bottom"/>
            <w:gridSpan w:val="2"/>
          </w:tcPr>
          <w:p>
            <w:pPr>
              <w:jc w:val="right"/>
              <w:ind w:right="200"/>
              <w:spacing w:after="0"/>
              <w:rPr>
                <w:sz w:val="20"/>
                <w:szCs w:val="20"/>
                <w:color w:val="auto"/>
              </w:rPr>
            </w:pPr>
            <w:r>
              <w:rPr>
                <w:rFonts w:ascii="Arial" w:cs="Arial" w:eastAsia="Arial" w:hAnsi="Arial"/>
                <w:sz w:val="20"/>
                <w:szCs w:val="20"/>
                <w:color w:val="00162F"/>
                <w:w w:val="89"/>
              </w:rPr>
              <w:t>$</w:t>
            </w:r>
          </w:p>
        </w:tc>
        <w:tc>
          <w:tcPr>
            <w:tcW w:w="980" w:type="dxa"/>
            <w:vAlign w:val="bottom"/>
          </w:tcPr>
          <w:p>
            <w:pPr>
              <w:jc w:val="right"/>
              <w:spacing w:after="0"/>
              <w:rPr>
                <w:sz w:val="20"/>
                <w:szCs w:val="20"/>
                <w:color w:val="auto"/>
              </w:rPr>
            </w:pPr>
            <w:r>
              <w:rPr>
                <w:rFonts w:ascii="Arial" w:cs="Arial" w:eastAsia="Arial" w:hAnsi="Arial"/>
                <w:sz w:val="20"/>
                <w:szCs w:val="20"/>
                <w:color w:val="00162F"/>
              </w:rPr>
              <w:t>8,801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3"/>
          </w:tcPr>
          <w:p>
            <w:pPr>
              <w:jc w:val="right"/>
              <w:ind w:right="101"/>
              <w:spacing w:after="0"/>
              <w:rPr>
                <w:sz w:val="20"/>
                <w:szCs w:val="20"/>
                <w:color w:val="auto"/>
              </w:rPr>
            </w:pPr>
            <w:r>
              <w:rPr>
                <w:rFonts w:ascii="Arial" w:cs="Arial" w:eastAsia="Arial" w:hAnsi="Arial"/>
                <w:sz w:val="20"/>
                <w:szCs w:val="20"/>
                <w:color w:val="00162F"/>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00162F"/>
              </w:rPr>
              <w:t>13,251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20"/>
                <w:szCs w:val="20"/>
                <w:color w:val="00162F"/>
              </w:rPr>
              <w: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20"/>
                <w:szCs w:val="20"/>
                <w:color w:val="00162F"/>
              </w:rPr>
              <w:t>—</w:t>
            </w: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00162F"/>
              </w:rPr>
              <w:t>$</w:t>
            </w:r>
          </w:p>
        </w:tc>
        <w:tc>
          <w:tcPr>
            <w:tcW w:w="1040" w:type="dxa"/>
            <w:vAlign w:val="bottom"/>
          </w:tcPr>
          <w:p>
            <w:pPr>
              <w:jc w:val="right"/>
              <w:spacing w:after="0"/>
              <w:rPr>
                <w:sz w:val="20"/>
                <w:szCs w:val="20"/>
                <w:color w:val="auto"/>
              </w:rPr>
            </w:pPr>
            <w:r>
              <w:rPr>
                <w:rFonts w:ascii="Arial" w:cs="Arial" w:eastAsia="Arial" w:hAnsi="Arial"/>
                <w:sz w:val="20"/>
                <w:szCs w:val="20"/>
                <w:color w:val="00162F"/>
              </w:rPr>
              <w:t>—</w:t>
            </w:r>
          </w:p>
        </w:tc>
        <w:tc>
          <w:tcPr>
            <w:tcW w:w="0" w:type="dxa"/>
            <w:vAlign w:val="bottom"/>
          </w:tcPr>
          <w:p>
            <w:pPr>
              <w:spacing w:after="0"/>
              <w:rPr>
                <w:sz w:val="1"/>
                <w:szCs w:val="1"/>
                <w:color w:val="auto"/>
              </w:rPr>
            </w:pPr>
          </w:p>
        </w:tc>
      </w:tr>
      <w:tr>
        <w:trPr>
          <w:trHeight w:val="301"/>
        </w:trPr>
        <w:tc>
          <w:tcPr>
            <w:tcW w:w="40" w:type="dxa"/>
            <w:vAlign w:val="bottom"/>
            <w:shd w:val="clear" w:color="auto" w:fill="EDEDED"/>
          </w:tcPr>
          <w:p>
            <w:pPr>
              <w:spacing w:after="0"/>
              <w:rPr>
                <w:sz w:val="24"/>
                <w:szCs w:val="24"/>
                <w:color w:val="auto"/>
              </w:rPr>
            </w:pPr>
          </w:p>
        </w:tc>
        <w:tc>
          <w:tcPr>
            <w:tcW w:w="5060" w:type="dxa"/>
            <w:vAlign w:val="bottom"/>
            <w:gridSpan w:val="3"/>
            <w:shd w:val="clear" w:color="auto" w:fill="EDEDED"/>
          </w:tcPr>
          <w:p>
            <w:pPr>
              <w:spacing w:after="0"/>
              <w:rPr>
                <w:sz w:val="20"/>
                <w:szCs w:val="20"/>
                <w:color w:val="auto"/>
              </w:rPr>
            </w:pPr>
            <w:r>
              <w:rPr>
                <w:rFonts w:ascii="Arial" w:cs="Arial" w:eastAsia="Arial" w:hAnsi="Arial"/>
                <w:sz w:val="20"/>
                <w:szCs w:val="20"/>
                <w:color w:val="00162F"/>
              </w:rPr>
              <w:t>Accumulated postretirement benefit obligation</w:t>
            </w:r>
          </w:p>
        </w:tc>
        <w:tc>
          <w:tcPr>
            <w:tcW w:w="2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40" w:type="dxa"/>
            <w:vAlign w:val="bottom"/>
            <w:gridSpan w:val="3"/>
            <w:shd w:val="clear" w:color="auto" w:fill="EDEDED"/>
          </w:tcPr>
          <w:p>
            <w:pPr>
              <w:jc w:val="right"/>
              <w:ind w:right="140"/>
              <w:spacing w:after="0"/>
              <w:rPr>
                <w:sz w:val="20"/>
                <w:szCs w:val="20"/>
                <w:color w:val="auto"/>
              </w:rPr>
            </w:pPr>
            <w:r>
              <w:rPr>
                <w:rFonts w:ascii="Arial" w:cs="Arial" w:eastAsia="Arial" w:hAnsi="Arial"/>
                <w:sz w:val="20"/>
                <w:szCs w:val="20"/>
                <w:color w:val="00162F"/>
              </w:rPr>
              <w:t>—</w:t>
            </w:r>
          </w:p>
        </w:tc>
        <w:tc>
          <w:tcPr>
            <w:tcW w:w="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420" w:type="dxa"/>
            <w:vAlign w:val="bottom"/>
            <w:shd w:val="clear" w:color="auto" w:fill="EDEDED"/>
          </w:tcPr>
          <w:p>
            <w:pPr>
              <w:spacing w:after="0"/>
              <w:rPr>
                <w:sz w:val="24"/>
                <w:szCs w:val="24"/>
                <w:color w:val="auto"/>
              </w:rPr>
            </w:pPr>
          </w:p>
        </w:tc>
        <w:tc>
          <w:tcPr>
            <w:tcW w:w="640" w:type="dxa"/>
            <w:vAlign w:val="bottom"/>
            <w:gridSpan w:val="4"/>
            <w:shd w:val="clear" w:color="auto" w:fill="EDEDED"/>
          </w:tcPr>
          <w:p>
            <w:pPr>
              <w:jc w:val="right"/>
              <w:ind w:right="140"/>
              <w:spacing w:after="0"/>
              <w:rPr>
                <w:sz w:val="20"/>
                <w:szCs w:val="20"/>
                <w:color w:val="auto"/>
              </w:rPr>
            </w:pPr>
            <w:r>
              <w:rPr>
                <w:rFonts w:ascii="Arial" w:cs="Arial" w:eastAsia="Arial" w:hAnsi="Arial"/>
                <w:sz w:val="20"/>
                <w:szCs w:val="20"/>
                <w:color w:val="00162F"/>
              </w:rPr>
              <w:t>—</w:t>
            </w:r>
          </w:p>
        </w:tc>
        <w:tc>
          <w:tcPr>
            <w:tcW w:w="2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120" w:type="dxa"/>
            <w:vAlign w:val="bottom"/>
            <w:gridSpan w:val="4"/>
            <w:shd w:val="clear" w:color="auto" w:fill="EDEDED"/>
          </w:tcPr>
          <w:p>
            <w:pPr>
              <w:jc w:val="right"/>
              <w:ind w:right="80"/>
              <w:spacing w:after="0"/>
              <w:rPr>
                <w:sz w:val="20"/>
                <w:szCs w:val="20"/>
                <w:color w:val="auto"/>
              </w:rPr>
            </w:pPr>
            <w:r>
              <w:rPr>
                <w:rFonts w:ascii="Arial" w:cs="Arial" w:eastAsia="Arial" w:hAnsi="Arial"/>
                <w:sz w:val="20"/>
                <w:szCs w:val="20"/>
                <w:color w:val="00162F"/>
              </w:rPr>
              <w:t>1,258</w:t>
            </w:r>
          </w:p>
        </w:tc>
        <w:tc>
          <w:tcPr>
            <w:tcW w:w="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1,307</w:t>
            </w: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0"/>
                <w:szCs w:val="20"/>
                <w:color w:val="00162F"/>
              </w:rPr>
              <w:t>Fair value of plan assets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0162F"/>
              </w:rPr>
              <w:t>8,209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00162F"/>
              </w:rPr>
              <w:t>12,175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20"/>
                <w:szCs w:val="20"/>
                <w:color w:val="00162F"/>
              </w:rPr>
              <w:t>118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00162F"/>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-5198745</wp:posOffset>
            </wp:positionV>
            <wp:extent cx="2712085" cy="501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7">
                      <a:extLst>
                        <a:ext uri="{28A0092B-C50C-407E-A947-70E740481C1C}"/>
                      </a:extLst>
                    </a:blip>
                    <a:srcRect/>
                    <a:stretch>
                      <a:fillRect/>
                    </a:stretch>
                  </pic:blipFill>
                  <pic:spPr bwMode="auto">
                    <a:xfrm>
                      <a:off x="0" y="0"/>
                      <a:ext cx="2712085" cy="5016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-5022850</wp:posOffset>
            </wp:positionV>
            <wp:extent cx="2690495" cy="755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8">
                      <a:extLst>
                        <a:ext uri="{28A0092B-C50C-407E-A947-70E740481C1C}"/>
                      </a:extLst>
                    </a:blip>
                    <a:srcRect/>
                    <a:stretch>
                      <a:fillRect/>
                    </a:stretch>
                  </pic:blipFill>
                  <pic:spPr bwMode="auto">
                    <a:xfrm>
                      <a:off x="0" y="0"/>
                      <a:ext cx="2690495" cy="75565"/>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-3646805</wp:posOffset>
            </wp:positionV>
            <wp:extent cx="2712085" cy="501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9">
                      <a:extLst>
                        <a:ext uri="{28A0092B-C50C-407E-A947-70E740481C1C}"/>
                      </a:extLst>
                    </a:blip>
                    <a:srcRect/>
                    <a:stretch>
                      <a:fillRect/>
                    </a:stretch>
                  </pic:blipFill>
                  <pic:spPr bwMode="auto">
                    <a:xfrm>
                      <a:off x="0" y="0"/>
                      <a:ext cx="2712085" cy="5016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-3347720</wp:posOffset>
            </wp:positionV>
            <wp:extent cx="2690495" cy="755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0">
                      <a:extLst>
                        <a:ext uri="{28A0092B-C50C-407E-A947-70E740481C1C}"/>
                      </a:extLst>
                    </a:blip>
                    <a:srcRect/>
                    <a:stretch>
                      <a:fillRect/>
                    </a:stretch>
                  </pic:blipFill>
                  <pic:spPr bwMode="auto">
                    <a:xfrm>
                      <a:off x="0" y="0"/>
                      <a:ext cx="2690495" cy="75565"/>
                    </a:xfrm>
                    <a:prstGeom prst="rect">
                      <a:avLst/>
                    </a:prstGeom>
                    <a:noFill/>
                  </pic:spPr>
                </pic:pic>
              </a:graphicData>
            </a:graphic>
          </wp:anchor>
        </w:drawing>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156</w:t>
      </w:r>
    </w:p>
    <w:p>
      <w:pPr>
        <w:sectPr>
          <w:pgSz w:w="11880" w:h="15480" w:orient="portrait"/>
          <w:cols w:equalWidth="0" w:num="1">
            <w:col w:w="10680"/>
          </w:cols>
          <w:pgMar w:left="600" w:top="249" w:right="600" w:bottom="0" w:gutter="0" w:footer="0" w:header="0"/>
          <w:type w:val="continuous"/>
        </w:sectPr>
      </w:pPr>
    </w:p>
    <w:bookmarkStart w:id="157" w:name="page158"/>
    <w:bookmarkEnd w:id="157"/>
    <w:p>
      <w:pPr>
        <w:jc w:val="center"/>
        <w:ind w:right="15"/>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4"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Net Periodic Benefit Cost (Income)</w:t>
      </w:r>
    </w:p>
    <w:p>
      <w:pPr>
        <w:spacing w:after="0" w:line="171"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6"/>
            <w:vMerge w:val="restart"/>
          </w:tcPr>
          <w:p>
            <w:pPr>
              <w:ind w:left="780"/>
              <w:spacing w:after="0"/>
              <w:rPr>
                <w:sz w:val="20"/>
                <w:szCs w:val="20"/>
                <w:color w:val="auto"/>
              </w:rPr>
            </w:pPr>
            <w:r>
              <w:rPr>
                <w:rFonts w:ascii="Arial" w:cs="Arial" w:eastAsia="Arial" w:hAnsi="Arial"/>
                <w:sz w:val="16"/>
                <w:szCs w:val="16"/>
                <w:b w:val="1"/>
                <w:bCs w:val="1"/>
                <w:color w:val="00162F"/>
                <w:w w:val="98"/>
              </w:rPr>
              <w:t>Pension Benefits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6"/>
          </w:tcPr>
          <w:p>
            <w:pPr>
              <w:jc w:val="center"/>
              <w:ind w:left="468"/>
              <w:spacing w:after="0"/>
              <w:rPr>
                <w:sz w:val="20"/>
                <w:szCs w:val="20"/>
                <w:color w:val="auto"/>
              </w:rPr>
            </w:pPr>
            <w:r>
              <w:rPr>
                <w:rFonts w:ascii="Arial" w:cs="Arial" w:eastAsia="Arial" w:hAnsi="Arial"/>
                <w:sz w:val="16"/>
                <w:szCs w:val="16"/>
                <w:b w:val="1"/>
                <w:bCs w:val="1"/>
                <w:color w:val="00162F"/>
                <w:w w:val="98"/>
              </w:rPr>
              <w:t>Retiree Medical and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Borders>
              <w:bottom w:val="single" w:sz="8" w:color="00162F"/>
            </w:tcBorders>
          </w:tcPr>
          <w:p>
            <w:pPr>
              <w:spacing w:after="0"/>
              <w:rPr>
                <w:sz w:val="18"/>
                <w:szCs w:val="18"/>
                <w:color w:val="auto"/>
              </w:rPr>
            </w:pPr>
          </w:p>
        </w:tc>
        <w:tc>
          <w:tcPr>
            <w:tcW w:w="2080" w:type="dxa"/>
            <w:vAlign w:val="bottom"/>
            <w:tcBorders>
              <w:bottom w:val="single" w:sz="8" w:color="00162F"/>
            </w:tcBorders>
            <w:gridSpan w:val="6"/>
            <w:vMerge w:val="continue"/>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820" w:type="dxa"/>
            <w:vAlign w:val="bottom"/>
            <w:tcBorders>
              <w:bottom w:val="single" w:sz="8" w:color="00162F"/>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00162F"/>
            </w:tcBorders>
          </w:tcPr>
          <w:p>
            <w:pPr>
              <w:spacing w:after="0"/>
              <w:rPr>
                <w:sz w:val="18"/>
                <w:szCs w:val="18"/>
                <w:color w:val="auto"/>
              </w:rPr>
            </w:pPr>
          </w:p>
        </w:tc>
        <w:tc>
          <w:tcPr>
            <w:tcW w:w="3140" w:type="dxa"/>
            <w:vAlign w:val="bottom"/>
            <w:tcBorders>
              <w:bottom w:val="single" w:sz="8" w:color="00162F"/>
            </w:tcBorders>
            <w:gridSpan w:val="7"/>
          </w:tcPr>
          <w:p>
            <w:pPr>
              <w:jc w:val="center"/>
              <w:ind w:right="144"/>
              <w:spacing w:after="0"/>
              <w:rPr>
                <w:sz w:val="20"/>
                <w:szCs w:val="20"/>
                <w:color w:val="auto"/>
              </w:rPr>
            </w:pPr>
            <w:r>
              <w:rPr>
                <w:rFonts w:ascii="Arial" w:cs="Arial" w:eastAsia="Arial" w:hAnsi="Arial"/>
                <w:sz w:val="16"/>
                <w:szCs w:val="16"/>
                <w:b w:val="1"/>
                <w:bCs w:val="1"/>
                <w:color w:val="00162F"/>
                <w:w w:val="99"/>
              </w:rPr>
              <w:t>Other Postretirement Benefits</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820" w:type="dxa"/>
            <w:vAlign w:val="bottom"/>
            <w:tcBorders>
              <w:bottom w:val="single" w:sz="8" w:color="00162F"/>
            </w:tcBorders>
          </w:tcPr>
          <w:p>
            <w:pPr>
              <w:jc w:val="right"/>
              <w:ind w:right="286"/>
              <w:spacing w:after="0"/>
              <w:rPr>
                <w:sz w:val="20"/>
                <w:szCs w:val="20"/>
                <w:color w:val="auto"/>
              </w:rPr>
            </w:pPr>
            <w:r>
              <w:rPr>
                <w:rFonts w:ascii="Arial" w:cs="Arial" w:eastAsia="Arial" w:hAnsi="Arial"/>
                <w:sz w:val="16"/>
                <w:szCs w:val="16"/>
                <w:b w:val="1"/>
                <w:bCs w:val="1"/>
                <w:color w:val="00162F"/>
              </w:rPr>
              <w:t>2025</w:t>
            </w:r>
          </w:p>
        </w:tc>
        <w:tc>
          <w:tcPr>
            <w:tcW w:w="60" w:type="dxa"/>
            <w:vAlign w:val="bottom"/>
          </w:tcPr>
          <w:p>
            <w:pPr>
              <w:spacing w:after="0"/>
              <w:rPr>
                <w:sz w:val="20"/>
                <w:szCs w:val="20"/>
                <w:color w:val="auto"/>
              </w:rPr>
            </w:pPr>
          </w:p>
        </w:tc>
        <w:tc>
          <w:tcPr>
            <w:tcW w:w="280" w:type="dxa"/>
            <w:vAlign w:val="bottom"/>
            <w:tcBorders>
              <w:bottom w:val="single" w:sz="8" w:color="00162F"/>
            </w:tcBorders>
          </w:tcPr>
          <w:p>
            <w:pPr>
              <w:spacing w:after="0"/>
              <w:rPr>
                <w:sz w:val="20"/>
                <w:szCs w:val="20"/>
                <w:color w:val="auto"/>
              </w:rPr>
            </w:pPr>
          </w:p>
        </w:tc>
        <w:tc>
          <w:tcPr>
            <w:tcW w:w="820" w:type="dxa"/>
            <w:vAlign w:val="bottom"/>
            <w:tcBorders>
              <w:bottom w:val="single" w:sz="8" w:color="00162F"/>
            </w:tcBorders>
          </w:tcPr>
          <w:p>
            <w:pPr>
              <w:jc w:val="right"/>
              <w:ind w:right="284"/>
              <w:spacing w:after="0"/>
              <w:rPr>
                <w:sz w:val="20"/>
                <w:szCs w:val="20"/>
                <w:color w:val="auto"/>
              </w:rPr>
            </w:pPr>
            <w:r>
              <w:rPr>
                <w:rFonts w:ascii="Arial" w:cs="Arial" w:eastAsia="Arial" w:hAnsi="Arial"/>
                <w:sz w:val="16"/>
                <w:szCs w:val="16"/>
                <w:b w:val="1"/>
                <w:bCs w:val="1"/>
                <w:color w:val="00162F"/>
              </w:rPr>
              <w:t>2024</w:t>
            </w:r>
          </w:p>
        </w:tc>
        <w:tc>
          <w:tcPr>
            <w:tcW w:w="60" w:type="dxa"/>
            <w:vAlign w:val="bottom"/>
          </w:tcPr>
          <w:p>
            <w:pPr>
              <w:spacing w:after="0"/>
              <w:rPr>
                <w:sz w:val="20"/>
                <w:szCs w:val="20"/>
                <w:color w:val="auto"/>
              </w:rPr>
            </w:pPr>
          </w:p>
        </w:tc>
        <w:tc>
          <w:tcPr>
            <w:tcW w:w="40" w:type="dxa"/>
            <w:vAlign w:val="bottom"/>
            <w:tcBorders>
              <w:bottom w:val="single" w:sz="8" w:color="00162F"/>
            </w:tcBorders>
          </w:tcPr>
          <w:p>
            <w:pPr>
              <w:spacing w:after="0"/>
              <w:rPr>
                <w:sz w:val="20"/>
                <w:szCs w:val="20"/>
                <w:color w:val="auto"/>
              </w:rPr>
            </w:pPr>
          </w:p>
        </w:tc>
        <w:tc>
          <w:tcPr>
            <w:tcW w:w="240" w:type="dxa"/>
            <w:vAlign w:val="bottom"/>
            <w:tcBorders>
              <w:bottom w:val="single" w:sz="8" w:color="00162F"/>
            </w:tcBorders>
          </w:tcPr>
          <w:p>
            <w:pPr>
              <w:spacing w:after="0"/>
              <w:rPr>
                <w:sz w:val="20"/>
                <w:szCs w:val="20"/>
                <w:color w:val="auto"/>
              </w:rPr>
            </w:pPr>
          </w:p>
        </w:tc>
        <w:tc>
          <w:tcPr>
            <w:tcW w:w="820" w:type="dxa"/>
            <w:vAlign w:val="bottom"/>
            <w:tcBorders>
              <w:bottom w:val="single" w:sz="8" w:color="00162F"/>
            </w:tcBorders>
          </w:tcPr>
          <w:p>
            <w:pPr>
              <w:jc w:val="right"/>
              <w:ind w:right="286"/>
              <w:spacing w:after="0"/>
              <w:rPr>
                <w:sz w:val="20"/>
                <w:szCs w:val="20"/>
                <w:color w:val="auto"/>
              </w:rPr>
            </w:pPr>
            <w:r>
              <w:rPr>
                <w:rFonts w:ascii="Arial" w:cs="Arial" w:eastAsia="Arial" w:hAnsi="Arial"/>
                <w:sz w:val="16"/>
                <w:szCs w:val="16"/>
                <w:b w:val="1"/>
                <w:bCs w:val="1"/>
                <w:color w:val="00162F"/>
              </w:rPr>
              <w:t>2023</w:t>
            </w:r>
          </w:p>
        </w:tc>
        <w:tc>
          <w:tcPr>
            <w:tcW w:w="60" w:type="dxa"/>
            <w:vAlign w:val="bottom"/>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820" w:type="dxa"/>
            <w:vAlign w:val="bottom"/>
            <w:tcBorders>
              <w:bottom w:val="single" w:sz="8" w:color="00162F"/>
            </w:tcBorders>
          </w:tcPr>
          <w:p>
            <w:pPr>
              <w:jc w:val="right"/>
              <w:ind w:right="268"/>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820" w:type="dxa"/>
            <w:vAlign w:val="bottom"/>
            <w:tcBorders>
              <w:bottom w:val="single" w:sz="8" w:color="00162F"/>
            </w:tcBorders>
          </w:tcPr>
          <w:p>
            <w:pPr>
              <w:jc w:val="center"/>
              <w:ind w:right="164"/>
              <w:spacing w:after="0"/>
              <w:rPr>
                <w:sz w:val="20"/>
                <w:szCs w:val="20"/>
                <w:color w:val="auto"/>
              </w:rPr>
            </w:pPr>
            <w:r>
              <w:rPr>
                <w:rFonts w:ascii="Arial" w:cs="Arial" w:eastAsia="Arial" w:hAnsi="Arial"/>
                <w:sz w:val="16"/>
                <w:szCs w:val="16"/>
                <w:b w:val="1"/>
                <w:bCs w:val="1"/>
                <w:color w:val="00162F"/>
              </w:rPr>
              <w:t>2024</w:t>
            </w:r>
          </w:p>
        </w:tc>
        <w:tc>
          <w:tcPr>
            <w:tcW w:w="80" w:type="dxa"/>
            <w:vAlign w:val="bottom"/>
          </w:tcPr>
          <w:p>
            <w:pPr>
              <w:spacing w:after="0"/>
              <w:rPr>
                <w:sz w:val="20"/>
                <w:szCs w:val="20"/>
                <w:color w:val="auto"/>
              </w:rPr>
            </w:pPr>
          </w:p>
        </w:tc>
        <w:tc>
          <w:tcPr>
            <w:tcW w:w="260" w:type="dxa"/>
            <w:vAlign w:val="bottom"/>
            <w:tcBorders>
              <w:bottom w:val="single" w:sz="8" w:color="00162F"/>
            </w:tcBorders>
          </w:tcPr>
          <w:p>
            <w:pPr>
              <w:spacing w:after="0"/>
              <w:rPr>
                <w:sz w:val="20"/>
                <w:szCs w:val="20"/>
                <w:color w:val="auto"/>
              </w:rPr>
            </w:pPr>
          </w:p>
        </w:tc>
        <w:tc>
          <w:tcPr>
            <w:tcW w:w="820" w:type="dxa"/>
            <w:vAlign w:val="bottom"/>
            <w:tcBorders>
              <w:bottom w:val="single" w:sz="8" w:color="00162F"/>
            </w:tcBorders>
          </w:tcPr>
          <w:p>
            <w:pPr>
              <w:jc w:val="right"/>
              <w:ind w:right="264"/>
              <w:spacing w:after="0"/>
              <w:rPr>
                <w:sz w:val="20"/>
                <w:szCs w:val="20"/>
                <w:color w:val="auto"/>
              </w:rPr>
            </w:pPr>
            <w:r>
              <w:rPr>
                <w:rFonts w:ascii="Arial" w:cs="Arial" w:eastAsia="Arial" w:hAnsi="Arial"/>
                <w:sz w:val="16"/>
                <w:szCs w:val="16"/>
                <w:b w:val="1"/>
                <w:bCs w:val="1"/>
                <w:color w:val="00162F"/>
              </w:rPr>
              <w:t>2023</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gridSpan w:val="4"/>
          </w:tcPr>
          <w:p>
            <w:pPr>
              <w:jc w:val="right"/>
              <w:ind w:right="568"/>
              <w:spacing w:after="0"/>
              <w:rPr>
                <w:sz w:val="20"/>
                <w:szCs w:val="20"/>
                <w:color w:val="auto"/>
              </w:rPr>
            </w:pPr>
            <w:r>
              <w:rPr>
                <w:rFonts w:ascii="Arial" w:cs="Arial" w:eastAsia="Arial" w:hAnsi="Arial"/>
                <w:sz w:val="16"/>
                <w:szCs w:val="16"/>
                <w:b w:val="1"/>
                <w:bCs w:val="1"/>
                <w:color w:val="00162F"/>
              </w:rPr>
              <w:t>(In millions)</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Borders>
              <w:bottom w:val="single" w:sz="8" w:color="EDEDED"/>
            </w:tcBorders>
            <w:shd w:val="clear" w:color="auto" w:fill="EDEDED"/>
          </w:tcPr>
          <w:p>
            <w:pPr>
              <w:spacing w:after="0"/>
              <w:rPr>
                <w:sz w:val="24"/>
                <w:szCs w:val="24"/>
                <w:color w:val="auto"/>
              </w:rPr>
            </w:pPr>
          </w:p>
        </w:tc>
        <w:tc>
          <w:tcPr>
            <w:tcW w:w="3080" w:type="dxa"/>
            <w:vAlign w:val="bottom"/>
            <w:tcBorders>
              <w:bottom w:val="single" w:sz="8" w:color="00162F"/>
            </w:tcBorders>
            <w:shd w:val="clear" w:color="auto" w:fill="EDEDED"/>
          </w:tcPr>
          <w:p>
            <w:pPr>
              <w:spacing w:after="0"/>
              <w:rPr>
                <w:sz w:val="20"/>
                <w:szCs w:val="20"/>
                <w:color w:val="auto"/>
              </w:rPr>
            </w:pPr>
            <w:r>
              <w:rPr>
                <w:rFonts w:ascii="Arial" w:cs="Arial" w:eastAsia="Arial" w:hAnsi="Arial"/>
                <w:sz w:val="20"/>
                <w:szCs w:val="20"/>
                <w:color w:val="00162F"/>
                <w:w w:val="98"/>
              </w:rPr>
              <w:t>For the years ended December 31:</w:t>
            </w:r>
          </w:p>
        </w:tc>
        <w:tc>
          <w:tcPr>
            <w:tcW w:w="70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EDEDED"/>
            </w:tcBorders>
            <w:shd w:val="clear" w:color="auto" w:fill="EDEDED"/>
          </w:tcPr>
          <w:p>
            <w:pPr>
              <w:spacing w:after="0"/>
              <w:rPr>
                <w:sz w:val="24"/>
                <w:szCs w:val="24"/>
                <w:color w:val="auto"/>
              </w:rPr>
            </w:pPr>
          </w:p>
        </w:tc>
        <w:tc>
          <w:tcPr>
            <w:tcW w:w="24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20"/>
                <w:szCs w:val="20"/>
                <w:color w:val="00162F"/>
              </w:rPr>
              <w:t>Defined benefit plans: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shd w:val="clear" w:color="auto" w:fill="EDEDED"/>
          </w:tcPr>
          <w:p>
            <w:pPr>
              <w:spacing w:after="0"/>
              <w:rPr>
                <w:sz w:val="24"/>
                <w:szCs w:val="24"/>
                <w:color w:val="auto"/>
              </w:rPr>
            </w:pPr>
          </w:p>
        </w:tc>
        <w:tc>
          <w:tcPr>
            <w:tcW w:w="3780" w:type="dxa"/>
            <w:vAlign w:val="bottom"/>
            <w:gridSpan w:val="2"/>
            <w:shd w:val="clear" w:color="auto" w:fill="EDEDED"/>
          </w:tcPr>
          <w:p>
            <w:pPr>
              <w:ind w:left="220"/>
              <w:spacing w:after="0"/>
              <w:rPr>
                <w:sz w:val="20"/>
                <w:szCs w:val="20"/>
                <w:color w:val="auto"/>
              </w:rPr>
            </w:pPr>
            <w:r>
              <w:rPr>
                <w:rFonts w:ascii="Arial" w:cs="Arial" w:eastAsia="Arial" w:hAnsi="Arial"/>
                <w:sz w:val="20"/>
                <w:szCs w:val="20"/>
                <w:color w:val="00162F"/>
              </w:rPr>
              <w:t>Service cost</w:t>
            </w:r>
          </w:p>
        </w:tc>
        <w:tc>
          <w:tcPr>
            <w:tcW w:w="260" w:type="dxa"/>
            <w:vAlign w:val="bottom"/>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34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6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240" w:type="dxa"/>
            <w:vAlign w:val="bottom"/>
            <w:shd w:val="clear" w:color="auto" w:fill="EDEDED"/>
          </w:tcPr>
          <w:p>
            <w:pPr>
              <w:jc w:val="right"/>
              <w:ind w:right="21"/>
              <w:spacing w:after="0"/>
              <w:rPr>
                <w:sz w:val="20"/>
                <w:szCs w:val="20"/>
                <w:color w:val="auto"/>
              </w:rPr>
            </w:pPr>
            <w:r>
              <w:rPr>
                <w:rFonts w:ascii="Arial" w:cs="Arial" w:eastAsia="Arial" w:hAnsi="Arial"/>
                <w:sz w:val="20"/>
                <w:szCs w:val="20"/>
                <w:color w:val="00162F"/>
                <w:w w:val="89"/>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3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23</w:t>
            </w:r>
          </w:p>
        </w:tc>
        <w:tc>
          <w:tcPr>
            <w:tcW w:w="34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w:t>
            </w:r>
          </w:p>
        </w:tc>
        <w:tc>
          <w:tcPr>
            <w:tcW w:w="34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w:t>
            </w: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780" w:type="dxa"/>
            <w:vAlign w:val="bottom"/>
            <w:gridSpan w:val="2"/>
          </w:tcPr>
          <w:p>
            <w:pPr>
              <w:ind w:left="220"/>
              <w:spacing w:after="0"/>
              <w:rPr>
                <w:sz w:val="20"/>
                <w:szCs w:val="20"/>
                <w:color w:val="auto"/>
              </w:rPr>
            </w:pPr>
            <w:r>
              <w:rPr>
                <w:rFonts w:ascii="Arial" w:cs="Arial" w:eastAsia="Arial" w:hAnsi="Arial"/>
                <w:sz w:val="20"/>
                <w:szCs w:val="20"/>
                <w:color w:val="00162F"/>
              </w:rPr>
              <w:t>Interest cost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725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718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20"/>
                <w:szCs w:val="20"/>
                <w:color w:val="00162F"/>
              </w:rPr>
              <w:t>753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69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64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55</w:t>
            </w:r>
          </w:p>
        </w:tc>
        <w:tc>
          <w:tcPr>
            <w:tcW w:w="0" w:type="dxa"/>
            <w:vAlign w:val="bottom"/>
          </w:tcPr>
          <w:p>
            <w:pPr>
              <w:spacing w:after="0"/>
              <w:rPr>
                <w:sz w:val="1"/>
                <w:szCs w:val="1"/>
                <w:color w:val="auto"/>
              </w:rPr>
            </w:pPr>
          </w:p>
        </w:tc>
      </w:tr>
      <w:tr>
        <w:trPr>
          <w:trHeight w:val="301"/>
        </w:trPr>
        <w:tc>
          <w:tcPr>
            <w:tcW w:w="40" w:type="dxa"/>
            <w:vAlign w:val="bottom"/>
            <w:shd w:val="clear" w:color="auto" w:fill="EDEDED"/>
          </w:tcPr>
          <w:p>
            <w:pPr>
              <w:spacing w:after="0"/>
              <w:rPr>
                <w:sz w:val="24"/>
                <w:szCs w:val="24"/>
                <w:color w:val="auto"/>
              </w:rPr>
            </w:pPr>
          </w:p>
        </w:tc>
        <w:tc>
          <w:tcPr>
            <w:tcW w:w="3780" w:type="dxa"/>
            <w:vAlign w:val="bottom"/>
            <w:gridSpan w:val="2"/>
            <w:shd w:val="clear" w:color="auto" w:fill="EDEDED"/>
          </w:tcPr>
          <w:p>
            <w:pPr>
              <w:ind w:left="220"/>
              <w:spacing w:after="0"/>
              <w:rPr>
                <w:sz w:val="20"/>
                <w:szCs w:val="20"/>
                <w:color w:val="auto"/>
              </w:rPr>
            </w:pPr>
            <w:r>
              <w:rPr>
                <w:rFonts w:ascii="Arial" w:cs="Arial" w:eastAsia="Arial" w:hAnsi="Arial"/>
                <w:sz w:val="20"/>
                <w:szCs w:val="20"/>
                <w:color w:val="00162F"/>
              </w:rPr>
              <w:t>Expected return on assets</w:t>
            </w: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(923)</w:t>
            </w:r>
          </w:p>
        </w:tc>
        <w:tc>
          <w:tcPr>
            <w:tcW w:w="6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(973)</w:t>
            </w:r>
          </w:p>
        </w:tc>
        <w:tc>
          <w:tcPr>
            <w:tcW w:w="6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(914)</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w:t>
            </w: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20"/>
                <w:szCs w:val="20"/>
                <w:color w:val="00162F"/>
              </w:rPr>
              <w:t>Amortization of:</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shd w:val="clear" w:color="auto" w:fill="EDEDED"/>
          </w:tcPr>
          <w:p>
            <w:pPr>
              <w:spacing w:after="0"/>
              <w:rPr>
                <w:sz w:val="24"/>
                <w:szCs w:val="24"/>
                <w:color w:val="auto"/>
              </w:rPr>
            </w:pPr>
          </w:p>
        </w:tc>
        <w:tc>
          <w:tcPr>
            <w:tcW w:w="3780" w:type="dxa"/>
            <w:vAlign w:val="bottom"/>
            <w:gridSpan w:val="2"/>
            <w:shd w:val="clear" w:color="auto" w:fill="EDEDED"/>
          </w:tcPr>
          <w:p>
            <w:pPr>
              <w:ind w:left="220"/>
              <w:spacing w:after="0"/>
              <w:rPr>
                <w:sz w:val="20"/>
                <w:szCs w:val="20"/>
                <w:color w:val="auto"/>
              </w:rPr>
            </w:pPr>
            <w:r>
              <w:rPr>
                <w:rFonts w:ascii="Arial" w:cs="Arial" w:eastAsia="Arial" w:hAnsi="Arial"/>
                <w:sz w:val="20"/>
                <w:szCs w:val="20"/>
                <w:color w:val="00162F"/>
              </w:rPr>
              <w:t>Prior service cost (benefit)</w:t>
            </w: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6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920" w:type="dxa"/>
            <w:vAlign w:val="bottom"/>
            <w:gridSpan w:val="3"/>
            <w:shd w:val="clear" w:color="auto" w:fill="EDEDED"/>
          </w:tcPr>
          <w:p>
            <w:pPr>
              <w:jc w:val="right"/>
              <w:ind w:right="180"/>
              <w:spacing w:after="0"/>
              <w:rPr>
                <w:sz w:val="20"/>
                <w:szCs w:val="20"/>
                <w:color w:val="auto"/>
              </w:rPr>
            </w:pPr>
            <w:r>
              <w:rPr>
                <w:rFonts w:ascii="Arial" w:cs="Arial" w:eastAsia="Arial" w:hAnsi="Arial"/>
                <w:sz w:val="20"/>
                <w:szCs w:val="20"/>
                <w:color w:val="00162F"/>
              </w:rPr>
              <w:t>—</w:t>
            </w:r>
          </w:p>
        </w:tc>
        <w:tc>
          <w:tcPr>
            <w:tcW w:w="24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18</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18</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w:t>
            </w:r>
          </w:p>
        </w:tc>
        <w:tc>
          <w:tcPr>
            <w:tcW w:w="0" w:type="dxa"/>
            <w:vAlign w:val="bottom"/>
          </w:tcPr>
          <w:p>
            <w:pPr>
              <w:spacing w:after="0"/>
              <w:rPr>
                <w:sz w:val="1"/>
                <w:szCs w:val="1"/>
                <w:color w:val="auto"/>
              </w:rPr>
            </w:pPr>
          </w:p>
        </w:tc>
      </w:tr>
      <w:tr>
        <w:trPr>
          <w:trHeight w:val="287"/>
        </w:trPr>
        <w:tc>
          <w:tcPr>
            <w:tcW w:w="40" w:type="dxa"/>
            <w:vAlign w:val="bottom"/>
            <w:tcBorders>
              <w:bottom w:val="single" w:sz="8" w:color="EDEDED"/>
            </w:tcBorders>
          </w:tcPr>
          <w:p>
            <w:pPr>
              <w:spacing w:after="0"/>
              <w:rPr>
                <w:sz w:val="24"/>
                <w:szCs w:val="24"/>
                <w:color w:val="auto"/>
              </w:rPr>
            </w:pPr>
          </w:p>
        </w:tc>
        <w:tc>
          <w:tcPr>
            <w:tcW w:w="3780" w:type="dxa"/>
            <w:vAlign w:val="bottom"/>
            <w:tcBorders>
              <w:bottom w:val="single" w:sz="8" w:color="EDEDED"/>
            </w:tcBorders>
            <w:gridSpan w:val="2"/>
          </w:tcPr>
          <w:p>
            <w:pPr>
              <w:ind w:left="220"/>
              <w:spacing w:after="0"/>
              <w:rPr>
                <w:sz w:val="20"/>
                <w:szCs w:val="20"/>
                <w:color w:val="auto"/>
              </w:rPr>
            </w:pPr>
            <w:r>
              <w:rPr>
                <w:rFonts w:ascii="Arial" w:cs="Arial" w:eastAsia="Arial" w:hAnsi="Arial"/>
                <w:sz w:val="20"/>
                <w:szCs w:val="20"/>
                <w:color w:val="00162F"/>
              </w:rPr>
              <w:t>Unrecognized net loss (gain)</w:t>
            </w:r>
          </w:p>
        </w:tc>
        <w:tc>
          <w:tcPr>
            <w:tcW w:w="26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91</w:t>
            </w:r>
          </w:p>
        </w:tc>
        <w:tc>
          <w:tcPr>
            <w:tcW w:w="60" w:type="dxa"/>
            <w:vAlign w:val="bottom"/>
            <w:tcBorders>
              <w:bottom w:val="single" w:sz="8" w:color="EDEDED"/>
            </w:tcBorders>
          </w:tcPr>
          <w:p>
            <w:pPr>
              <w:spacing w:after="0"/>
              <w:rPr>
                <w:sz w:val="24"/>
                <w:szCs w:val="24"/>
                <w:color w:val="auto"/>
              </w:rPr>
            </w:pPr>
          </w:p>
        </w:tc>
        <w:tc>
          <w:tcPr>
            <w:tcW w:w="28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105</w:t>
            </w:r>
          </w:p>
        </w:tc>
        <w:tc>
          <w:tcPr>
            <w:tcW w:w="60" w:type="dxa"/>
            <w:vAlign w:val="bottom"/>
            <w:tcBorders>
              <w:bottom w:val="single" w:sz="8" w:color="EDEDED"/>
            </w:tcBorders>
          </w:tcPr>
          <w:p>
            <w:pPr>
              <w:spacing w:after="0"/>
              <w:rPr>
                <w:sz w:val="24"/>
                <w:szCs w:val="24"/>
                <w:color w:val="auto"/>
              </w:rPr>
            </w:pPr>
          </w:p>
        </w:tc>
        <w:tc>
          <w:tcPr>
            <w:tcW w:w="40" w:type="dxa"/>
            <w:vAlign w:val="bottom"/>
            <w:tcBorders>
              <w:bottom w:val="single" w:sz="8" w:color="00162F"/>
            </w:tcBorders>
          </w:tcPr>
          <w:p>
            <w:pPr>
              <w:spacing w:after="0"/>
              <w:rPr>
                <w:sz w:val="24"/>
                <w:szCs w:val="24"/>
                <w:color w:val="auto"/>
              </w:rPr>
            </w:pPr>
          </w:p>
        </w:tc>
        <w:tc>
          <w:tcPr>
            <w:tcW w:w="24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ind w:right="6"/>
              <w:spacing w:after="0"/>
              <w:rPr>
                <w:sz w:val="20"/>
                <w:szCs w:val="20"/>
                <w:color w:val="auto"/>
              </w:rPr>
            </w:pPr>
            <w:r>
              <w:rPr>
                <w:rFonts w:ascii="Arial" w:cs="Arial" w:eastAsia="Arial" w:hAnsi="Arial"/>
                <w:sz w:val="20"/>
                <w:szCs w:val="20"/>
                <w:color w:val="00162F"/>
              </w:rPr>
              <w:t>106</w:t>
            </w:r>
          </w:p>
        </w:tc>
        <w:tc>
          <w:tcPr>
            <w:tcW w:w="6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(27)</w:t>
            </w:r>
          </w:p>
        </w:tc>
        <w:tc>
          <w:tcPr>
            <w:tcW w:w="8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(31)</w:t>
            </w:r>
          </w:p>
        </w:tc>
        <w:tc>
          <w:tcPr>
            <w:tcW w:w="8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(34)</w:t>
            </w:r>
          </w:p>
        </w:tc>
        <w:tc>
          <w:tcPr>
            <w:tcW w:w="0" w:type="dxa"/>
            <w:vAlign w:val="bottom"/>
          </w:tcPr>
          <w:p>
            <w:pPr>
              <w:spacing w:after="0"/>
              <w:rPr>
                <w:sz w:val="1"/>
                <w:szCs w:val="1"/>
                <w:color w:val="auto"/>
              </w:rPr>
            </w:pPr>
          </w:p>
        </w:tc>
      </w:tr>
      <w:tr>
        <w:trPr>
          <w:trHeight w:val="297"/>
        </w:trPr>
        <w:tc>
          <w:tcPr>
            <w:tcW w:w="40" w:type="dxa"/>
            <w:vAlign w:val="bottom"/>
            <w:tcBorders>
              <w:bottom w:val="single" w:sz="8" w:color="EDEDED"/>
            </w:tcBorders>
            <w:shd w:val="clear" w:color="auto" w:fill="EDEDED"/>
          </w:tcPr>
          <w:p>
            <w:pPr>
              <w:spacing w:after="0"/>
              <w:rPr>
                <w:sz w:val="24"/>
                <w:szCs w:val="24"/>
                <w:color w:val="auto"/>
              </w:rPr>
            </w:pPr>
          </w:p>
        </w:tc>
        <w:tc>
          <w:tcPr>
            <w:tcW w:w="3780" w:type="dxa"/>
            <w:vAlign w:val="bottom"/>
            <w:tcBorders>
              <w:bottom w:val="single" w:sz="8" w:color="EDEDED"/>
            </w:tcBorders>
            <w:gridSpan w:val="2"/>
            <w:shd w:val="clear" w:color="auto" w:fill="EDEDED"/>
          </w:tcPr>
          <w:p>
            <w:pPr>
              <w:spacing w:after="0"/>
              <w:rPr>
                <w:sz w:val="20"/>
                <w:szCs w:val="20"/>
                <w:color w:val="auto"/>
              </w:rPr>
            </w:pPr>
            <w:r>
              <w:rPr>
                <w:rFonts w:ascii="Arial" w:cs="Arial" w:eastAsia="Arial" w:hAnsi="Arial"/>
                <w:sz w:val="20"/>
                <w:szCs w:val="20"/>
                <w:color w:val="00162F"/>
              </w:rPr>
              <w:t>Net periodic benefit cost (income)</w:t>
            </w: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105)</w:t>
            </w:r>
          </w:p>
        </w:tc>
        <w:tc>
          <w:tcPr>
            <w:tcW w:w="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148)</w:t>
            </w:r>
          </w:p>
        </w:tc>
        <w:tc>
          <w:tcPr>
            <w:tcW w:w="60" w:type="dxa"/>
            <w:vAlign w:val="bottom"/>
            <w:tcBorders>
              <w:bottom w:val="single" w:sz="8" w:color="EDEDED"/>
            </w:tcBorders>
            <w:shd w:val="clear" w:color="auto" w:fill="EDEDED"/>
          </w:tcPr>
          <w:p>
            <w:pPr>
              <w:spacing w:after="0"/>
              <w:rPr>
                <w:sz w:val="24"/>
                <w:szCs w:val="24"/>
                <w:color w:val="auto"/>
              </w:rPr>
            </w:pPr>
          </w:p>
        </w:tc>
        <w:tc>
          <w:tcPr>
            <w:tcW w:w="40" w:type="dxa"/>
            <w:vAlign w:val="bottom"/>
            <w:tcBorders>
              <w:bottom w:val="single" w:sz="8" w:color="00162F"/>
            </w:tcBorders>
            <w:shd w:val="clear" w:color="auto" w:fill="EDEDED"/>
          </w:tcPr>
          <w:p>
            <w:pPr>
              <w:spacing w:after="0"/>
              <w:rPr>
                <w:sz w:val="24"/>
                <w:szCs w:val="24"/>
                <w:color w:val="auto"/>
              </w:rPr>
            </w:pPr>
          </w:p>
        </w:tc>
        <w:tc>
          <w:tcPr>
            <w:tcW w:w="240" w:type="dxa"/>
            <w:vAlign w:val="bottom"/>
            <w:tcBorders>
              <w:bottom w:val="single" w:sz="8" w:color="00162F"/>
            </w:tcBorders>
            <w:shd w:val="clear" w:color="auto" w:fill="EDEDED"/>
          </w:tcPr>
          <w:p>
            <w:pPr>
              <w:jc w:val="right"/>
              <w:ind w:right="21"/>
              <w:spacing w:after="0"/>
              <w:rPr>
                <w:sz w:val="20"/>
                <w:szCs w:val="20"/>
                <w:color w:val="auto"/>
              </w:rPr>
            </w:pPr>
            <w:r>
              <w:rPr>
                <w:rFonts w:ascii="Arial" w:cs="Arial" w:eastAsia="Arial" w:hAnsi="Arial"/>
                <w:sz w:val="20"/>
                <w:szCs w:val="20"/>
                <w:color w:val="00162F"/>
                <w:w w:val="89"/>
              </w:rPr>
              <w:t>$</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35)</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74</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66</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jc w:val="right"/>
              <w:ind w:right="1"/>
              <w:spacing w:after="0"/>
              <w:rPr>
                <w:sz w:val="20"/>
                <w:szCs w:val="20"/>
                <w:color w:val="auto"/>
              </w:rPr>
            </w:pPr>
            <w:r>
              <w:rPr>
                <w:rFonts w:ascii="Arial" w:cs="Arial" w:eastAsia="Arial" w:hAnsi="Arial"/>
                <w:sz w:val="20"/>
                <w:szCs w:val="20"/>
                <w:color w:val="00162F"/>
              </w:rPr>
              <w:t>$</w:t>
            </w: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-231775</wp:posOffset>
            </wp:positionV>
            <wp:extent cx="3702050" cy="501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1">
                      <a:extLst>
                        <a:ext uri="{28A0092B-C50C-407E-A947-70E740481C1C}"/>
                      </a:extLst>
                    </a:blip>
                    <a:srcRect/>
                    <a:stretch>
                      <a:fillRect/>
                    </a:stretch>
                  </pic:blipFill>
                  <pic:spPr bwMode="auto">
                    <a:xfrm>
                      <a:off x="0" y="0"/>
                      <a:ext cx="3702050" cy="501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-55880</wp:posOffset>
            </wp:positionV>
            <wp:extent cx="4415790" cy="755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2">
                      <a:extLst>
                        <a:ext uri="{28A0092B-C50C-407E-A947-70E740481C1C}"/>
                      </a:extLst>
                    </a:blip>
                    <a:srcRect/>
                    <a:stretch>
                      <a:fillRect/>
                    </a:stretch>
                  </pic:blipFill>
                  <pic:spPr bwMode="auto">
                    <a:xfrm>
                      <a:off x="0" y="0"/>
                      <a:ext cx="4415790" cy="75565"/>
                    </a:xfrm>
                    <a:prstGeom prst="rect">
                      <a:avLst/>
                    </a:prstGeom>
                    <a:noFill/>
                  </pic:spPr>
                </pic:pic>
              </a:graphicData>
            </a:graphic>
          </wp:anchor>
        </w:drawing>
      </w:r>
    </w:p>
    <w:p>
      <w:pPr>
        <w:spacing w:after="0" w:line="172" w:lineRule="exact"/>
        <w:rPr>
          <w:sz w:val="20"/>
          <w:szCs w:val="20"/>
          <w:color w:val="auto"/>
        </w:rPr>
      </w:pPr>
    </w:p>
    <w:p>
      <w:pPr>
        <w:jc w:val="both"/>
        <w:ind w:left="5" w:right="20" w:firstLine="267"/>
        <w:spacing w:after="0" w:line="265" w:lineRule="auto"/>
        <w:rPr>
          <w:sz w:val="20"/>
          <w:szCs w:val="20"/>
          <w:color w:val="auto"/>
        </w:rPr>
      </w:pPr>
      <w:r>
        <w:rPr>
          <w:rFonts w:ascii="Arial" w:cs="Arial" w:eastAsia="Arial" w:hAnsi="Arial"/>
          <w:sz w:val="20"/>
          <w:szCs w:val="20"/>
          <w:color w:val="00162F"/>
        </w:rPr>
        <w:t>The service cost component of net periodic benefit cost (income) is included in operating expenses and the other components of net periodic benefit cost (income) are included in nonoperating other income (expense), net on American’s consolidated statements of operations.</w:t>
      </w:r>
    </w:p>
    <w:p>
      <w:pPr>
        <w:spacing w:after="0" w:line="219"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Assumptions</w:t>
      </w:r>
    </w:p>
    <w:p>
      <w:pPr>
        <w:spacing w:after="0" w:line="95" w:lineRule="exact"/>
        <w:rPr>
          <w:sz w:val="20"/>
          <w:szCs w:val="20"/>
          <w:color w:val="auto"/>
        </w:rPr>
      </w:pPr>
    </w:p>
    <w:p>
      <w:pPr>
        <w:jc w:val="both"/>
        <w:ind w:left="5" w:right="20" w:firstLine="267"/>
        <w:spacing w:after="0" w:line="282" w:lineRule="auto"/>
        <w:rPr>
          <w:sz w:val="20"/>
          <w:szCs w:val="20"/>
          <w:color w:val="auto"/>
        </w:rPr>
      </w:pPr>
      <w:r>
        <w:rPr>
          <w:rFonts w:ascii="Arial" w:cs="Arial" w:eastAsia="Arial" w:hAnsi="Arial"/>
          <w:sz w:val="20"/>
          <w:szCs w:val="20"/>
          <w:color w:val="00162F"/>
        </w:rPr>
        <w:t>The following actuarial assumptions were used to determine American’s benefit obligations and net periodic benefit cost (income) for the periods presented:</w:t>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8"/>
            <w:vMerge w:val="restart"/>
          </w:tcPr>
          <w:p>
            <w:pPr>
              <w:ind w:left="140"/>
              <w:spacing w:after="0"/>
              <w:rPr>
                <w:sz w:val="20"/>
                <w:szCs w:val="20"/>
                <w:color w:val="auto"/>
              </w:rPr>
            </w:pPr>
            <w:r>
              <w:rPr>
                <w:rFonts w:ascii="Arial" w:cs="Arial" w:eastAsia="Arial" w:hAnsi="Arial"/>
                <w:sz w:val="16"/>
                <w:szCs w:val="16"/>
                <w:b w:val="1"/>
                <w:bCs w:val="1"/>
                <w:color w:val="00162F"/>
              </w:rPr>
              <w:t>Pension Benefits</w:t>
            </w:r>
          </w:p>
        </w:tc>
        <w:tc>
          <w:tcPr>
            <w:tcW w:w="60" w:type="dxa"/>
            <w:vAlign w:val="bottom"/>
          </w:tcPr>
          <w:p>
            <w:pPr>
              <w:spacing w:after="0"/>
              <w:rPr>
                <w:sz w:val="16"/>
                <w:szCs w:val="16"/>
                <w:color w:val="auto"/>
              </w:rPr>
            </w:pPr>
          </w:p>
        </w:tc>
        <w:tc>
          <w:tcPr>
            <w:tcW w:w="2780" w:type="dxa"/>
            <w:vAlign w:val="bottom"/>
            <w:gridSpan w:val="8"/>
          </w:tcPr>
          <w:p>
            <w:pPr>
              <w:jc w:val="center"/>
              <w:spacing w:after="0"/>
              <w:rPr>
                <w:sz w:val="20"/>
                <w:szCs w:val="20"/>
                <w:color w:val="auto"/>
              </w:rPr>
            </w:pPr>
            <w:r>
              <w:rPr>
                <w:rFonts w:ascii="Arial" w:cs="Arial" w:eastAsia="Arial" w:hAnsi="Arial"/>
                <w:sz w:val="16"/>
                <w:szCs w:val="16"/>
                <w:b w:val="1"/>
                <w:bCs w:val="1"/>
                <w:color w:val="00162F"/>
                <w:w w:val="98"/>
              </w:rPr>
              <w:t>Retiree Medical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Borders>
              <w:bottom w:val="single" w:sz="8" w:color="00162F"/>
            </w:tcBorders>
          </w:tcPr>
          <w:p>
            <w:pPr>
              <w:spacing w:after="0"/>
              <w:rPr>
                <w:sz w:val="18"/>
                <w:szCs w:val="18"/>
                <w:color w:val="auto"/>
              </w:rPr>
            </w:pPr>
          </w:p>
        </w:tc>
        <w:tc>
          <w:tcPr>
            <w:tcW w:w="140" w:type="dxa"/>
            <w:vAlign w:val="bottom"/>
            <w:tcBorders>
              <w:bottom w:val="single" w:sz="8" w:color="00162F"/>
            </w:tcBorders>
          </w:tcPr>
          <w:p>
            <w:pPr>
              <w:spacing w:after="0"/>
              <w:rPr>
                <w:sz w:val="18"/>
                <w:szCs w:val="18"/>
                <w:color w:val="auto"/>
              </w:rPr>
            </w:pPr>
          </w:p>
        </w:tc>
        <w:tc>
          <w:tcPr>
            <w:tcW w:w="80" w:type="dxa"/>
            <w:vAlign w:val="bottom"/>
            <w:tcBorders>
              <w:bottom w:val="single" w:sz="8" w:color="00162F"/>
            </w:tcBorders>
          </w:tcPr>
          <w:p>
            <w:pPr>
              <w:spacing w:after="0"/>
              <w:rPr>
                <w:sz w:val="18"/>
                <w:szCs w:val="18"/>
                <w:color w:val="auto"/>
              </w:rPr>
            </w:pPr>
          </w:p>
        </w:tc>
        <w:tc>
          <w:tcPr>
            <w:tcW w:w="2180" w:type="dxa"/>
            <w:vAlign w:val="bottom"/>
            <w:tcBorders>
              <w:bottom w:val="single" w:sz="8" w:color="00162F"/>
            </w:tcBorders>
            <w:gridSpan w:val="8"/>
            <w:vMerge w:val="continue"/>
          </w:tcPr>
          <w:p>
            <w:pPr>
              <w:spacing w:after="0"/>
              <w:rPr>
                <w:sz w:val="18"/>
                <w:szCs w:val="18"/>
                <w:color w:val="auto"/>
              </w:rPr>
            </w:pPr>
          </w:p>
        </w:tc>
        <w:tc>
          <w:tcPr>
            <w:tcW w:w="60" w:type="dxa"/>
            <w:vAlign w:val="bottom"/>
          </w:tcPr>
          <w:p>
            <w:pPr>
              <w:spacing w:after="0"/>
              <w:rPr>
                <w:sz w:val="18"/>
                <w:szCs w:val="18"/>
                <w:color w:val="auto"/>
              </w:rPr>
            </w:pPr>
          </w:p>
        </w:tc>
        <w:tc>
          <w:tcPr>
            <w:tcW w:w="2780" w:type="dxa"/>
            <w:vAlign w:val="bottom"/>
            <w:tcBorders>
              <w:bottom w:val="single" w:sz="8" w:color="00162F"/>
            </w:tcBorders>
            <w:gridSpan w:val="8"/>
          </w:tcPr>
          <w:p>
            <w:pPr>
              <w:jc w:val="center"/>
              <w:spacing w:after="0"/>
              <w:rPr>
                <w:sz w:val="20"/>
                <w:szCs w:val="20"/>
                <w:color w:val="auto"/>
              </w:rPr>
            </w:pPr>
            <w:r>
              <w:rPr>
                <w:rFonts w:ascii="Arial" w:cs="Arial" w:eastAsia="Arial" w:hAnsi="Arial"/>
                <w:sz w:val="16"/>
                <w:szCs w:val="16"/>
                <w:b w:val="1"/>
                <w:bCs w:val="1"/>
                <w:color w:val="00162F"/>
                <w:w w:val="98"/>
              </w:rPr>
              <w:t>Other Postretirement Benefits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3"/>
          </w:tcPr>
          <w:p>
            <w:pPr>
              <w:jc w:val="right"/>
              <w:ind w:right="411"/>
              <w:spacing w:after="0"/>
              <w:rPr>
                <w:sz w:val="20"/>
                <w:szCs w:val="20"/>
                <w:color w:val="auto"/>
              </w:rPr>
            </w:pPr>
            <w:r>
              <w:rPr>
                <w:rFonts w:ascii="Arial" w:cs="Arial" w:eastAsia="Arial" w:hAnsi="Arial"/>
                <w:sz w:val="16"/>
                <w:szCs w:val="16"/>
                <w:b w:val="1"/>
                <w:bCs w:val="1"/>
                <w:color w:val="00162F"/>
              </w:rPr>
              <w:t>2025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68"/>
              <w:spacing w:after="0"/>
              <w:rPr>
                <w:sz w:val="20"/>
                <w:szCs w:val="20"/>
                <w:color w:val="auto"/>
              </w:rPr>
            </w:pPr>
            <w:r>
              <w:rPr>
                <w:rFonts w:ascii="Arial" w:cs="Arial" w:eastAsia="Arial" w:hAnsi="Arial"/>
                <w:sz w:val="16"/>
                <w:szCs w:val="16"/>
                <w:b w:val="1"/>
                <w:bCs w:val="1"/>
                <w:color w:val="00162F"/>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00162F"/>
              </w:rPr>
              <w:t>2025</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00162F"/>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0" w:type="dxa"/>
            <w:vAlign w:val="bottom"/>
            <w:tcBorders>
              <w:top w:val="single" w:sz="8" w:color="EDEDED"/>
            </w:tcBorders>
            <w:shd w:val="clear" w:color="auto" w:fill="EDEDED"/>
          </w:tcPr>
          <w:p>
            <w:pPr>
              <w:spacing w:after="0"/>
              <w:rPr>
                <w:sz w:val="23"/>
                <w:szCs w:val="23"/>
                <w:color w:val="auto"/>
              </w:rPr>
            </w:pPr>
          </w:p>
        </w:tc>
        <w:tc>
          <w:tcPr>
            <w:tcW w:w="4580" w:type="dxa"/>
            <w:vAlign w:val="bottom"/>
            <w:tcBorders>
              <w:top w:val="single" w:sz="8" w:color="EDEDED"/>
            </w:tcBorders>
            <w:gridSpan w:val="4"/>
            <w:shd w:val="clear" w:color="auto" w:fill="EDEDED"/>
          </w:tcPr>
          <w:p>
            <w:pPr>
              <w:spacing w:after="0"/>
              <w:rPr>
                <w:sz w:val="20"/>
                <w:szCs w:val="20"/>
                <w:color w:val="auto"/>
              </w:rPr>
            </w:pPr>
            <w:r>
              <w:rPr>
                <w:rFonts w:ascii="Arial" w:cs="Arial" w:eastAsia="Arial" w:hAnsi="Arial"/>
                <w:sz w:val="20"/>
                <w:szCs w:val="20"/>
                <w:color w:val="00162F"/>
              </w:rPr>
              <w:t>Benefit obligations as of December 31:</w:t>
            </w:r>
          </w:p>
        </w:tc>
        <w:tc>
          <w:tcPr>
            <w:tcW w:w="440" w:type="dxa"/>
            <w:vAlign w:val="bottom"/>
            <w:tcBorders>
              <w:top w:val="single" w:sz="8" w:color="EDEDED"/>
            </w:tcBorders>
            <w:shd w:val="clear" w:color="auto" w:fill="EDEDED"/>
          </w:tcPr>
          <w:p>
            <w:pPr>
              <w:spacing w:after="0"/>
              <w:rPr>
                <w:sz w:val="23"/>
                <w:szCs w:val="23"/>
                <w:color w:val="auto"/>
              </w:rPr>
            </w:pPr>
          </w:p>
        </w:tc>
        <w:tc>
          <w:tcPr>
            <w:tcW w:w="380" w:type="dxa"/>
            <w:vAlign w:val="bottom"/>
            <w:tcBorders>
              <w:top w:val="single" w:sz="8" w:color="00162F"/>
            </w:tcBorders>
            <w:shd w:val="clear" w:color="auto" w:fill="EDEDED"/>
          </w:tcPr>
          <w:p>
            <w:pPr>
              <w:spacing w:after="0"/>
              <w:rPr>
                <w:sz w:val="23"/>
                <w:szCs w:val="23"/>
                <w:color w:val="auto"/>
              </w:rPr>
            </w:pPr>
          </w:p>
        </w:tc>
        <w:tc>
          <w:tcPr>
            <w:tcW w:w="140" w:type="dxa"/>
            <w:vAlign w:val="bottom"/>
            <w:tcBorders>
              <w:top w:val="single" w:sz="8" w:color="00162F"/>
            </w:tcBorders>
            <w:shd w:val="clear" w:color="auto" w:fill="EDEDED"/>
          </w:tcPr>
          <w:p>
            <w:pPr>
              <w:spacing w:after="0"/>
              <w:rPr>
                <w:sz w:val="23"/>
                <w:szCs w:val="23"/>
                <w:color w:val="auto"/>
              </w:rPr>
            </w:pPr>
          </w:p>
        </w:tc>
        <w:tc>
          <w:tcPr>
            <w:tcW w:w="80" w:type="dxa"/>
            <w:vAlign w:val="bottom"/>
            <w:tcBorders>
              <w:top w:val="single" w:sz="8" w:color="00162F"/>
            </w:tcBorders>
            <w:shd w:val="clear" w:color="auto" w:fill="EDEDED"/>
          </w:tcPr>
          <w:p>
            <w:pPr>
              <w:spacing w:after="0"/>
              <w:rPr>
                <w:sz w:val="23"/>
                <w:szCs w:val="23"/>
                <w:color w:val="auto"/>
              </w:rPr>
            </w:pPr>
          </w:p>
        </w:tc>
        <w:tc>
          <w:tcPr>
            <w:tcW w:w="740" w:type="dxa"/>
            <w:vAlign w:val="bottom"/>
            <w:tcBorders>
              <w:top w:val="single" w:sz="8" w:color="00162F"/>
            </w:tcBorders>
            <w:shd w:val="clear" w:color="auto" w:fill="EDEDED"/>
          </w:tcPr>
          <w:p>
            <w:pPr>
              <w:spacing w:after="0"/>
              <w:rPr>
                <w:sz w:val="23"/>
                <w:szCs w:val="23"/>
                <w:color w:val="auto"/>
              </w:rPr>
            </w:pPr>
          </w:p>
        </w:tc>
        <w:tc>
          <w:tcPr>
            <w:tcW w:w="80" w:type="dxa"/>
            <w:vAlign w:val="bottom"/>
            <w:tcBorders>
              <w:top w:val="single" w:sz="8" w:color="EDEDED"/>
            </w:tcBorders>
            <w:shd w:val="clear" w:color="auto" w:fill="EDEDED"/>
          </w:tcPr>
          <w:p>
            <w:pPr>
              <w:spacing w:after="0"/>
              <w:rPr>
                <w:sz w:val="23"/>
                <w:szCs w:val="23"/>
                <w:color w:val="auto"/>
              </w:rPr>
            </w:pPr>
          </w:p>
        </w:tc>
        <w:tc>
          <w:tcPr>
            <w:tcW w:w="120" w:type="dxa"/>
            <w:vAlign w:val="bottom"/>
            <w:tcBorders>
              <w:top w:val="single" w:sz="8" w:color="00162F"/>
            </w:tcBorders>
            <w:shd w:val="clear" w:color="auto" w:fill="EDEDED"/>
          </w:tcPr>
          <w:p>
            <w:pPr>
              <w:spacing w:after="0"/>
              <w:rPr>
                <w:sz w:val="23"/>
                <w:szCs w:val="23"/>
                <w:color w:val="auto"/>
              </w:rPr>
            </w:pPr>
          </w:p>
        </w:tc>
        <w:tc>
          <w:tcPr>
            <w:tcW w:w="80" w:type="dxa"/>
            <w:vAlign w:val="bottom"/>
            <w:tcBorders>
              <w:top w:val="single" w:sz="8" w:color="00162F"/>
            </w:tcBorders>
            <w:shd w:val="clear" w:color="auto" w:fill="EDEDED"/>
          </w:tcPr>
          <w:p>
            <w:pPr>
              <w:spacing w:after="0"/>
              <w:rPr>
                <w:sz w:val="23"/>
                <w:szCs w:val="23"/>
                <w:color w:val="auto"/>
              </w:rPr>
            </w:pPr>
          </w:p>
        </w:tc>
        <w:tc>
          <w:tcPr>
            <w:tcW w:w="180" w:type="dxa"/>
            <w:vAlign w:val="bottom"/>
            <w:tcBorders>
              <w:top w:val="single" w:sz="8" w:color="00162F"/>
            </w:tcBorders>
            <w:shd w:val="clear" w:color="auto" w:fill="EDEDED"/>
          </w:tcPr>
          <w:p>
            <w:pPr>
              <w:spacing w:after="0"/>
              <w:rPr>
                <w:sz w:val="23"/>
                <w:szCs w:val="23"/>
                <w:color w:val="auto"/>
              </w:rPr>
            </w:pPr>
          </w:p>
        </w:tc>
        <w:tc>
          <w:tcPr>
            <w:tcW w:w="760" w:type="dxa"/>
            <w:vAlign w:val="bottom"/>
            <w:tcBorders>
              <w:top w:val="single" w:sz="8" w:color="00162F"/>
            </w:tcBorders>
            <w:shd w:val="clear" w:color="auto" w:fill="EDEDED"/>
          </w:tcPr>
          <w:p>
            <w:pPr>
              <w:spacing w:after="0"/>
              <w:rPr>
                <w:sz w:val="23"/>
                <w:szCs w:val="23"/>
                <w:color w:val="auto"/>
              </w:rPr>
            </w:pPr>
          </w:p>
        </w:tc>
        <w:tc>
          <w:tcPr>
            <w:tcW w:w="80" w:type="dxa"/>
            <w:vAlign w:val="bottom"/>
            <w:tcBorders>
              <w:top w:val="single" w:sz="8" w:color="00162F"/>
            </w:tcBorders>
            <w:shd w:val="clear" w:color="auto" w:fill="EDEDED"/>
          </w:tcPr>
          <w:p>
            <w:pPr>
              <w:spacing w:after="0"/>
              <w:rPr>
                <w:sz w:val="23"/>
                <w:szCs w:val="23"/>
                <w:color w:val="auto"/>
              </w:rPr>
            </w:pPr>
          </w:p>
        </w:tc>
        <w:tc>
          <w:tcPr>
            <w:tcW w:w="140" w:type="dxa"/>
            <w:vAlign w:val="bottom"/>
            <w:tcBorders>
              <w:top w:val="single" w:sz="8" w:color="00162F"/>
            </w:tcBorders>
            <w:shd w:val="clear" w:color="auto" w:fill="EDEDED"/>
          </w:tcPr>
          <w:p>
            <w:pPr>
              <w:spacing w:after="0"/>
              <w:rPr>
                <w:sz w:val="23"/>
                <w:szCs w:val="23"/>
                <w:color w:val="auto"/>
              </w:rPr>
            </w:pPr>
          </w:p>
        </w:tc>
        <w:tc>
          <w:tcPr>
            <w:tcW w:w="60" w:type="dxa"/>
            <w:vAlign w:val="bottom"/>
            <w:tcBorders>
              <w:top w:val="single" w:sz="8" w:color="EDEDED"/>
            </w:tcBorders>
            <w:shd w:val="clear" w:color="auto" w:fill="EDEDED"/>
          </w:tcPr>
          <w:p>
            <w:pPr>
              <w:spacing w:after="0"/>
              <w:rPr>
                <w:sz w:val="23"/>
                <w:szCs w:val="23"/>
                <w:color w:val="auto"/>
              </w:rPr>
            </w:pPr>
          </w:p>
        </w:tc>
        <w:tc>
          <w:tcPr>
            <w:tcW w:w="760" w:type="dxa"/>
            <w:vAlign w:val="bottom"/>
            <w:tcBorders>
              <w:top w:val="single" w:sz="8" w:color="00162F"/>
            </w:tcBorders>
            <w:shd w:val="clear" w:color="auto" w:fill="EDEDED"/>
          </w:tcPr>
          <w:p>
            <w:pPr>
              <w:spacing w:after="0"/>
              <w:rPr>
                <w:sz w:val="23"/>
                <w:szCs w:val="23"/>
                <w:color w:val="auto"/>
              </w:rPr>
            </w:pPr>
          </w:p>
        </w:tc>
        <w:tc>
          <w:tcPr>
            <w:tcW w:w="60" w:type="dxa"/>
            <w:vAlign w:val="bottom"/>
            <w:tcBorders>
              <w:top w:val="single" w:sz="8" w:color="00162F"/>
            </w:tcBorders>
            <w:shd w:val="clear" w:color="auto" w:fill="EDEDED"/>
          </w:tcPr>
          <w:p>
            <w:pPr>
              <w:spacing w:after="0"/>
              <w:rPr>
                <w:sz w:val="23"/>
                <w:szCs w:val="23"/>
                <w:color w:val="auto"/>
              </w:rPr>
            </w:pPr>
          </w:p>
        </w:tc>
        <w:tc>
          <w:tcPr>
            <w:tcW w:w="200" w:type="dxa"/>
            <w:vAlign w:val="bottom"/>
            <w:tcBorders>
              <w:top w:val="single" w:sz="8" w:color="00162F"/>
            </w:tcBorders>
            <w:shd w:val="clear" w:color="auto" w:fill="EDEDED"/>
          </w:tcPr>
          <w:p>
            <w:pPr>
              <w:spacing w:after="0"/>
              <w:rPr>
                <w:sz w:val="23"/>
                <w:szCs w:val="23"/>
                <w:color w:val="auto"/>
              </w:rPr>
            </w:pPr>
          </w:p>
        </w:tc>
        <w:tc>
          <w:tcPr>
            <w:tcW w:w="340" w:type="dxa"/>
            <w:vAlign w:val="bottom"/>
            <w:tcBorders>
              <w:top w:val="single" w:sz="8" w:color="00162F"/>
            </w:tcBorders>
            <w:shd w:val="clear" w:color="auto" w:fill="EDEDED"/>
          </w:tcPr>
          <w:p>
            <w:pPr>
              <w:spacing w:after="0"/>
              <w:rPr>
                <w:sz w:val="23"/>
                <w:szCs w:val="23"/>
                <w:color w:val="auto"/>
              </w:rPr>
            </w:pPr>
          </w:p>
        </w:tc>
        <w:tc>
          <w:tcPr>
            <w:tcW w:w="80" w:type="dxa"/>
            <w:vAlign w:val="bottom"/>
            <w:tcBorders>
              <w:top w:val="single" w:sz="8" w:color="EDEDED"/>
            </w:tcBorders>
            <w:shd w:val="clear" w:color="auto" w:fill="EDEDED"/>
          </w:tcPr>
          <w:p>
            <w:pPr>
              <w:spacing w:after="0"/>
              <w:rPr>
                <w:sz w:val="23"/>
                <w:szCs w:val="23"/>
                <w:color w:val="auto"/>
              </w:rPr>
            </w:pPr>
          </w:p>
        </w:tc>
        <w:tc>
          <w:tcPr>
            <w:tcW w:w="340" w:type="dxa"/>
            <w:vAlign w:val="bottom"/>
            <w:tcBorders>
              <w:top w:val="single" w:sz="8" w:color="00162F"/>
            </w:tcBorders>
            <w:shd w:val="clear" w:color="auto" w:fill="EDEDED"/>
          </w:tcPr>
          <w:p>
            <w:pPr>
              <w:spacing w:after="0"/>
              <w:rPr>
                <w:sz w:val="23"/>
                <w:szCs w:val="23"/>
                <w:color w:val="auto"/>
              </w:rPr>
            </w:pPr>
          </w:p>
        </w:tc>
        <w:tc>
          <w:tcPr>
            <w:tcW w:w="60" w:type="dxa"/>
            <w:vAlign w:val="bottom"/>
            <w:tcBorders>
              <w:top w:val="single" w:sz="8" w:color="00162F"/>
            </w:tcBorders>
            <w:shd w:val="clear" w:color="auto" w:fill="EDEDED"/>
          </w:tcPr>
          <w:p>
            <w:pPr>
              <w:spacing w:after="0"/>
              <w:rPr>
                <w:sz w:val="23"/>
                <w:szCs w:val="23"/>
                <w:color w:val="auto"/>
              </w:rPr>
            </w:pPr>
          </w:p>
        </w:tc>
        <w:tc>
          <w:tcPr>
            <w:tcW w:w="940" w:type="dxa"/>
            <w:vAlign w:val="bottom"/>
            <w:tcBorders>
              <w:top w:val="single" w:sz="8" w:color="00162F"/>
            </w:tcBorders>
            <w:shd w:val="clear" w:color="auto" w:fill="EDEDED"/>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0" w:type="dxa"/>
            <w:vAlign w:val="bottom"/>
            <w:tcBorders>
              <w:top w:val="single" w:sz="8" w:color="EDEDED"/>
            </w:tcBorders>
          </w:tcPr>
          <w:p>
            <w:pPr>
              <w:spacing w:after="0"/>
              <w:rPr>
                <w:sz w:val="24"/>
                <w:szCs w:val="24"/>
                <w:color w:val="auto"/>
              </w:rPr>
            </w:pPr>
          </w:p>
        </w:tc>
        <w:tc>
          <w:tcPr>
            <w:tcW w:w="3400" w:type="dxa"/>
            <w:vAlign w:val="bottom"/>
            <w:tcBorders>
              <w:top w:val="single" w:sz="8" w:color="00162F"/>
            </w:tcBorders>
            <w:gridSpan w:val="2"/>
          </w:tcPr>
          <w:p>
            <w:pPr>
              <w:spacing w:after="0"/>
              <w:rPr>
                <w:sz w:val="20"/>
                <w:szCs w:val="20"/>
                <w:color w:val="auto"/>
              </w:rPr>
            </w:pPr>
            <w:r>
              <w:rPr>
                <w:rFonts w:ascii="Arial" w:cs="Arial" w:eastAsia="Arial" w:hAnsi="Arial"/>
                <w:sz w:val="20"/>
                <w:szCs w:val="20"/>
                <w:color w:val="00162F"/>
              </w:rPr>
              <w:t>Weighted average discount rate</w:t>
            </w:r>
          </w:p>
        </w:tc>
        <w:tc>
          <w:tcPr>
            <w:tcW w:w="1180" w:type="dxa"/>
            <w:vAlign w:val="bottom"/>
            <w:tcBorders>
              <w:top w:val="single" w:sz="8" w:color="EDEDED"/>
            </w:tcBorders>
            <w:gridSpan w:val="2"/>
          </w:tcPr>
          <w:p>
            <w:pPr>
              <w:spacing w:after="0"/>
              <w:rPr>
                <w:sz w:val="24"/>
                <w:szCs w:val="24"/>
                <w:color w:val="auto"/>
              </w:rPr>
            </w:pPr>
          </w:p>
        </w:tc>
        <w:tc>
          <w:tcPr>
            <w:tcW w:w="440" w:type="dxa"/>
            <w:vAlign w:val="bottom"/>
            <w:tcBorders>
              <w:top w:val="single" w:sz="8" w:color="EDEDED"/>
            </w:tcBorders>
          </w:tcPr>
          <w:p>
            <w:pPr>
              <w:spacing w:after="0"/>
              <w:rPr>
                <w:sz w:val="24"/>
                <w:szCs w:val="24"/>
                <w:color w:val="auto"/>
              </w:rPr>
            </w:pPr>
          </w:p>
        </w:tc>
        <w:tc>
          <w:tcPr>
            <w:tcW w:w="380" w:type="dxa"/>
            <w:vAlign w:val="bottom"/>
            <w:tcBorders>
              <w:top w:val="single" w:sz="8" w:color="EDEDED"/>
            </w:tcBorders>
          </w:tcPr>
          <w:p>
            <w:pPr>
              <w:spacing w:after="0"/>
              <w:rPr>
                <w:sz w:val="24"/>
                <w:szCs w:val="24"/>
                <w:color w:val="auto"/>
              </w:rPr>
            </w:pPr>
          </w:p>
        </w:tc>
        <w:tc>
          <w:tcPr>
            <w:tcW w:w="960" w:type="dxa"/>
            <w:vAlign w:val="bottom"/>
            <w:tcBorders>
              <w:top w:val="single" w:sz="8" w:color="EDEDED"/>
            </w:tcBorders>
            <w:gridSpan w:val="3"/>
          </w:tcPr>
          <w:p>
            <w:pPr>
              <w:jc w:val="right"/>
              <w:ind w:right="331"/>
              <w:spacing w:after="0"/>
              <w:rPr>
                <w:sz w:val="20"/>
                <w:szCs w:val="20"/>
                <w:color w:val="auto"/>
              </w:rPr>
            </w:pPr>
            <w:r>
              <w:rPr>
                <w:rFonts w:ascii="Arial" w:cs="Arial" w:eastAsia="Arial" w:hAnsi="Arial"/>
                <w:sz w:val="20"/>
                <w:szCs w:val="20"/>
                <w:color w:val="00162F"/>
              </w:rPr>
              <w:t>5.5%</w:t>
            </w:r>
          </w:p>
        </w:tc>
        <w:tc>
          <w:tcPr>
            <w:tcW w:w="80" w:type="dxa"/>
            <w:vAlign w:val="bottom"/>
            <w:tcBorders>
              <w:top w:val="single" w:sz="8" w:color="EDEDED"/>
            </w:tcBorders>
          </w:tcPr>
          <w:p>
            <w:pPr>
              <w:spacing w:after="0"/>
              <w:rPr>
                <w:sz w:val="24"/>
                <w:szCs w:val="24"/>
                <w:color w:val="auto"/>
              </w:rPr>
            </w:pPr>
          </w:p>
        </w:tc>
        <w:tc>
          <w:tcPr>
            <w:tcW w:w="120" w:type="dxa"/>
            <w:vAlign w:val="bottom"/>
            <w:tcBorders>
              <w:top w:val="single" w:sz="8" w:color="EDEDED"/>
            </w:tcBorders>
          </w:tcPr>
          <w:p>
            <w:pPr>
              <w:spacing w:after="0"/>
              <w:rPr>
                <w:sz w:val="24"/>
                <w:szCs w:val="24"/>
                <w:color w:val="auto"/>
              </w:rPr>
            </w:pPr>
          </w:p>
        </w:tc>
        <w:tc>
          <w:tcPr>
            <w:tcW w:w="80" w:type="dxa"/>
            <w:vAlign w:val="bottom"/>
            <w:tcBorders>
              <w:top w:val="single" w:sz="8" w:color="EDEDED"/>
            </w:tcBorders>
          </w:tcPr>
          <w:p>
            <w:pPr>
              <w:spacing w:after="0"/>
              <w:rPr>
                <w:sz w:val="24"/>
                <w:szCs w:val="24"/>
                <w:color w:val="auto"/>
              </w:rPr>
            </w:pPr>
          </w:p>
        </w:tc>
        <w:tc>
          <w:tcPr>
            <w:tcW w:w="180" w:type="dxa"/>
            <w:vAlign w:val="bottom"/>
            <w:tcBorders>
              <w:top w:val="single" w:sz="8" w:color="EDEDED"/>
            </w:tcBorders>
          </w:tcPr>
          <w:p>
            <w:pPr>
              <w:spacing w:after="0"/>
              <w:rPr>
                <w:sz w:val="24"/>
                <w:szCs w:val="24"/>
                <w:color w:val="auto"/>
              </w:rPr>
            </w:pPr>
          </w:p>
        </w:tc>
        <w:tc>
          <w:tcPr>
            <w:tcW w:w="760" w:type="dxa"/>
            <w:vAlign w:val="bottom"/>
            <w:tcBorders>
              <w:top w:val="single" w:sz="8" w:color="EDEDED"/>
            </w:tcBorders>
          </w:tcPr>
          <w:p>
            <w:pPr>
              <w:jc w:val="center"/>
              <w:ind w:right="28"/>
              <w:spacing w:after="0"/>
              <w:rPr>
                <w:sz w:val="20"/>
                <w:szCs w:val="20"/>
                <w:color w:val="auto"/>
              </w:rPr>
            </w:pPr>
            <w:r>
              <w:rPr>
                <w:rFonts w:ascii="Arial" w:cs="Arial" w:eastAsia="Arial" w:hAnsi="Arial"/>
                <w:sz w:val="20"/>
                <w:szCs w:val="20"/>
                <w:color w:val="00162F"/>
                <w:w w:val="96"/>
              </w:rPr>
              <w:t>5.7%</w:t>
            </w:r>
          </w:p>
        </w:tc>
        <w:tc>
          <w:tcPr>
            <w:tcW w:w="80" w:type="dxa"/>
            <w:vAlign w:val="bottom"/>
            <w:tcBorders>
              <w:top w:val="single" w:sz="8" w:color="EDEDED"/>
            </w:tcBorders>
          </w:tcPr>
          <w:p>
            <w:pPr>
              <w:spacing w:after="0"/>
              <w:rPr>
                <w:sz w:val="24"/>
                <w:szCs w:val="24"/>
                <w:color w:val="auto"/>
              </w:rPr>
            </w:pPr>
          </w:p>
        </w:tc>
        <w:tc>
          <w:tcPr>
            <w:tcW w:w="140" w:type="dxa"/>
            <w:vAlign w:val="bottom"/>
            <w:tcBorders>
              <w:top w:val="single" w:sz="8" w:color="EDEDED"/>
            </w:tcBorders>
          </w:tcPr>
          <w:p>
            <w:pPr>
              <w:spacing w:after="0"/>
              <w:rPr>
                <w:sz w:val="24"/>
                <w:szCs w:val="24"/>
                <w:color w:val="auto"/>
              </w:rPr>
            </w:pPr>
          </w:p>
        </w:tc>
        <w:tc>
          <w:tcPr>
            <w:tcW w:w="1080" w:type="dxa"/>
            <w:vAlign w:val="bottom"/>
            <w:tcBorders>
              <w:top w:val="single" w:sz="8" w:color="EDEDED"/>
            </w:tcBorders>
            <w:gridSpan w:val="4"/>
          </w:tcPr>
          <w:p>
            <w:pPr>
              <w:jc w:val="right"/>
              <w:ind w:right="100"/>
              <w:spacing w:after="0"/>
              <w:rPr>
                <w:sz w:val="20"/>
                <w:szCs w:val="20"/>
                <w:color w:val="auto"/>
              </w:rPr>
            </w:pPr>
            <w:r>
              <w:rPr>
                <w:rFonts w:ascii="Arial" w:cs="Arial" w:eastAsia="Arial" w:hAnsi="Arial"/>
                <w:sz w:val="20"/>
                <w:szCs w:val="20"/>
                <w:color w:val="00162F"/>
              </w:rPr>
              <w:t>5.3%</w:t>
            </w:r>
          </w:p>
        </w:tc>
        <w:tc>
          <w:tcPr>
            <w:tcW w:w="340" w:type="dxa"/>
            <w:vAlign w:val="bottom"/>
            <w:tcBorders>
              <w:top w:val="single" w:sz="8" w:color="EDEDED"/>
            </w:tcBorders>
          </w:tcPr>
          <w:p>
            <w:pPr>
              <w:spacing w:after="0"/>
              <w:rPr>
                <w:sz w:val="24"/>
                <w:szCs w:val="24"/>
                <w:color w:val="auto"/>
              </w:rPr>
            </w:pPr>
          </w:p>
        </w:tc>
        <w:tc>
          <w:tcPr>
            <w:tcW w:w="80" w:type="dxa"/>
            <w:vAlign w:val="bottom"/>
            <w:tcBorders>
              <w:top w:val="single" w:sz="8" w:color="EDEDED"/>
            </w:tcBorders>
          </w:tcPr>
          <w:p>
            <w:pPr>
              <w:spacing w:after="0"/>
              <w:rPr>
                <w:sz w:val="24"/>
                <w:szCs w:val="24"/>
                <w:color w:val="auto"/>
              </w:rPr>
            </w:pPr>
          </w:p>
        </w:tc>
        <w:tc>
          <w:tcPr>
            <w:tcW w:w="340" w:type="dxa"/>
            <w:vAlign w:val="bottom"/>
            <w:tcBorders>
              <w:top w:val="single" w:sz="8" w:color="EDEDED"/>
            </w:tcBorders>
          </w:tcPr>
          <w:p>
            <w:pPr>
              <w:spacing w:after="0"/>
              <w:rPr>
                <w:sz w:val="24"/>
                <w:szCs w:val="24"/>
                <w:color w:val="auto"/>
              </w:rPr>
            </w:pPr>
          </w:p>
        </w:tc>
        <w:tc>
          <w:tcPr>
            <w:tcW w:w="1000" w:type="dxa"/>
            <w:vAlign w:val="bottom"/>
            <w:tcBorders>
              <w:top w:val="single" w:sz="8" w:color="EDEDED"/>
            </w:tcBorders>
            <w:gridSpan w:val="2"/>
          </w:tcPr>
          <w:p>
            <w:pPr>
              <w:jc w:val="right"/>
              <w:ind w:right="420"/>
              <w:spacing w:after="0"/>
              <w:rPr>
                <w:sz w:val="20"/>
                <w:szCs w:val="20"/>
                <w:color w:val="auto"/>
              </w:rPr>
            </w:pPr>
            <w:r>
              <w:rPr>
                <w:rFonts w:ascii="Arial" w:cs="Arial" w:eastAsia="Arial" w:hAnsi="Arial"/>
                <w:sz w:val="20"/>
                <w:szCs w:val="20"/>
                <w:color w:val="00162F"/>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7"/>
            <w:vMerge w:val="restart"/>
          </w:tcPr>
          <w:p>
            <w:pPr>
              <w:jc w:val="center"/>
              <w:ind w:right="60"/>
              <w:spacing w:after="0"/>
              <w:rPr>
                <w:sz w:val="20"/>
                <w:szCs w:val="20"/>
                <w:color w:val="auto"/>
              </w:rPr>
            </w:pPr>
            <w:r>
              <w:rPr>
                <w:rFonts w:ascii="Arial" w:cs="Arial" w:eastAsia="Arial" w:hAnsi="Arial"/>
                <w:sz w:val="16"/>
                <w:szCs w:val="16"/>
                <w:b w:val="1"/>
                <w:bCs w:val="1"/>
                <w:color w:val="00162F"/>
                <w:w w:val="98"/>
              </w:rPr>
              <w:t>Pension Benefits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gridSpan w:val="8"/>
          </w:tcPr>
          <w:p>
            <w:pPr>
              <w:jc w:val="center"/>
              <w:ind w:right="180"/>
              <w:spacing w:after="0"/>
              <w:rPr>
                <w:sz w:val="20"/>
                <w:szCs w:val="20"/>
                <w:color w:val="auto"/>
              </w:rPr>
            </w:pPr>
            <w:r>
              <w:rPr>
                <w:rFonts w:ascii="Arial" w:cs="Arial" w:eastAsia="Arial" w:hAnsi="Arial"/>
                <w:sz w:val="16"/>
                <w:szCs w:val="16"/>
                <w:b w:val="1"/>
                <w:bCs w:val="1"/>
                <w:color w:val="00162F"/>
                <w:w w:val="98"/>
              </w:rPr>
              <w:t>Retiree Medical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bottom w:val="single" w:sz="8" w:color="00162F"/>
            </w:tcBorders>
          </w:tcPr>
          <w:p>
            <w:pPr>
              <w:spacing w:after="0"/>
              <w:rPr>
                <w:sz w:val="18"/>
                <w:szCs w:val="18"/>
                <w:color w:val="auto"/>
              </w:rPr>
            </w:pPr>
          </w:p>
        </w:tc>
        <w:tc>
          <w:tcPr>
            <w:tcW w:w="380" w:type="dxa"/>
            <w:vAlign w:val="bottom"/>
            <w:tcBorders>
              <w:bottom w:val="single" w:sz="8" w:color="00162F"/>
            </w:tcBorders>
          </w:tcPr>
          <w:p>
            <w:pPr>
              <w:spacing w:after="0"/>
              <w:rPr>
                <w:sz w:val="18"/>
                <w:szCs w:val="18"/>
                <w:color w:val="auto"/>
              </w:rPr>
            </w:pPr>
          </w:p>
        </w:tc>
        <w:tc>
          <w:tcPr>
            <w:tcW w:w="1420" w:type="dxa"/>
            <w:vAlign w:val="bottom"/>
            <w:tcBorders>
              <w:bottom w:val="single" w:sz="8" w:color="00162F"/>
            </w:tcBorders>
            <w:gridSpan w:val="7"/>
            <w:vMerge w:val="continue"/>
          </w:tcPr>
          <w:p>
            <w:pPr>
              <w:spacing w:after="0"/>
              <w:rPr>
                <w:sz w:val="18"/>
                <w:szCs w:val="18"/>
                <w:color w:val="auto"/>
              </w:rPr>
            </w:pPr>
          </w:p>
        </w:tc>
        <w:tc>
          <w:tcPr>
            <w:tcW w:w="760" w:type="dxa"/>
            <w:vAlign w:val="bottom"/>
            <w:tcBorders>
              <w:bottom w:val="single" w:sz="8" w:color="00162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00162F"/>
            </w:tcBorders>
          </w:tcPr>
          <w:p>
            <w:pPr>
              <w:spacing w:after="0"/>
              <w:rPr>
                <w:sz w:val="18"/>
                <w:szCs w:val="18"/>
                <w:color w:val="auto"/>
              </w:rPr>
            </w:pPr>
          </w:p>
        </w:tc>
        <w:tc>
          <w:tcPr>
            <w:tcW w:w="60" w:type="dxa"/>
            <w:vAlign w:val="bottom"/>
            <w:tcBorders>
              <w:bottom w:val="single" w:sz="8" w:color="00162F"/>
            </w:tcBorders>
          </w:tcPr>
          <w:p>
            <w:pPr>
              <w:spacing w:after="0"/>
              <w:rPr>
                <w:sz w:val="18"/>
                <w:szCs w:val="18"/>
                <w:color w:val="auto"/>
              </w:rPr>
            </w:pPr>
          </w:p>
        </w:tc>
        <w:tc>
          <w:tcPr>
            <w:tcW w:w="2780" w:type="dxa"/>
            <w:vAlign w:val="bottom"/>
            <w:tcBorders>
              <w:bottom w:val="single" w:sz="8" w:color="00162F"/>
            </w:tcBorders>
            <w:gridSpan w:val="8"/>
          </w:tcPr>
          <w:p>
            <w:pPr>
              <w:jc w:val="center"/>
              <w:ind w:right="180"/>
              <w:spacing w:after="0"/>
              <w:rPr>
                <w:sz w:val="20"/>
                <w:szCs w:val="20"/>
                <w:color w:val="auto"/>
              </w:rPr>
            </w:pPr>
            <w:r>
              <w:rPr>
                <w:rFonts w:ascii="Arial" w:cs="Arial" w:eastAsia="Arial" w:hAnsi="Arial"/>
                <w:sz w:val="16"/>
                <w:szCs w:val="16"/>
                <w:b w:val="1"/>
                <w:bCs w:val="1"/>
                <w:color w:val="00162F"/>
                <w:w w:val="98"/>
              </w:rPr>
              <w:t>Other Postretirement Benefits</w:t>
            </w:r>
          </w:p>
        </w:tc>
        <w:tc>
          <w:tcPr>
            <w:tcW w:w="20" w:type="dxa"/>
            <w:vAlign w:val="bottom"/>
            <w:tcBorders>
              <w:bottom w:val="single" w:sz="8" w:color="00162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00162F"/>
              </w:rPr>
              <w:t>2025</w:t>
            </w:r>
          </w:p>
        </w:tc>
        <w:tc>
          <w:tcPr>
            <w:tcW w:w="960" w:type="dxa"/>
            <w:vAlign w:val="bottom"/>
            <w:gridSpan w:val="3"/>
          </w:tcPr>
          <w:p>
            <w:pPr>
              <w:jc w:val="center"/>
              <w:ind w:left="331"/>
              <w:spacing w:after="0"/>
              <w:rPr>
                <w:sz w:val="20"/>
                <w:szCs w:val="20"/>
                <w:color w:val="auto"/>
              </w:rPr>
            </w:pPr>
            <w:r>
              <w:rPr>
                <w:rFonts w:ascii="Arial" w:cs="Arial" w:eastAsia="Arial" w:hAnsi="Arial"/>
                <w:sz w:val="16"/>
                <w:szCs w:val="16"/>
                <w:b w:val="1"/>
                <w:bCs w:val="1"/>
                <w:color w:val="00162F"/>
                <w:w w:val="95"/>
              </w:rPr>
              <w:t>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88"/>
              <w:spacing w:after="0"/>
              <w:rPr>
                <w:sz w:val="20"/>
                <w:szCs w:val="20"/>
                <w:color w:val="auto"/>
              </w:rPr>
            </w:pPr>
            <w:r>
              <w:rPr>
                <w:rFonts w:ascii="Arial" w:cs="Arial" w:eastAsia="Arial" w:hAnsi="Arial"/>
                <w:sz w:val="16"/>
                <w:szCs w:val="16"/>
                <w:b w:val="1"/>
                <w:bCs w:val="1"/>
                <w:color w:val="00162F"/>
                <w:w w:val="95"/>
              </w:rPr>
              <w:t>2023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1"/>
              <w:spacing w:after="0"/>
              <w:rPr>
                <w:sz w:val="20"/>
                <w:szCs w:val="20"/>
                <w:color w:val="auto"/>
              </w:rPr>
            </w:pPr>
            <w:r>
              <w:rPr>
                <w:rFonts w:ascii="Arial" w:cs="Arial" w:eastAsia="Arial" w:hAnsi="Arial"/>
                <w:sz w:val="16"/>
                <w:szCs w:val="16"/>
                <w:b w:val="1"/>
                <w:bCs w:val="1"/>
                <w:color w:val="00162F"/>
              </w:rPr>
              <w:t>2025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00162F"/>
              </w:rPr>
              <w:t>2024</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00162F"/>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Borders>
              <w:top w:val="single" w:sz="8" w:color="EDEDED"/>
            </w:tcBorders>
            <w:shd w:val="clear" w:color="auto" w:fill="EDEDED"/>
          </w:tcPr>
          <w:p>
            <w:pPr>
              <w:spacing w:after="0"/>
              <w:rPr>
                <w:sz w:val="18"/>
                <w:szCs w:val="18"/>
                <w:color w:val="auto"/>
              </w:rPr>
            </w:pPr>
          </w:p>
        </w:tc>
        <w:tc>
          <w:tcPr>
            <w:tcW w:w="4580" w:type="dxa"/>
            <w:vAlign w:val="bottom"/>
            <w:tcBorders>
              <w:top w:val="single" w:sz="8" w:color="EDEDED"/>
            </w:tcBorders>
            <w:gridSpan w:val="4"/>
            <w:shd w:val="clear" w:color="auto" w:fill="EDEDED"/>
          </w:tcPr>
          <w:p>
            <w:pPr>
              <w:spacing w:after="0" w:line="212" w:lineRule="exact"/>
              <w:rPr>
                <w:sz w:val="20"/>
                <w:szCs w:val="20"/>
                <w:color w:val="auto"/>
              </w:rPr>
            </w:pPr>
            <w:r>
              <w:rPr>
                <w:rFonts w:ascii="Arial" w:cs="Arial" w:eastAsia="Arial" w:hAnsi="Arial"/>
                <w:sz w:val="20"/>
                <w:szCs w:val="20"/>
                <w:color w:val="00162F"/>
              </w:rPr>
              <w:t>Net periodic benefit cost (income) for the years</w:t>
            </w:r>
          </w:p>
        </w:tc>
        <w:tc>
          <w:tcPr>
            <w:tcW w:w="440" w:type="dxa"/>
            <w:vAlign w:val="bottom"/>
            <w:tcBorders>
              <w:top w:val="single" w:sz="8" w:color="00162F"/>
            </w:tcBorders>
            <w:shd w:val="clear" w:color="auto" w:fill="EDEDED"/>
          </w:tcPr>
          <w:p>
            <w:pPr>
              <w:spacing w:after="0"/>
              <w:rPr>
                <w:sz w:val="18"/>
                <w:szCs w:val="18"/>
                <w:color w:val="auto"/>
              </w:rPr>
            </w:pPr>
          </w:p>
        </w:tc>
        <w:tc>
          <w:tcPr>
            <w:tcW w:w="380" w:type="dxa"/>
            <w:vAlign w:val="bottom"/>
            <w:tcBorders>
              <w:top w:val="single" w:sz="8" w:color="00162F"/>
            </w:tcBorders>
            <w:shd w:val="clear" w:color="auto" w:fill="EDEDED"/>
          </w:tcPr>
          <w:p>
            <w:pPr>
              <w:spacing w:after="0"/>
              <w:rPr>
                <w:sz w:val="18"/>
                <w:szCs w:val="18"/>
                <w:color w:val="auto"/>
              </w:rPr>
            </w:pPr>
          </w:p>
        </w:tc>
        <w:tc>
          <w:tcPr>
            <w:tcW w:w="140" w:type="dxa"/>
            <w:vAlign w:val="bottom"/>
            <w:tcBorders>
              <w:top w:val="single" w:sz="8" w:color="00162F"/>
            </w:tcBorders>
            <w:shd w:val="clear" w:color="auto" w:fill="EDEDED"/>
          </w:tcPr>
          <w:p>
            <w:pPr>
              <w:spacing w:after="0"/>
              <w:rPr>
                <w:sz w:val="18"/>
                <w:szCs w:val="18"/>
                <w:color w:val="auto"/>
              </w:rPr>
            </w:pPr>
          </w:p>
        </w:tc>
        <w:tc>
          <w:tcPr>
            <w:tcW w:w="80" w:type="dxa"/>
            <w:vAlign w:val="bottom"/>
            <w:tcBorders>
              <w:top w:val="single" w:sz="8" w:color="EDEDED"/>
            </w:tcBorders>
            <w:shd w:val="clear" w:color="auto" w:fill="EDEDED"/>
          </w:tcPr>
          <w:p>
            <w:pPr>
              <w:spacing w:after="0"/>
              <w:rPr>
                <w:sz w:val="18"/>
                <w:szCs w:val="18"/>
                <w:color w:val="auto"/>
              </w:rPr>
            </w:pPr>
          </w:p>
        </w:tc>
        <w:tc>
          <w:tcPr>
            <w:tcW w:w="740" w:type="dxa"/>
            <w:vAlign w:val="bottom"/>
            <w:tcBorders>
              <w:top w:val="single" w:sz="8" w:color="00162F"/>
            </w:tcBorders>
            <w:shd w:val="clear" w:color="auto" w:fill="EDEDED"/>
          </w:tcPr>
          <w:p>
            <w:pPr>
              <w:spacing w:after="0"/>
              <w:rPr>
                <w:sz w:val="18"/>
                <w:szCs w:val="18"/>
                <w:color w:val="auto"/>
              </w:rPr>
            </w:pPr>
          </w:p>
        </w:tc>
        <w:tc>
          <w:tcPr>
            <w:tcW w:w="80" w:type="dxa"/>
            <w:vAlign w:val="bottom"/>
            <w:tcBorders>
              <w:top w:val="single" w:sz="8" w:color="00162F"/>
            </w:tcBorders>
            <w:shd w:val="clear" w:color="auto" w:fill="EDEDED"/>
          </w:tcPr>
          <w:p>
            <w:pPr>
              <w:spacing w:after="0"/>
              <w:rPr>
                <w:sz w:val="18"/>
                <w:szCs w:val="18"/>
                <w:color w:val="auto"/>
              </w:rPr>
            </w:pPr>
          </w:p>
        </w:tc>
        <w:tc>
          <w:tcPr>
            <w:tcW w:w="120" w:type="dxa"/>
            <w:vAlign w:val="bottom"/>
            <w:tcBorders>
              <w:top w:val="single" w:sz="8" w:color="00162F"/>
            </w:tcBorders>
            <w:shd w:val="clear" w:color="auto" w:fill="EDEDED"/>
          </w:tcPr>
          <w:p>
            <w:pPr>
              <w:spacing w:after="0"/>
              <w:rPr>
                <w:sz w:val="18"/>
                <w:szCs w:val="18"/>
                <w:color w:val="auto"/>
              </w:rPr>
            </w:pPr>
          </w:p>
        </w:tc>
        <w:tc>
          <w:tcPr>
            <w:tcW w:w="80" w:type="dxa"/>
            <w:vAlign w:val="bottom"/>
            <w:tcBorders>
              <w:top w:val="single" w:sz="8" w:color="EDEDED"/>
            </w:tcBorders>
            <w:shd w:val="clear" w:color="auto" w:fill="EDEDED"/>
          </w:tcPr>
          <w:p>
            <w:pPr>
              <w:spacing w:after="0"/>
              <w:rPr>
                <w:sz w:val="18"/>
                <w:szCs w:val="18"/>
                <w:color w:val="auto"/>
              </w:rPr>
            </w:pPr>
          </w:p>
        </w:tc>
        <w:tc>
          <w:tcPr>
            <w:tcW w:w="180" w:type="dxa"/>
            <w:vAlign w:val="bottom"/>
            <w:tcBorders>
              <w:top w:val="single" w:sz="8" w:color="00162F"/>
            </w:tcBorders>
            <w:shd w:val="clear" w:color="auto" w:fill="EDEDED"/>
          </w:tcPr>
          <w:p>
            <w:pPr>
              <w:spacing w:after="0"/>
              <w:rPr>
                <w:sz w:val="18"/>
                <w:szCs w:val="18"/>
                <w:color w:val="auto"/>
              </w:rPr>
            </w:pPr>
          </w:p>
        </w:tc>
        <w:tc>
          <w:tcPr>
            <w:tcW w:w="760" w:type="dxa"/>
            <w:vAlign w:val="bottom"/>
            <w:tcBorders>
              <w:top w:val="single" w:sz="8" w:color="00162F"/>
            </w:tcBorders>
            <w:shd w:val="clear" w:color="auto" w:fill="EDEDED"/>
          </w:tcPr>
          <w:p>
            <w:pPr>
              <w:spacing w:after="0"/>
              <w:rPr>
                <w:sz w:val="18"/>
                <w:szCs w:val="18"/>
                <w:color w:val="auto"/>
              </w:rPr>
            </w:pPr>
          </w:p>
        </w:tc>
        <w:tc>
          <w:tcPr>
            <w:tcW w:w="80" w:type="dxa"/>
            <w:vAlign w:val="bottom"/>
            <w:tcBorders>
              <w:top w:val="single" w:sz="8" w:color="EDEDED"/>
            </w:tcBorders>
            <w:shd w:val="clear" w:color="auto" w:fill="EDEDED"/>
          </w:tcPr>
          <w:p>
            <w:pPr>
              <w:spacing w:after="0"/>
              <w:rPr>
                <w:sz w:val="18"/>
                <w:szCs w:val="18"/>
                <w:color w:val="auto"/>
              </w:rPr>
            </w:pPr>
          </w:p>
        </w:tc>
        <w:tc>
          <w:tcPr>
            <w:tcW w:w="140" w:type="dxa"/>
            <w:vAlign w:val="bottom"/>
            <w:tcBorders>
              <w:top w:val="single" w:sz="8" w:color="00162F"/>
            </w:tcBorders>
            <w:shd w:val="clear" w:color="auto" w:fill="EDEDED"/>
          </w:tcPr>
          <w:p>
            <w:pPr>
              <w:spacing w:after="0"/>
              <w:rPr>
                <w:sz w:val="18"/>
                <w:szCs w:val="18"/>
                <w:color w:val="auto"/>
              </w:rPr>
            </w:pPr>
          </w:p>
        </w:tc>
        <w:tc>
          <w:tcPr>
            <w:tcW w:w="60" w:type="dxa"/>
            <w:vAlign w:val="bottom"/>
            <w:tcBorders>
              <w:top w:val="single" w:sz="8" w:color="00162F"/>
            </w:tcBorders>
            <w:shd w:val="clear" w:color="auto" w:fill="EDEDED"/>
          </w:tcPr>
          <w:p>
            <w:pPr>
              <w:spacing w:after="0"/>
              <w:rPr>
                <w:sz w:val="18"/>
                <w:szCs w:val="18"/>
                <w:color w:val="auto"/>
              </w:rPr>
            </w:pPr>
          </w:p>
        </w:tc>
        <w:tc>
          <w:tcPr>
            <w:tcW w:w="760" w:type="dxa"/>
            <w:vAlign w:val="bottom"/>
            <w:tcBorders>
              <w:top w:val="single" w:sz="8" w:color="00162F"/>
            </w:tcBorders>
            <w:shd w:val="clear" w:color="auto" w:fill="EDEDED"/>
          </w:tcPr>
          <w:p>
            <w:pPr>
              <w:spacing w:after="0"/>
              <w:rPr>
                <w:sz w:val="18"/>
                <w:szCs w:val="18"/>
                <w:color w:val="auto"/>
              </w:rPr>
            </w:pPr>
          </w:p>
        </w:tc>
        <w:tc>
          <w:tcPr>
            <w:tcW w:w="60" w:type="dxa"/>
            <w:vAlign w:val="bottom"/>
            <w:tcBorders>
              <w:top w:val="single" w:sz="8" w:color="EDEDED"/>
            </w:tcBorders>
            <w:shd w:val="clear" w:color="auto" w:fill="EDEDED"/>
          </w:tcPr>
          <w:p>
            <w:pPr>
              <w:spacing w:after="0"/>
              <w:rPr>
                <w:sz w:val="18"/>
                <w:szCs w:val="18"/>
                <w:color w:val="auto"/>
              </w:rPr>
            </w:pPr>
          </w:p>
        </w:tc>
        <w:tc>
          <w:tcPr>
            <w:tcW w:w="200" w:type="dxa"/>
            <w:vAlign w:val="bottom"/>
            <w:tcBorders>
              <w:top w:val="single" w:sz="8" w:color="00162F"/>
            </w:tcBorders>
            <w:shd w:val="clear" w:color="auto" w:fill="EDEDED"/>
          </w:tcPr>
          <w:p>
            <w:pPr>
              <w:spacing w:after="0"/>
              <w:rPr>
                <w:sz w:val="18"/>
                <w:szCs w:val="18"/>
                <w:color w:val="auto"/>
              </w:rPr>
            </w:pPr>
          </w:p>
        </w:tc>
        <w:tc>
          <w:tcPr>
            <w:tcW w:w="340" w:type="dxa"/>
            <w:vAlign w:val="bottom"/>
            <w:tcBorders>
              <w:top w:val="single" w:sz="8" w:color="00162F"/>
            </w:tcBorders>
            <w:shd w:val="clear" w:color="auto" w:fill="EDEDED"/>
          </w:tcPr>
          <w:p>
            <w:pPr>
              <w:spacing w:after="0"/>
              <w:rPr>
                <w:sz w:val="18"/>
                <w:szCs w:val="18"/>
                <w:color w:val="auto"/>
              </w:rPr>
            </w:pPr>
          </w:p>
        </w:tc>
        <w:tc>
          <w:tcPr>
            <w:tcW w:w="80" w:type="dxa"/>
            <w:vAlign w:val="bottom"/>
            <w:tcBorders>
              <w:top w:val="single" w:sz="8" w:color="00162F"/>
            </w:tcBorders>
            <w:shd w:val="clear" w:color="auto" w:fill="EDEDED"/>
          </w:tcPr>
          <w:p>
            <w:pPr>
              <w:spacing w:after="0"/>
              <w:rPr>
                <w:sz w:val="18"/>
                <w:szCs w:val="18"/>
                <w:color w:val="auto"/>
              </w:rPr>
            </w:pPr>
          </w:p>
        </w:tc>
        <w:tc>
          <w:tcPr>
            <w:tcW w:w="340" w:type="dxa"/>
            <w:vAlign w:val="bottom"/>
            <w:tcBorders>
              <w:top w:val="single" w:sz="8" w:color="00162F"/>
            </w:tcBorders>
            <w:shd w:val="clear" w:color="auto" w:fill="EDEDED"/>
          </w:tcPr>
          <w:p>
            <w:pPr>
              <w:spacing w:after="0"/>
              <w:rPr>
                <w:sz w:val="18"/>
                <w:szCs w:val="18"/>
                <w:color w:val="auto"/>
              </w:rPr>
            </w:pPr>
          </w:p>
        </w:tc>
        <w:tc>
          <w:tcPr>
            <w:tcW w:w="60" w:type="dxa"/>
            <w:vAlign w:val="bottom"/>
            <w:tcBorders>
              <w:top w:val="single" w:sz="8" w:color="EDEDED"/>
            </w:tcBorders>
            <w:shd w:val="clear" w:color="auto" w:fill="EDEDED"/>
          </w:tcPr>
          <w:p>
            <w:pPr>
              <w:spacing w:after="0"/>
              <w:rPr>
                <w:sz w:val="18"/>
                <w:szCs w:val="18"/>
                <w:color w:val="auto"/>
              </w:rPr>
            </w:pPr>
          </w:p>
        </w:tc>
        <w:tc>
          <w:tcPr>
            <w:tcW w:w="940" w:type="dxa"/>
            <w:vAlign w:val="bottom"/>
            <w:tcBorders>
              <w:top w:val="single" w:sz="8" w:color="00162F"/>
            </w:tcBorders>
            <w:shd w:val="clear" w:color="auto" w:fill="EDEDED"/>
          </w:tcPr>
          <w:p>
            <w:pPr>
              <w:spacing w:after="0"/>
              <w:rPr>
                <w:sz w:val="18"/>
                <w:szCs w:val="18"/>
                <w:color w:val="auto"/>
              </w:rPr>
            </w:pPr>
          </w:p>
        </w:tc>
        <w:tc>
          <w:tcPr>
            <w:tcW w:w="20" w:type="dxa"/>
            <w:vAlign w:val="bottom"/>
            <w:tcBorders>
              <w:top w:val="single" w:sz="8" w:color="00162F"/>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Borders>
              <w:top w:val="single" w:sz="8" w:color="EDEDED"/>
              <w:bottom w:val="single" w:sz="8" w:color="EDEDED"/>
            </w:tcBorders>
            <w:shd w:val="clear" w:color="auto" w:fill="EDEDED"/>
          </w:tcPr>
          <w:p>
            <w:pPr>
              <w:spacing w:after="0"/>
              <w:rPr>
                <w:sz w:val="18"/>
                <w:szCs w:val="18"/>
                <w:color w:val="auto"/>
              </w:rPr>
            </w:pPr>
          </w:p>
        </w:tc>
        <w:tc>
          <w:tcPr>
            <w:tcW w:w="1860" w:type="dxa"/>
            <w:vAlign w:val="bottom"/>
            <w:tcBorders>
              <w:top w:val="single" w:sz="8" w:color="00162F"/>
              <w:bottom w:val="single" w:sz="8" w:color="00162F"/>
            </w:tcBorders>
            <w:shd w:val="clear" w:color="auto" w:fill="EDEDED"/>
          </w:tcPr>
          <w:p>
            <w:pPr>
              <w:spacing w:after="0" w:line="178" w:lineRule="exact"/>
              <w:rPr>
                <w:sz w:val="20"/>
                <w:szCs w:val="20"/>
                <w:color w:val="auto"/>
              </w:rPr>
            </w:pPr>
            <w:r>
              <w:rPr>
                <w:rFonts w:ascii="Arial" w:cs="Arial" w:eastAsia="Arial" w:hAnsi="Arial"/>
                <w:sz w:val="20"/>
                <w:szCs w:val="20"/>
                <w:color w:val="00162F"/>
                <w:w w:val="98"/>
              </w:rPr>
              <w:t>ended December 31:</w:t>
            </w:r>
          </w:p>
        </w:tc>
        <w:tc>
          <w:tcPr>
            <w:tcW w:w="2300" w:type="dxa"/>
            <w:vAlign w:val="bottom"/>
            <w:tcBorders>
              <w:top w:val="single" w:sz="8" w:color="00162F"/>
              <w:bottom w:val="single" w:sz="8" w:color="EDEDED"/>
            </w:tcBorders>
            <w:gridSpan w:val="2"/>
            <w:shd w:val="clear" w:color="auto" w:fill="EDEDED"/>
          </w:tcPr>
          <w:p>
            <w:pPr>
              <w:spacing w:after="0"/>
              <w:rPr>
                <w:sz w:val="18"/>
                <w:szCs w:val="18"/>
                <w:color w:val="auto"/>
              </w:rPr>
            </w:pPr>
          </w:p>
        </w:tc>
        <w:tc>
          <w:tcPr>
            <w:tcW w:w="420" w:type="dxa"/>
            <w:vAlign w:val="bottom"/>
            <w:tcBorders>
              <w:top w:val="single" w:sz="8" w:color="EDEDED"/>
              <w:bottom w:val="single" w:sz="8" w:color="EDEDED"/>
            </w:tcBorders>
            <w:shd w:val="clear" w:color="auto" w:fill="EDEDED"/>
          </w:tcPr>
          <w:p>
            <w:pPr>
              <w:spacing w:after="0"/>
              <w:rPr>
                <w:sz w:val="18"/>
                <w:szCs w:val="18"/>
                <w:color w:val="auto"/>
              </w:rPr>
            </w:pPr>
          </w:p>
        </w:tc>
        <w:tc>
          <w:tcPr>
            <w:tcW w:w="440" w:type="dxa"/>
            <w:vAlign w:val="bottom"/>
            <w:tcBorders>
              <w:top w:val="single" w:sz="8" w:color="EDEDED"/>
              <w:bottom w:val="single" w:sz="8" w:color="EDEDED"/>
            </w:tcBorders>
            <w:shd w:val="clear" w:color="auto" w:fill="EDEDED"/>
          </w:tcPr>
          <w:p>
            <w:pPr>
              <w:spacing w:after="0"/>
              <w:rPr>
                <w:sz w:val="18"/>
                <w:szCs w:val="18"/>
                <w:color w:val="auto"/>
              </w:rPr>
            </w:pPr>
          </w:p>
        </w:tc>
        <w:tc>
          <w:tcPr>
            <w:tcW w:w="380" w:type="dxa"/>
            <w:vAlign w:val="bottom"/>
            <w:tcBorders>
              <w:top w:val="single" w:sz="8" w:color="EDEDED"/>
              <w:bottom w:val="single" w:sz="8" w:color="EDEDED"/>
            </w:tcBorders>
            <w:shd w:val="clear" w:color="auto" w:fill="EDEDED"/>
          </w:tcPr>
          <w:p>
            <w:pPr>
              <w:spacing w:after="0"/>
              <w:rPr>
                <w:sz w:val="18"/>
                <w:szCs w:val="18"/>
                <w:color w:val="auto"/>
              </w:rPr>
            </w:pPr>
          </w:p>
        </w:tc>
        <w:tc>
          <w:tcPr>
            <w:tcW w:w="140" w:type="dxa"/>
            <w:vAlign w:val="bottom"/>
            <w:tcBorders>
              <w:top w:val="single" w:sz="8" w:color="EDEDED"/>
              <w:bottom w:val="single" w:sz="8" w:color="EDEDED"/>
            </w:tcBorders>
            <w:shd w:val="clear" w:color="auto" w:fill="EDEDED"/>
          </w:tcPr>
          <w:p>
            <w:pPr>
              <w:spacing w:after="0"/>
              <w:rPr>
                <w:sz w:val="18"/>
                <w:szCs w:val="18"/>
                <w:color w:val="auto"/>
              </w:rPr>
            </w:pPr>
          </w:p>
        </w:tc>
        <w:tc>
          <w:tcPr>
            <w:tcW w:w="80" w:type="dxa"/>
            <w:vAlign w:val="bottom"/>
            <w:tcBorders>
              <w:top w:val="single" w:sz="8" w:color="EDEDED"/>
              <w:bottom w:val="single" w:sz="8" w:color="EDEDED"/>
            </w:tcBorders>
            <w:shd w:val="clear" w:color="auto" w:fill="EDEDED"/>
          </w:tcPr>
          <w:p>
            <w:pPr>
              <w:spacing w:after="0"/>
              <w:rPr>
                <w:sz w:val="18"/>
                <w:szCs w:val="18"/>
                <w:color w:val="auto"/>
              </w:rPr>
            </w:pPr>
          </w:p>
        </w:tc>
        <w:tc>
          <w:tcPr>
            <w:tcW w:w="740" w:type="dxa"/>
            <w:vAlign w:val="bottom"/>
            <w:tcBorders>
              <w:top w:val="single" w:sz="8" w:color="EDEDED"/>
              <w:bottom w:val="single" w:sz="8" w:color="EDEDED"/>
            </w:tcBorders>
            <w:shd w:val="clear" w:color="auto" w:fill="EDEDED"/>
          </w:tcPr>
          <w:p>
            <w:pPr>
              <w:spacing w:after="0"/>
              <w:rPr>
                <w:sz w:val="18"/>
                <w:szCs w:val="18"/>
                <w:color w:val="auto"/>
              </w:rPr>
            </w:pPr>
          </w:p>
        </w:tc>
        <w:tc>
          <w:tcPr>
            <w:tcW w:w="80" w:type="dxa"/>
            <w:vAlign w:val="bottom"/>
            <w:tcBorders>
              <w:top w:val="single" w:sz="8" w:color="EDEDED"/>
              <w:bottom w:val="single" w:sz="8" w:color="EDEDED"/>
            </w:tcBorders>
            <w:shd w:val="clear" w:color="auto" w:fill="EDEDED"/>
          </w:tcPr>
          <w:p>
            <w:pPr>
              <w:spacing w:after="0"/>
              <w:rPr>
                <w:sz w:val="18"/>
                <w:szCs w:val="18"/>
                <w:color w:val="auto"/>
              </w:rPr>
            </w:pPr>
          </w:p>
        </w:tc>
        <w:tc>
          <w:tcPr>
            <w:tcW w:w="120" w:type="dxa"/>
            <w:vAlign w:val="bottom"/>
            <w:tcBorders>
              <w:top w:val="single" w:sz="8" w:color="EDEDED"/>
              <w:bottom w:val="single" w:sz="8" w:color="EDEDED"/>
            </w:tcBorders>
            <w:shd w:val="clear" w:color="auto" w:fill="EDEDED"/>
          </w:tcPr>
          <w:p>
            <w:pPr>
              <w:spacing w:after="0"/>
              <w:rPr>
                <w:sz w:val="18"/>
                <w:szCs w:val="18"/>
                <w:color w:val="auto"/>
              </w:rPr>
            </w:pPr>
          </w:p>
        </w:tc>
        <w:tc>
          <w:tcPr>
            <w:tcW w:w="80" w:type="dxa"/>
            <w:vAlign w:val="bottom"/>
            <w:tcBorders>
              <w:top w:val="single" w:sz="8" w:color="EDEDED"/>
              <w:bottom w:val="single" w:sz="8" w:color="EDEDED"/>
            </w:tcBorders>
            <w:shd w:val="clear" w:color="auto" w:fill="EDEDED"/>
          </w:tcPr>
          <w:p>
            <w:pPr>
              <w:spacing w:after="0"/>
              <w:rPr>
                <w:sz w:val="18"/>
                <w:szCs w:val="18"/>
                <w:color w:val="auto"/>
              </w:rPr>
            </w:pPr>
          </w:p>
        </w:tc>
        <w:tc>
          <w:tcPr>
            <w:tcW w:w="180" w:type="dxa"/>
            <w:vAlign w:val="bottom"/>
            <w:tcBorders>
              <w:top w:val="single" w:sz="8" w:color="EDEDED"/>
              <w:bottom w:val="single" w:sz="8" w:color="EDEDED"/>
            </w:tcBorders>
            <w:shd w:val="clear" w:color="auto" w:fill="EDEDED"/>
          </w:tcPr>
          <w:p>
            <w:pPr>
              <w:spacing w:after="0"/>
              <w:rPr>
                <w:sz w:val="18"/>
                <w:szCs w:val="18"/>
                <w:color w:val="auto"/>
              </w:rPr>
            </w:pPr>
          </w:p>
        </w:tc>
        <w:tc>
          <w:tcPr>
            <w:tcW w:w="760" w:type="dxa"/>
            <w:vAlign w:val="bottom"/>
            <w:tcBorders>
              <w:top w:val="single" w:sz="8" w:color="EDEDED"/>
              <w:bottom w:val="single" w:sz="8" w:color="EDEDED"/>
            </w:tcBorders>
            <w:shd w:val="clear" w:color="auto" w:fill="EDEDED"/>
          </w:tcPr>
          <w:p>
            <w:pPr>
              <w:spacing w:after="0"/>
              <w:rPr>
                <w:sz w:val="18"/>
                <w:szCs w:val="18"/>
                <w:color w:val="auto"/>
              </w:rPr>
            </w:pPr>
          </w:p>
        </w:tc>
        <w:tc>
          <w:tcPr>
            <w:tcW w:w="80" w:type="dxa"/>
            <w:vAlign w:val="bottom"/>
            <w:tcBorders>
              <w:top w:val="single" w:sz="8" w:color="EDEDED"/>
              <w:bottom w:val="single" w:sz="8" w:color="EDEDED"/>
            </w:tcBorders>
            <w:shd w:val="clear" w:color="auto" w:fill="EDEDED"/>
          </w:tcPr>
          <w:p>
            <w:pPr>
              <w:spacing w:after="0"/>
              <w:rPr>
                <w:sz w:val="18"/>
                <w:szCs w:val="18"/>
                <w:color w:val="auto"/>
              </w:rPr>
            </w:pPr>
          </w:p>
        </w:tc>
        <w:tc>
          <w:tcPr>
            <w:tcW w:w="140" w:type="dxa"/>
            <w:vAlign w:val="bottom"/>
            <w:tcBorders>
              <w:top w:val="single" w:sz="8" w:color="EDEDED"/>
              <w:bottom w:val="single" w:sz="8" w:color="EDEDED"/>
            </w:tcBorders>
            <w:shd w:val="clear" w:color="auto" w:fill="EDEDED"/>
          </w:tcPr>
          <w:p>
            <w:pPr>
              <w:spacing w:after="0"/>
              <w:rPr>
                <w:sz w:val="18"/>
                <w:szCs w:val="18"/>
                <w:color w:val="auto"/>
              </w:rPr>
            </w:pPr>
          </w:p>
        </w:tc>
        <w:tc>
          <w:tcPr>
            <w:tcW w:w="60" w:type="dxa"/>
            <w:vAlign w:val="bottom"/>
            <w:tcBorders>
              <w:top w:val="single" w:sz="8" w:color="EDEDED"/>
              <w:bottom w:val="single" w:sz="8" w:color="EDEDED"/>
            </w:tcBorders>
            <w:shd w:val="clear" w:color="auto" w:fill="EDEDED"/>
          </w:tcPr>
          <w:p>
            <w:pPr>
              <w:spacing w:after="0"/>
              <w:rPr>
                <w:sz w:val="18"/>
                <w:szCs w:val="18"/>
                <w:color w:val="auto"/>
              </w:rPr>
            </w:pPr>
          </w:p>
        </w:tc>
        <w:tc>
          <w:tcPr>
            <w:tcW w:w="760" w:type="dxa"/>
            <w:vAlign w:val="bottom"/>
            <w:tcBorders>
              <w:top w:val="single" w:sz="8" w:color="EDEDED"/>
              <w:bottom w:val="single" w:sz="8" w:color="EDEDED"/>
            </w:tcBorders>
            <w:shd w:val="clear" w:color="auto" w:fill="EDEDED"/>
          </w:tcPr>
          <w:p>
            <w:pPr>
              <w:spacing w:after="0"/>
              <w:rPr>
                <w:sz w:val="18"/>
                <w:szCs w:val="18"/>
                <w:color w:val="auto"/>
              </w:rPr>
            </w:pPr>
          </w:p>
        </w:tc>
        <w:tc>
          <w:tcPr>
            <w:tcW w:w="60" w:type="dxa"/>
            <w:vAlign w:val="bottom"/>
            <w:tcBorders>
              <w:top w:val="single" w:sz="8" w:color="EDEDED"/>
              <w:bottom w:val="single" w:sz="8" w:color="EDEDED"/>
            </w:tcBorders>
            <w:shd w:val="clear" w:color="auto" w:fill="EDEDED"/>
          </w:tcPr>
          <w:p>
            <w:pPr>
              <w:spacing w:after="0"/>
              <w:rPr>
                <w:sz w:val="18"/>
                <w:szCs w:val="18"/>
                <w:color w:val="auto"/>
              </w:rPr>
            </w:pPr>
          </w:p>
        </w:tc>
        <w:tc>
          <w:tcPr>
            <w:tcW w:w="200" w:type="dxa"/>
            <w:vAlign w:val="bottom"/>
            <w:tcBorders>
              <w:top w:val="single" w:sz="8" w:color="EDEDED"/>
              <w:bottom w:val="single" w:sz="8" w:color="EDEDED"/>
            </w:tcBorders>
            <w:shd w:val="clear" w:color="auto" w:fill="EDEDED"/>
          </w:tcPr>
          <w:p>
            <w:pPr>
              <w:spacing w:after="0"/>
              <w:rPr>
                <w:sz w:val="18"/>
                <w:szCs w:val="18"/>
                <w:color w:val="auto"/>
              </w:rPr>
            </w:pPr>
          </w:p>
        </w:tc>
        <w:tc>
          <w:tcPr>
            <w:tcW w:w="340" w:type="dxa"/>
            <w:vAlign w:val="bottom"/>
            <w:tcBorders>
              <w:top w:val="single" w:sz="8" w:color="EDEDED"/>
              <w:bottom w:val="single" w:sz="8" w:color="EDEDED"/>
            </w:tcBorders>
            <w:shd w:val="clear" w:color="auto" w:fill="EDEDED"/>
          </w:tcPr>
          <w:p>
            <w:pPr>
              <w:spacing w:after="0"/>
              <w:rPr>
                <w:sz w:val="18"/>
                <w:szCs w:val="18"/>
                <w:color w:val="auto"/>
              </w:rPr>
            </w:pPr>
          </w:p>
        </w:tc>
        <w:tc>
          <w:tcPr>
            <w:tcW w:w="80" w:type="dxa"/>
            <w:vAlign w:val="bottom"/>
            <w:tcBorders>
              <w:top w:val="single" w:sz="8" w:color="EDEDED"/>
              <w:bottom w:val="single" w:sz="8" w:color="EDEDED"/>
            </w:tcBorders>
            <w:shd w:val="clear" w:color="auto" w:fill="EDEDED"/>
          </w:tcPr>
          <w:p>
            <w:pPr>
              <w:spacing w:after="0"/>
              <w:rPr>
                <w:sz w:val="18"/>
                <w:szCs w:val="18"/>
                <w:color w:val="auto"/>
              </w:rPr>
            </w:pPr>
          </w:p>
        </w:tc>
        <w:tc>
          <w:tcPr>
            <w:tcW w:w="340" w:type="dxa"/>
            <w:vAlign w:val="bottom"/>
            <w:tcBorders>
              <w:top w:val="single" w:sz="8" w:color="EDEDED"/>
              <w:bottom w:val="single" w:sz="8" w:color="EDEDED"/>
            </w:tcBorders>
            <w:shd w:val="clear" w:color="auto" w:fill="EDEDED"/>
          </w:tcPr>
          <w:p>
            <w:pPr>
              <w:spacing w:after="0"/>
              <w:rPr>
                <w:sz w:val="18"/>
                <w:szCs w:val="18"/>
                <w:color w:val="auto"/>
              </w:rPr>
            </w:pPr>
          </w:p>
        </w:tc>
        <w:tc>
          <w:tcPr>
            <w:tcW w:w="60" w:type="dxa"/>
            <w:vAlign w:val="bottom"/>
            <w:tcBorders>
              <w:top w:val="single" w:sz="8" w:color="EDEDED"/>
              <w:bottom w:val="single" w:sz="8" w:color="EDEDED"/>
            </w:tcBorders>
            <w:shd w:val="clear" w:color="auto" w:fill="EDEDED"/>
          </w:tcPr>
          <w:p>
            <w:pPr>
              <w:spacing w:after="0"/>
              <w:rPr>
                <w:sz w:val="18"/>
                <w:szCs w:val="18"/>
                <w:color w:val="auto"/>
              </w:rPr>
            </w:pPr>
          </w:p>
        </w:tc>
        <w:tc>
          <w:tcPr>
            <w:tcW w:w="940" w:type="dxa"/>
            <w:vAlign w:val="bottom"/>
            <w:tcBorders>
              <w:top w:val="single" w:sz="8" w:color="EDEDED"/>
              <w:bottom w:val="single" w:sz="8" w:color="EDEDED"/>
            </w:tcBorders>
            <w:shd w:val="clear" w:color="auto" w:fill="EDEDED"/>
          </w:tcPr>
          <w:p>
            <w:pPr>
              <w:spacing w:after="0"/>
              <w:rPr>
                <w:sz w:val="18"/>
                <w:szCs w:val="18"/>
                <w:color w:val="auto"/>
              </w:rPr>
            </w:pPr>
          </w:p>
        </w:tc>
        <w:tc>
          <w:tcPr>
            <w:tcW w:w="20" w:type="dxa"/>
            <w:vAlign w:val="bottom"/>
            <w:tcBorders>
              <w:top w:val="single" w:sz="8" w:color="EDEDED"/>
              <w:bottom w:val="single" w:sz="8" w:color="EDEDED"/>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4580" w:type="dxa"/>
            <w:vAlign w:val="bottom"/>
            <w:gridSpan w:val="4"/>
          </w:tcPr>
          <w:p>
            <w:pPr>
              <w:spacing w:after="0"/>
              <w:rPr>
                <w:sz w:val="20"/>
                <w:szCs w:val="20"/>
                <w:color w:val="auto"/>
              </w:rPr>
            </w:pPr>
            <w:r>
              <w:rPr>
                <w:rFonts w:ascii="Arial" w:cs="Arial" w:eastAsia="Arial" w:hAnsi="Arial"/>
                <w:sz w:val="20"/>
                <w:szCs w:val="20"/>
                <w:color w:val="00162F"/>
              </w:rPr>
              <w:t>Weighted average discount rate</w:t>
            </w: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00162F"/>
              </w:rPr>
              <w:t>5.7%</w:t>
            </w:r>
          </w:p>
        </w:tc>
        <w:tc>
          <w:tcPr>
            <w:tcW w:w="960" w:type="dxa"/>
            <w:vAlign w:val="bottom"/>
            <w:gridSpan w:val="3"/>
          </w:tcPr>
          <w:p>
            <w:pPr>
              <w:jc w:val="center"/>
              <w:ind w:left="371"/>
              <w:spacing w:after="0"/>
              <w:rPr>
                <w:sz w:val="20"/>
                <w:szCs w:val="20"/>
                <w:color w:val="auto"/>
              </w:rPr>
            </w:pPr>
            <w:r>
              <w:rPr>
                <w:rFonts w:ascii="Arial" w:cs="Arial" w:eastAsia="Arial" w:hAnsi="Arial"/>
                <w:sz w:val="20"/>
                <w:szCs w:val="20"/>
                <w:color w:val="00162F"/>
              </w:rPr>
              <w:t>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ind w:right="48"/>
              <w:spacing w:after="0"/>
              <w:rPr>
                <w:sz w:val="20"/>
                <w:szCs w:val="20"/>
                <w:color w:val="auto"/>
              </w:rPr>
            </w:pPr>
            <w:r>
              <w:rPr>
                <w:rFonts w:ascii="Arial" w:cs="Arial" w:eastAsia="Arial" w:hAnsi="Arial"/>
                <w:sz w:val="20"/>
                <w:szCs w:val="20"/>
                <w:color w:val="00162F"/>
              </w:rPr>
              <w:t>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41"/>
              <w:spacing w:after="0"/>
              <w:rPr>
                <w:sz w:val="20"/>
                <w:szCs w:val="20"/>
                <w:color w:val="auto"/>
              </w:rPr>
            </w:pPr>
            <w:r>
              <w:rPr>
                <w:rFonts w:ascii="Arial" w:cs="Arial" w:eastAsia="Arial" w:hAnsi="Arial"/>
                <w:sz w:val="20"/>
                <w:szCs w:val="20"/>
                <w:color w:val="00162F"/>
              </w:rPr>
              <w:t>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20"/>
                <w:szCs w:val="20"/>
                <w:color w:val="00162F"/>
                <w:w w:val="96"/>
              </w:rPr>
              <w:t>5.3%</w:t>
            </w:r>
          </w:p>
        </w:tc>
        <w:tc>
          <w:tcPr>
            <w:tcW w:w="1000" w:type="dxa"/>
            <w:vAlign w:val="bottom"/>
            <w:gridSpan w:val="2"/>
          </w:tcPr>
          <w:p>
            <w:pPr>
              <w:jc w:val="center"/>
              <w:ind w:left="28"/>
              <w:spacing w:after="0"/>
              <w:rPr>
                <w:sz w:val="20"/>
                <w:szCs w:val="20"/>
                <w:color w:val="auto"/>
              </w:rPr>
            </w:pPr>
            <w:r>
              <w:rPr>
                <w:rFonts w:ascii="Arial" w:cs="Arial" w:eastAsia="Arial" w:hAnsi="Arial"/>
                <w:sz w:val="20"/>
                <w:szCs w:val="20"/>
                <w:color w:val="00162F"/>
                <w:w w:val="96"/>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EDEDED"/>
          </w:tcPr>
          <w:p>
            <w:pPr>
              <w:spacing w:after="0"/>
              <w:rPr>
                <w:sz w:val="19"/>
                <w:szCs w:val="19"/>
                <w:color w:val="auto"/>
              </w:rPr>
            </w:pPr>
          </w:p>
        </w:tc>
        <w:tc>
          <w:tcPr>
            <w:tcW w:w="4580" w:type="dxa"/>
            <w:vAlign w:val="bottom"/>
            <w:gridSpan w:val="4"/>
            <w:shd w:val="clear" w:color="auto" w:fill="EDEDED"/>
          </w:tcPr>
          <w:p>
            <w:pPr>
              <w:spacing w:after="0" w:line="225" w:lineRule="exact"/>
              <w:rPr>
                <w:sz w:val="20"/>
                <w:szCs w:val="20"/>
                <w:color w:val="auto"/>
              </w:rPr>
            </w:pPr>
            <w:r>
              <w:rPr>
                <w:rFonts w:ascii="Arial" w:cs="Arial" w:eastAsia="Arial" w:hAnsi="Arial"/>
                <w:sz w:val="20"/>
                <w:szCs w:val="20"/>
                <w:color w:val="00162F"/>
              </w:rPr>
              <w:t>Weighted average expected rate of return on plan</w:t>
            </w:r>
          </w:p>
        </w:tc>
        <w:tc>
          <w:tcPr>
            <w:tcW w:w="820" w:type="dxa"/>
            <w:vAlign w:val="bottom"/>
            <w:gridSpan w:val="2"/>
            <w:vMerge w:val="restart"/>
            <w:shd w:val="clear" w:color="auto" w:fill="EDEDED"/>
          </w:tcPr>
          <w:p>
            <w:pPr>
              <w:jc w:val="right"/>
              <w:ind w:right="40"/>
              <w:spacing w:after="0"/>
              <w:rPr>
                <w:sz w:val="20"/>
                <w:szCs w:val="20"/>
                <w:color w:val="auto"/>
              </w:rPr>
            </w:pPr>
            <w:r>
              <w:rPr>
                <w:rFonts w:ascii="Arial" w:cs="Arial" w:eastAsia="Arial" w:hAnsi="Arial"/>
                <w:sz w:val="20"/>
                <w:szCs w:val="20"/>
                <w:color w:val="00162F"/>
              </w:rPr>
              <w:t>7.75%</w:t>
            </w:r>
          </w:p>
        </w:tc>
        <w:tc>
          <w:tcPr>
            <w:tcW w:w="960" w:type="dxa"/>
            <w:vAlign w:val="bottom"/>
            <w:gridSpan w:val="3"/>
            <w:vMerge w:val="restart"/>
            <w:shd w:val="clear" w:color="auto" w:fill="EDEDED"/>
          </w:tcPr>
          <w:p>
            <w:pPr>
              <w:jc w:val="center"/>
              <w:ind w:left="371"/>
              <w:spacing w:after="0"/>
              <w:rPr>
                <w:sz w:val="20"/>
                <w:szCs w:val="20"/>
                <w:color w:val="auto"/>
              </w:rPr>
            </w:pPr>
            <w:r>
              <w:rPr>
                <w:rFonts w:ascii="Arial" w:cs="Arial" w:eastAsia="Arial" w:hAnsi="Arial"/>
                <w:sz w:val="20"/>
                <w:szCs w:val="20"/>
                <w:color w:val="00162F"/>
              </w:rPr>
              <w:t>8.0%</w:t>
            </w:r>
          </w:p>
        </w:tc>
        <w:tc>
          <w:tcPr>
            <w:tcW w:w="8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180" w:type="dxa"/>
            <w:vAlign w:val="bottom"/>
            <w:shd w:val="clear" w:color="auto" w:fill="EDEDED"/>
          </w:tcPr>
          <w:p>
            <w:pPr>
              <w:spacing w:after="0"/>
              <w:rPr>
                <w:sz w:val="19"/>
                <w:szCs w:val="19"/>
                <w:color w:val="auto"/>
              </w:rPr>
            </w:pPr>
          </w:p>
        </w:tc>
        <w:tc>
          <w:tcPr>
            <w:tcW w:w="760" w:type="dxa"/>
            <w:vAlign w:val="bottom"/>
            <w:vMerge w:val="restart"/>
            <w:shd w:val="clear" w:color="auto" w:fill="EDEDED"/>
          </w:tcPr>
          <w:p>
            <w:pPr>
              <w:jc w:val="center"/>
              <w:ind w:right="48"/>
              <w:spacing w:after="0"/>
              <w:rPr>
                <w:sz w:val="20"/>
                <w:szCs w:val="20"/>
                <w:color w:val="auto"/>
              </w:rPr>
            </w:pPr>
            <w:r>
              <w:rPr>
                <w:rFonts w:ascii="Arial" w:cs="Arial" w:eastAsia="Arial" w:hAnsi="Arial"/>
                <w:sz w:val="20"/>
                <w:szCs w:val="20"/>
                <w:color w:val="00162F"/>
              </w:rPr>
              <w:t>8.0%</w:t>
            </w:r>
          </w:p>
        </w:tc>
        <w:tc>
          <w:tcPr>
            <w:tcW w:w="80" w:type="dxa"/>
            <w:vAlign w:val="bottom"/>
            <w:shd w:val="clear" w:color="auto" w:fill="EDEDED"/>
          </w:tcPr>
          <w:p>
            <w:pPr>
              <w:spacing w:after="0"/>
              <w:rPr>
                <w:sz w:val="19"/>
                <w:szCs w:val="19"/>
                <w:color w:val="auto"/>
              </w:rPr>
            </w:pPr>
          </w:p>
        </w:tc>
        <w:tc>
          <w:tcPr>
            <w:tcW w:w="140" w:type="dxa"/>
            <w:vAlign w:val="bottom"/>
            <w:shd w:val="clear" w:color="auto" w:fill="EDEDED"/>
          </w:tcPr>
          <w:p>
            <w:pPr>
              <w:spacing w:after="0"/>
              <w:rPr>
                <w:sz w:val="19"/>
                <w:szCs w:val="19"/>
                <w:color w:val="auto"/>
              </w:rPr>
            </w:pPr>
          </w:p>
        </w:tc>
        <w:tc>
          <w:tcPr>
            <w:tcW w:w="820" w:type="dxa"/>
            <w:vAlign w:val="bottom"/>
            <w:gridSpan w:val="2"/>
            <w:vMerge w:val="restart"/>
            <w:shd w:val="clear" w:color="auto" w:fill="EDEDED"/>
          </w:tcPr>
          <w:p>
            <w:pPr>
              <w:jc w:val="center"/>
              <w:ind w:right="21"/>
              <w:spacing w:after="0"/>
              <w:rPr>
                <w:sz w:val="20"/>
                <w:szCs w:val="20"/>
                <w:color w:val="auto"/>
              </w:rPr>
            </w:pPr>
            <w:r>
              <w:rPr>
                <w:rFonts w:ascii="Arial" w:cs="Arial" w:eastAsia="Arial" w:hAnsi="Arial"/>
                <w:sz w:val="20"/>
                <w:szCs w:val="20"/>
                <w:color w:val="00162F"/>
                <w:w w:val="98"/>
              </w:rPr>
              <w:t>7.75%</w:t>
            </w:r>
          </w:p>
        </w:tc>
        <w:tc>
          <w:tcPr>
            <w:tcW w:w="60" w:type="dxa"/>
            <w:vAlign w:val="bottom"/>
            <w:shd w:val="clear" w:color="auto" w:fill="EDEDED"/>
          </w:tcPr>
          <w:p>
            <w:pPr>
              <w:spacing w:after="0"/>
              <w:rPr>
                <w:sz w:val="19"/>
                <w:szCs w:val="19"/>
                <w:color w:val="auto"/>
              </w:rPr>
            </w:pPr>
          </w:p>
        </w:tc>
        <w:tc>
          <w:tcPr>
            <w:tcW w:w="200" w:type="dxa"/>
            <w:vAlign w:val="bottom"/>
            <w:shd w:val="clear" w:color="auto" w:fill="EDEDED"/>
          </w:tcPr>
          <w:p>
            <w:pPr>
              <w:spacing w:after="0"/>
              <w:rPr>
                <w:sz w:val="19"/>
                <w:szCs w:val="19"/>
                <w:color w:val="auto"/>
              </w:rPr>
            </w:pPr>
          </w:p>
        </w:tc>
        <w:tc>
          <w:tcPr>
            <w:tcW w:w="760" w:type="dxa"/>
            <w:vAlign w:val="bottom"/>
            <w:gridSpan w:val="3"/>
            <w:vMerge w:val="restart"/>
            <w:shd w:val="clear" w:color="auto" w:fill="EDEDED"/>
          </w:tcPr>
          <w:p>
            <w:pPr>
              <w:jc w:val="center"/>
              <w:ind w:right="160"/>
              <w:spacing w:after="0"/>
              <w:rPr>
                <w:sz w:val="20"/>
                <w:szCs w:val="20"/>
                <w:color w:val="auto"/>
              </w:rPr>
            </w:pPr>
            <w:r>
              <w:rPr>
                <w:rFonts w:ascii="Arial" w:cs="Arial" w:eastAsia="Arial" w:hAnsi="Arial"/>
                <w:sz w:val="20"/>
                <w:szCs w:val="20"/>
                <w:color w:val="00162F"/>
                <w:w w:val="96"/>
              </w:rPr>
              <w:t>8.0%</w:t>
            </w:r>
          </w:p>
        </w:tc>
        <w:tc>
          <w:tcPr>
            <w:tcW w:w="1000" w:type="dxa"/>
            <w:vAlign w:val="bottom"/>
            <w:gridSpan w:val="2"/>
            <w:vMerge w:val="restart"/>
            <w:shd w:val="clear" w:color="auto" w:fill="EDEDED"/>
          </w:tcPr>
          <w:p>
            <w:pPr>
              <w:jc w:val="center"/>
              <w:ind w:left="28"/>
              <w:spacing w:after="0"/>
              <w:rPr>
                <w:sz w:val="20"/>
                <w:szCs w:val="20"/>
                <w:color w:val="auto"/>
              </w:rPr>
            </w:pPr>
            <w:r>
              <w:rPr>
                <w:rFonts w:ascii="Arial" w:cs="Arial" w:eastAsia="Arial" w:hAnsi="Arial"/>
                <w:sz w:val="20"/>
                <w:szCs w:val="20"/>
                <w:color w:val="00162F"/>
                <w:w w:val="96"/>
              </w:rPr>
              <w:t>8.0%</w:t>
            </w:r>
          </w:p>
        </w:tc>
        <w:tc>
          <w:tcPr>
            <w:tcW w:w="20" w:type="dxa"/>
            <w:vAlign w:val="bottom"/>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0" w:type="dxa"/>
            <w:vAlign w:val="bottom"/>
            <w:shd w:val="clear" w:color="auto" w:fill="EDEDED"/>
          </w:tcPr>
          <w:p>
            <w:pPr>
              <w:spacing w:after="0"/>
              <w:rPr>
                <w:sz w:val="23"/>
                <w:szCs w:val="23"/>
                <w:color w:val="auto"/>
              </w:rPr>
            </w:pPr>
          </w:p>
        </w:tc>
        <w:tc>
          <w:tcPr>
            <w:tcW w:w="4580" w:type="dxa"/>
            <w:vAlign w:val="bottom"/>
            <w:gridSpan w:val="4"/>
            <w:shd w:val="clear" w:color="auto" w:fill="EDEDED"/>
          </w:tcPr>
          <w:p>
            <w:pPr>
              <w:ind w:left="180"/>
              <w:spacing w:after="0"/>
              <w:rPr>
                <w:sz w:val="20"/>
                <w:szCs w:val="20"/>
                <w:color w:val="auto"/>
              </w:rPr>
            </w:pPr>
            <w:r>
              <w:rPr>
                <w:rFonts w:ascii="Arial" w:cs="Arial" w:eastAsia="Arial" w:hAnsi="Arial"/>
                <w:sz w:val="20"/>
                <w:szCs w:val="20"/>
                <w:color w:val="00162F"/>
              </w:rPr>
              <w:t>assets</w:t>
            </w:r>
          </w:p>
        </w:tc>
        <w:tc>
          <w:tcPr>
            <w:tcW w:w="820" w:type="dxa"/>
            <w:vAlign w:val="bottom"/>
            <w:gridSpan w:val="2"/>
            <w:vMerge w:val="continue"/>
            <w:shd w:val="clear" w:color="auto" w:fill="EDEDED"/>
          </w:tcPr>
          <w:p>
            <w:pPr>
              <w:spacing w:after="0"/>
              <w:rPr>
                <w:sz w:val="23"/>
                <w:szCs w:val="23"/>
                <w:color w:val="auto"/>
              </w:rPr>
            </w:pPr>
          </w:p>
        </w:tc>
        <w:tc>
          <w:tcPr>
            <w:tcW w:w="960" w:type="dxa"/>
            <w:vAlign w:val="bottom"/>
            <w:gridSpan w:val="3"/>
            <w:vMerge w:val="continue"/>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12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180" w:type="dxa"/>
            <w:vAlign w:val="bottom"/>
            <w:shd w:val="clear" w:color="auto" w:fill="EDEDED"/>
          </w:tcPr>
          <w:p>
            <w:pPr>
              <w:spacing w:after="0"/>
              <w:rPr>
                <w:sz w:val="23"/>
                <w:szCs w:val="23"/>
                <w:color w:val="auto"/>
              </w:rPr>
            </w:pPr>
          </w:p>
        </w:tc>
        <w:tc>
          <w:tcPr>
            <w:tcW w:w="760" w:type="dxa"/>
            <w:vAlign w:val="bottom"/>
            <w:vMerge w:val="continue"/>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820" w:type="dxa"/>
            <w:vAlign w:val="bottom"/>
            <w:gridSpan w:val="2"/>
            <w:vMerge w:val="continue"/>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200" w:type="dxa"/>
            <w:vAlign w:val="bottom"/>
            <w:shd w:val="clear" w:color="auto" w:fill="EDEDED"/>
          </w:tcPr>
          <w:p>
            <w:pPr>
              <w:spacing w:after="0"/>
              <w:rPr>
                <w:sz w:val="23"/>
                <w:szCs w:val="23"/>
                <w:color w:val="auto"/>
              </w:rPr>
            </w:pPr>
          </w:p>
        </w:tc>
        <w:tc>
          <w:tcPr>
            <w:tcW w:w="760" w:type="dxa"/>
            <w:vAlign w:val="bottom"/>
            <w:gridSpan w:val="3"/>
            <w:vMerge w:val="continue"/>
            <w:shd w:val="clear" w:color="auto" w:fill="EDEDED"/>
          </w:tcPr>
          <w:p>
            <w:pPr>
              <w:spacing w:after="0"/>
              <w:rPr>
                <w:sz w:val="23"/>
                <w:szCs w:val="23"/>
                <w:color w:val="auto"/>
              </w:rPr>
            </w:pPr>
          </w:p>
        </w:tc>
        <w:tc>
          <w:tcPr>
            <w:tcW w:w="1000" w:type="dxa"/>
            <w:vAlign w:val="bottom"/>
            <w:gridSpan w:val="2"/>
            <w:vMerge w:val="continue"/>
            <w:shd w:val="clear" w:color="auto" w:fill="EDEDED"/>
          </w:tcPr>
          <w:p>
            <w:pPr>
              <w:spacing w:after="0"/>
              <w:rPr>
                <w:sz w:val="23"/>
                <w:szCs w:val="23"/>
                <w:color w:val="auto"/>
              </w:rPr>
            </w:pPr>
          </w:p>
        </w:tc>
        <w:tc>
          <w:tcPr>
            <w:tcW w:w="2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580" w:type="dxa"/>
            <w:vAlign w:val="bottom"/>
            <w:gridSpan w:val="4"/>
          </w:tcPr>
          <w:p>
            <w:pPr>
              <w:spacing w:after="0" w:line="221" w:lineRule="exact"/>
              <w:rPr>
                <w:sz w:val="20"/>
                <w:szCs w:val="20"/>
                <w:color w:val="auto"/>
              </w:rPr>
            </w:pPr>
            <w:r>
              <w:rPr>
                <w:rFonts w:ascii="Arial" w:cs="Arial" w:eastAsia="Arial" w:hAnsi="Arial"/>
                <w:sz w:val="20"/>
                <w:szCs w:val="20"/>
                <w:color w:val="00162F"/>
              </w:rPr>
              <w:t>Weighted average health care cost trend rate</w:t>
            </w:r>
          </w:p>
        </w:tc>
        <w:tc>
          <w:tcPr>
            <w:tcW w:w="820" w:type="dxa"/>
            <w:vAlign w:val="bottom"/>
            <w:gridSpan w:val="2"/>
            <w:vMerge w:val="restart"/>
          </w:tcPr>
          <w:p>
            <w:pPr>
              <w:jc w:val="center"/>
              <w:ind w:left="86"/>
              <w:spacing w:after="0"/>
              <w:rPr>
                <w:sz w:val="20"/>
                <w:szCs w:val="20"/>
                <w:color w:val="auto"/>
              </w:rPr>
            </w:pPr>
            <w:r>
              <w:rPr>
                <w:rFonts w:ascii="Arial" w:cs="Arial" w:eastAsia="Arial" w:hAnsi="Arial"/>
                <w:sz w:val="20"/>
                <w:szCs w:val="20"/>
                <w:color w:val="00162F"/>
                <w:w w:val="95"/>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5"/>
            <w:vMerge w:val="restart"/>
          </w:tcPr>
          <w:p>
            <w:pPr>
              <w:jc w:val="center"/>
              <w:ind w:right="220"/>
              <w:spacing w:after="0"/>
              <w:rPr>
                <w:sz w:val="20"/>
                <w:szCs w:val="20"/>
                <w:color w:val="auto"/>
              </w:rPr>
            </w:pPr>
            <w:r>
              <w:rPr>
                <w:rFonts w:ascii="Arial" w:cs="Arial" w:eastAsia="Arial" w:hAnsi="Arial"/>
                <w:sz w:val="20"/>
                <w:szCs w:val="20"/>
                <w:color w:val="00162F"/>
              </w:rPr>
              <w:t>N/A</w:t>
            </w:r>
          </w:p>
        </w:tc>
        <w:tc>
          <w:tcPr>
            <w:tcW w:w="980" w:type="dxa"/>
            <w:vAlign w:val="bottom"/>
            <w:gridSpan w:val="3"/>
            <w:vMerge w:val="restart"/>
          </w:tcPr>
          <w:p>
            <w:pPr>
              <w:jc w:val="center"/>
              <w:ind w:right="360"/>
              <w:spacing w:after="0"/>
              <w:rPr>
                <w:sz w:val="20"/>
                <w:szCs w:val="20"/>
                <w:color w:val="auto"/>
              </w:rPr>
            </w:pPr>
            <w:r>
              <w:rPr>
                <w:rFonts w:ascii="Arial" w:cs="Arial" w:eastAsia="Arial" w:hAnsi="Arial"/>
                <w:sz w:val="20"/>
                <w:szCs w:val="20"/>
                <w:color w:val="00162F"/>
              </w:rPr>
              <w:t>N/A</w:t>
            </w:r>
          </w:p>
        </w:tc>
        <w:tc>
          <w:tcPr>
            <w:tcW w:w="820" w:type="dxa"/>
            <w:vAlign w:val="bottom"/>
            <w:gridSpan w:val="2"/>
            <w:vMerge w:val="restart"/>
          </w:tcPr>
          <w:p>
            <w:pPr>
              <w:jc w:val="center"/>
              <w:ind w:right="41"/>
              <w:spacing w:after="0"/>
              <w:rPr>
                <w:sz w:val="20"/>
                <w:szCs w:val="20"/>
                <w:color w:val="auto"/>
              </w:rPr>
            </w:pPr>
            <w:r>
              <w:rPr>
                <w:rFonts w:ascii="Arial" w:cs="Arial" w:eastAsia="Arial" w:hAnsi="Arial"/>
                <w:sz w:val="20"/>
                <w:szCs w:val="20"/>
                <w:color w:val="00162F"/>
              </w:rPr>
              <w:t>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vMerge w:val="restart"/>
          </w:tcPr>
          <w:p>
            <w:pPr>
              <w:jc w:val="center"/>
              <w:ind w:right="160"/>
              <w:spacing w:after="0"/>
              <w:rPr>
                <w:sz w:val="20"/>
                <w:szCs w:val="20"/>
                <w:color w:val="auto"/>
              </w:rPr>
            </w:pPr>
            <w:r>
              <w:rPr>
                <w:rFonts w:ascii="Arial" w:cs="Arial" w:eastAsia="Arial" w:hAnsi="Arial"/>
                <w:sz w:val="20"/>
                <w:szCs w:val="20"/>
                <w:color w:val="00162F"/>
                <w:w w:val="96"/>
              </w:rPr>
              <w:t>6.5%</w:t>
            </w:r>
          </w:p>
        </w:tc>
        <w:tc>
          <w:tcPr>
            <w:tcW w:w="1000" w:type="dxa"/>
            <w:vAlign w:val="bottom"/>
            <w:gridSpan w:val="2"/>
            <w:vMerge w:val="restart"/>
          </w:tcPr>
          <w:p>
            <w:pPr>
              <w:jc w:val="center"/>
              <w:ind w:left="28"/>
              <w:spacing w:after="0"/>
              <w:rPr>
                <w:sz w:val="20"/>
                <w:szCs w:val="20"/>
                <w:color w:val="auto"/>
              </w:rPr>
            </w:pPr>
            <w:r>
              <w:rPr>
                <w:rFonts w:ascii="Arial" w:cs="Arial" w:eastAsia="Arial" w:hAnsi="Arial"/>
                <w:sz w:val="20"/>
                <w:szCs w:val="20"/>
                <w:color w:val="00162F"/>
                <w:w w:val="96"/>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80" w:type="dxa"/>
            <w:vAlign w:val="bottom"/>
            <w:gridSpan w:val="4"/>
          </w:tcPr>
          <w:p>
            <w:pPr>
              <w:ind w:left="180"/>
              <w:spacing w:after="0"/>
              <w:rPr>
                <w:sz w:val="20"/>
                <w:szCs w:val="20"/>
                <w:color w:val="auto"/>
              </w:rPr>
            </w:pPr>
            <w:r>
              <w:rPr>
                <w:rFonts w:ascii="Arial" w:cs="Arial" w:eastAsia="Arial" w:hAnsi="Arial"/>
                <w:sz w:val="20"/>
                <w:szCs w:val="20"/>
                <w:color w:val="00162F"/>
              </w:rPr>
              <w:t xml:space="preserve">assumed for next year </w:t>
            </w:r>
            <w:r>
              <w:rPr>
                <w:rFonts w:ascii="Arial" w:cs="Arial" w:eastAsia="Arial" w:hAnsi="Arial"/>
                <w:sz w:val="12"/>
                <w:szCs w:val="12"/>
                <w:color w:val="00162F"/>
              </w:rPr>
              <w:t>(1)</w:t>
            </w:r>
          </w:p>
        </w:tc>
        <w:tc>
          <w:tcPr>
            <w:tcW w:w="82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5"/>
            <w:vMerge w:val="continue"/>
          </w:tcPr>
          <w:p>
            <w:pPr>
              <w:spacing w:after="0"/>
              <w:rPr>
                <w:sz w:val="22"/>
                <w:szCs w:val="22"/>
                <w:color w:val="auto"/>
              </w:rPr>
            </w:pPr>
          </w:p>
        </w:tc>
        <w:tc>
          <w:tcPr>
            <w:tcW w:w="980" w:type="dxa"/>
            <w:vAlign w:val="bottom"/>
            <w:gridSpan w:val="3"/>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3"/>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-2060575</wp:posOffset>
            </wp:positionV>
            <wp:extent cx="3623310" cy="501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3">
                      <a:extLst>
                        <a:ext uri="{28A0092B-C50C-407E-A947-70E740481C1C}"/>
                      </a:extLst>
                    </a:blip>
                    <a:srcRect/>
                    <a:stretch>
                      <a:fillRect/>
                    </a:stretch>
                  </pic:blipFill>
                  <pic:spPr bwMode="auto">
                    <a:xfrm>
                      <a:off x="0" y="0"/>
                      <a:ext cx="3623310" cy="5016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-1133475</wp:posOffset>
            </wp:positionV>
            <wp:extent cx="3906520" cy="501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4">
                      <a:extLst>
                        <a:ext uri="{28A0092B-C50C-407E-A947-70E740481C1C}"/>
                      </a:extLst>
                    </a:blip>
                    <a:srcRect/>
                    <a:stretch>
                      <a:fillRect/>
                    </a:stretch>
                  </pic:blipFill>
                  <pic:spPr bwMode="auto">
                    <a:xfrm>
                      <a:off x="0" y="0"/>
                      <a:ext cx="3906520" cy="501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107315</wp:posOffset>
            </wp:positionV>
            <wp:extent cx="1254125" cy="127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5">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203" w:lineRule="exact"/>
        <w:rPr>
          <w:sz w:val="20"/>
          <w:szCs w:val="20"/>
          <w:color w:val="auto"/>
        </w:rPr>
      </w:pPr>
    </w:p>
    <w:p>
      <w:pPr>
        <w:ind w:left="365" w:right="20" w:hanging="365"/>
        <w:spacing w:after="0" w:line="282" w:lineRule="auto"/>
        <w:tabs>
          <w:tab w:leader="none" w:pos="365" w:val="left"/>
        </w:tabs>
        <w:numPr>
          <w:ilvl w:val="0"/>
          <w:numId w:val="79"/>
        </w:numPr>
        <w:rPr>
          <w:rFonts w:ascii="Arial" w:cs="Arial" w:eastAsia="Arial" w:hAnsi="Arial"/>
          <w:sz w:val="13"/>
          <w:szCs w:val="13"/>
          <w:color w:val="00162F"/>
        </w:rPr>
      </w:pPr>
      <w:r>
        <w:rPr>
          <w:rFonts w:ascii="Arial" w:cs="Arial" w:eastAsia="Arial" w:hAnsi="Arial"/>
          <w:sz w:val="20"/>
          <w:szCs w:val="20"/>
          <w:color w:val="00162F"/>
        </w:rPr>
        <w:t>The weighted average health care cost trend rate at December 31, 2025 is assumed to decline gradually to 4.5% by 2036 and remain level thereafter.</w:t>
      </w:r>
    </w:p>
    <w:p>
      <w:pPr>
        <w:spacing w:after="0" w:line="113" w:lineRule="exact"/>
        <w:rPr>
          <w:sz w:val="20"/>
          <w:szCs w:val="20"/>
          <w:color w:val="auto"/>
        </w:rPr>
      </w:pPr>
    </w:p>
    <w:p>
      <w:pPr>
        <w:jc w:val="both"/>
        <w:ind w:left="5" w:right="20" w:firstLine="267"/>
        <w:spacing w:after="0" w:line="256" w:lineRule="auto"/>
        <w:rPr>
          <w:sz w:val="20"/>
          <w:szCs w:val="20"/>
          <w:color w:val="auto"/>
        </w:rPr>
      </w:pPr>
      <w:r>
        <w:rPr>
          <w:rFonts w:ascii="Arial" w:cs="Arial" w:eastAsia="Arial" w:hAnsi="Arial"/>
          <w:sz w:val="20"/>
          <w:szCs w:val="20"/>
          <w:color w:val="00162F"/>
        </w:rPr>
        <w:t>As of January 1, 2026, American’s estimate of the long-term rate of return on plan assets is 7.3%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10 years, current and expected market conditions, and expected value to be generated through active management and securities lending programs.</w:t>
      </w:r>
    </w:p>
    <w:p>
      <w:pPr>
        <w:sectPr>
          <w:pgSz w:w="11880" w:h="15480" w:orient="portrait"/>
          <w:cols w:equalWidth="0" w:num="1">
            <w:col w:w="10705"/>
          </w:cols>
          <w:pgMar w:left="595" w:top="2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
        <w:spacing w:after="0"/>
        <w:rPr>
          <w:sz w:val="20"/>
          <w:szCs w:val="20"/>
          <w:color w:val="auto"/>
        </w:rPr>
      </w:pPr>
      <w:r>
        <w:rPr>
          <w:rFonts w:ascii="Arial" w:cs="Arial" w:eastAsia="Arial" w:hAnsi="Arial"/>
          <w:sz w:val="19"/>
          <w:szCs w:val="19"/>
          <w:color w:val="00162F"/>
        </w:rPr>
        <w:t>157</w:t>
      </w:r>
    </w:p>
    <w:p>
      <w:pPr>
        <w:sectPr>
          <w:pgSz w:w="11880" w:h="15480" w:orient="portrait"/>
          <w:cols w:equalWidth="0" w:num="1">
            <w:col w:w="10705"/>
          </w:cols>
          <w:pgMar w:left="595" w:top="249" w:right="580" w:bottom="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Minimum Contributions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American is required to make minimum contributions to its defined benefit pension plans under the minimum funding requirements of the Employee Retirement Income Security Act of 1974 (ERISA) and various other laws for U.S. based plans as well as underfunding rules specific to countries where American maintains defined benefit pension plans. Based on current funding assumptions, American has minimum required contributions of $236 million for 2026. American’s future funding obligations will depend on the performance of American’s investments held in a trust by the pension plans, interest rates for determining funding targets, the amount of and timing of any supplemental contributions and American’s actuarial experience.</w:t>
      </w:r>
    </w:p>
    <w:p>
      <w:pPr>
        <w:spacing w:after="0" w:line="144"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In January 2026, American made required contributions of $236 million and a supplemental contribution of $50 million to its defined benefit pension plans.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Benefit Payments</w:t>
      </w:r>
    </w:p>
    <w:p>
      <w:pPr>
        <w:spacing w:after="0" w:line="95"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following benefit payments, which reflect expected future service as appropriate, are expected to be paid (approximately,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Borders>
              <w:bottom w:val="single" w:sz="8" w:color="EDEDED"/>
            </w:tcBorders>
          </w:tcPr>
          <w:p>
            <w:pPr>
              <w:spacing w:after="0"/>
              <w:rPr>
                <w:sz w:val="18"/>
                <w:szCs w:val="18"/>
                <w:color w:val="auto"/>
              </w:rPr>
            </w:pPr>
          </w:p>
        </w:tc>
        <w:tc>
          <w:tcPr>
            <w:tcW w:w="820" w:type="dxa"/>
            <w:vAlign w:val="bottom"/>
            <w:tcBorders>
              <w:bottom w:val="single" w:sz="8" w:color="00162F"/>
            </w:tcBorders>
          </w:tcPr>
          <w:p>
            <w:pPr>
              <w:jc w:val="right"/>
              <w:ind w:right="148"/>
              <w:spacing w:after="0"/>
              <w:rPr>
                <w:sz w:val="20"/>
                <w:szCs w:val="20"/>
                <w:color w:val="auto"/>
              </w:rPr>
            </w:pPr>
            <w:r>
              <w:rPr>
                <w:rFonts w:ascii="Arial" w:cs="Arial" w:eastAsia="Arial" w:hAnsi="Arial"/>
                <w:sz w:val="16"/>
                <w:szCs w:val="16"/>
                <w:b w:val="1"/>
                <w:bCs w:val="1"/>
                <w:color w:val="00162F"/>
              </w:rPr>
              <w:t>2026</w:t>
            </w:r>
          </w:p>
        </w:tc>
        <w:tc>
          <w:tcPr>
            <w:tcW w:w="80" w:type="dxa"/>
            <w:vAlign w:val="bottom"/>
            <w:tcBorders>
              <w:bottom w:val="single" w:sz="8" w:color="EDEDED"/>
            </w:tcBorders>
          </w:tcPr>
          <w:p>
            <w:pPr>
              <w:spacing w:after="0"/>
              <w:rPr>
                <w:sz w:val="18"/>
                <w:szCs w:val="18"/>
                <w:color w:val="auto"/>
              </w:rPr>
            </w:pPr>
          </w:p>
        </w:tc>
        <w:tc>
          <w:tcPr>
            <w:tcW w:w="200" w:type="dxa"/>
            <w:vAlign w:val="bottom"/>
            <w:tcBorders>
              <w:bottom w:val="single" w:sz="8" w:color="00162F"/>
            </w:tcBorders>
          </w:tcPr>
          <w:p>
            <w:pPr>
              <w:spacing w:after="0"/>
              <w:rPr>
                <w:sz w:val="18"/>
                <w:szCs w:val="18"/>
                <w:color w:val="auto"/>
              </w:rPr>
            </w:pPr>
          </w:p>
        </w:tc>
        <w:tc>
          <w:tcPr>
            <w:tcW w:w="640" w:type="dxa"/>
            <w:vAlign w:val="bottom"/>
            <w:tcBorders>
              <w:bottom w:val="single" w:sz="8" w:color="00162F"/>
            </w:tcBorders>
          </w:tcPr>
          <w:p>
            <w:pPr>
              <w:jc w:val="right"/>
              <w:ind w:right="148"/>
              <w:spacing w:after="0"/>
              <w:rPr>
                <w:sz w:val="20"/>
                <w:szCs w:val="20"/>
                <w:color w:val="auto"/>
              </w:rPr>
            </w:pPr>
            <w:r>
              <w:rPr>
                <w:rFonts w:ascii="Arial" w:cs="Arial" w:eastAsia="Arial" w:hAnsi="Arial"/>
                <w:sz w:val="16"/>
                <w:szCs w:val="16"/>
                <w:b w:val="1"/>
                <w:bCs w:val="1"/>
                <w:color w:val="00162F"/>
              </w:rPr>
              <w:t>2027</w:t>
            </w:r>
          </w:p>
        </w:tc>
        <w:tc>
          <w:tcPr>
            <w:tcW w:w="60" w:type="dxa"/>
            <w:vAlign w:val="bottom"/>
            <w:tcBorders>
              <w:bottom w:val="single" w:sz="8" w:color="EDEDED"/>
            </w:tcBorders>
          </w:tcPr>
          <w:p>
            <w:pPr>
              <w:spacing w:after="0"/>
              <w:rPr>
                <w:sz w:val="18"/>
                <w:szCs w:val="18"/>
                <w:color w:val="auto"/>
              </w:rPr>
            </w:pPr>
          </w:p>
        </w:tc>
        <w:tc>
          <w:tcPr>
            <w:tcW w:w="840" w:type="dxa"/>
            <w:vAlign w:val="bottom"/>
            <w:tcBorders>
              <w:bottom w:val="single" w:sz="8" w:color="00162F"/>
            </w:tcBorders>
          </w:tcPr>
          <w:p>
            <w:pPr>
              <w:jc w:val="right"/>
              <w:ind w:right="161"/>
              <w:spacing w:after="0"/>
              <w:rPr>
                <w:sz w:val="20"/>
                <w:szCs w:val="20"/>
                <w:color w:val="auto"/>
              </w:rPr>
            </w:pPr>
            <w:r>
              <w:rPr>
                <w:rFonts w:ascii="Arial" w:cs="Arial" w:eastAsia="Arial" w:hAnsi="Arial"/>
                <w:sz w:val="16"/>
                <w:szCs w:val="16"/>
                <w:b w:val="1"/>
                <w:bCs w:val="1"/>
                <w:color w:val="00162F"/>
              </w:rPr>
              <w:t>2028</w:t>
            </w:r>
          </w:p>
        </w:tc>
        <w:tc>
          <w:tcPr>
            <w:tcW w:w="80" w:type="dxa"/>
            <w:vAlign w:val="bottom"/>
            <w:tcBorders>
              <w:bottom w:val="single" w:sz="8" w:color="EDEDED"/>
            </w:tcBorders>
          </w:tcPr>
          <w:p>
            <w:pPr>
              <w:spacing w:after="0"/>
              <w:rPr>
                <w:sz w:val="18"/>
                <w:szCs w:val="18"/>
                <w:color w:val="auto"/>
              </w:rPr>
            </w:pPr>
          </w:p>
        </w:tc>
        <w:tc>
          <w:tcPr>
            <w:tcW w:w="820" w:type="dxa"/>
            <w:vAlign w:val="bottom"/>
            <w:tcBorders>
              <w:bottom w:val="single" w:sz="8" w:color="00162F"/>
            </w:tcBorders>
          </w:tcPr>
          <w:p>
            <w:pPr>
              <w:jc w:val="right"/>
              <w:ind w:right="161"/>
              <w:spacing w:after="0"/>
              <w:rPr>
                <w:sz w:val="20"/>
                <w:szCs w:val="20"/>
                <w:color w:val="auto"/>
              </w:rPr>
            </w:pPr>
            <w:r>
              <w:rPr>
                <w:rFonts w:ascii="Arial" w:cs="Arial" w:eastAsia="Arial" w:hAnsi="Arial"/>
                <w:sz w:val="16"/>
                <w:szCs w:val="16"/>
                <w:b w:val="1"/>
                <w:bCs w:val="1"/>
                <w:color w:val="00162F"/>
              </w:rPr>
              <w:t>2029</w:t>
            </w:r>
          </w:p>
        </w:tc>
        <w:tc>
          <w:tcPr>
            <w:tcW w:w="80" w:type="dxa"/>
            <w:vAlign w:val="bottom"/>
            <w:tcBorders>
              <w:bottom w:val="single" w:sz="8" w:color="EDEDED"/>
            </w:tcBorders>
          </w:tcPr>
          <w:p>
            <w:pPr>
              <w:spacing w:after="0"/>
              <w:rPr>
                <w:sz w:val="18"/>
                <w:szCs w:val="18"/>
                <w:color w:val="auto"/>
              </w:rPr>
            </w:pPr>
          </w:p>
        </w:tc>
        <w:tc>
          <w:tcPr>
            <w:tcW w:w="840" w:type="dxa"/>
            <w:vAlign w:val="bottom"/>
            <w:tcBorders>
              <w:bottom w:val="single" w:sz="8" w:color="00162F"/>
            </w:tcBorders>
          </w:tcPr>
          <w:p>
            <w:pPr>
              <w:jc w:val="right"/>
              <w:ind w:right="161"/>
              <w:spacing w:after="0"/>
              <w:rPr>
                <w:sz w:val="20"/>
                <w:szCs w:val="20"/>
                <w:color w:val="auto"/>
              </w:rPr>
            </w:pPr>
            <w:r>
              <w:rPr>
                <w:rFonts w:ascii="Arial" w:cs="Arial" w:eastAsia="Arial" w:hAnsi="Arial"/>
                <w:sz w:val="16"/>
                <w:szCs w:val="16"/>
                <w:b w:val="1"/>
                <w:bCs w:val="1"/>
                <w:color w:val="00162F"/>
              </w:rPr>
              <w:t>2030</w:t>
            </w:r>
          </w:p>
        </w:tc>
        <w:tc>
          <w:tcPr>
            <w:tcW w:w="60" w:type="dxa"/>
            <w:vAlign w:val="bottom"/>
            <w:tcBorders>
              <w:bottom w:val="single" w:sz="8" w:color="EDEDED"/>
            </w:tcBorders>
          </w:tcPr>
          <w:p>
            <w:pPr>
              <w:spacing w:after="0"/>
              <w:rPr>
                <w:sz w:val="18"/>
                <w:szCs w:val="18"/>
                <w:color w:val="auto"/>
              </w:rPr>
            </w:pPr>
          </w:p>
        </w:tc>
        <w:tc>
          <w:tcPr>
            <w:tcW w:w="960" w:type="dxa"/>
            <w:vAlign w:val="bottom"/>
            <w:tcBorders>
              <w:bottom w:val="single" w:sz="8" w:color="00162F"/>
            </w:tcBorders>
          </w:tcPr>
          <w:p>
            <w:pPr>
              <w:jc w:val="right"/>
              <w:ind w:right="21"/>
              <w:spacing w:after="0"/>
              <w:rPr>
                <w:sz w:val="20"/>
                <w:szCs w:val="20"/>
                <w:color w:val="auto"/>
              </w:rPr>
            </w:pPr>
            <w:r>
              <w:rPr>
                <w:rFonts w:ascii="Arial" w:cs="Arial" w:eastAsia="Arial" w:hAnsi="Arial"/>
                <w:sz w:val="16"/>
                <w:szCs w:val="16"/>
                <w:b w:val="1"/>
                <w:bCs w:val="1"/>
                <w:color w:val="00162F"/>
              </w:rPr>
              <w:t>2031-2035</w:t>
            </w:r>
          </w:p>
        </w:tc>
      </w:tr>
      <w:tr>
        <w:trPr>
          <w:trHeight w:val="287"/>
        </w:trPr>
        <w:tc>
          <w:tcPr>
            <w:tcW w:w="518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Pension benefits</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   979</w:t>
            </w:r>
          </w:p>
        </w:tc>
        <w:tc>
          <w:tcPr>
            <w:tcW w:w="28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6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993</w:t>
            </w:r>
          </w:p>
        </w:tc>
        <w:tc>
          <w:tcPr>
            <w:tcW w:w="90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$ 1,006</w:t>
            </w:r>
          </w:p>
        </w:tc>
        <w:tc>
          <w:tcPr>
            <w:tcW w:w="90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$ 1,016</w:t>
            </w:r>
          </w:p>
        </w:tc>
        <w:tc>
          <w:tcPr>
            <w:tcW w:w="9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$ 1,023</w:t>
            </w:r>
          </w:p>
        </w:tc>
        <w:tc>
          <w:tcPr>
            <w:tcW w:w="102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5,078</w:t>
            </w:r>
          </w:p>
        </w:tc>
      </w:tr>
      <w:tr>
        <w:trPr>
          <w:trHeight w:val="290"/>
        </w:trPr>
        <w:tc>
          <w:tcPr>
            <w:tcW w:w="5180" w:type="dxa"/>
            <w:vAlign w:val="bottom"/>
          </w:tcPr>
          <w:p>
            <w:pPr>
              <w:ind w:left="40"/>
              <w:spacing w:after="0"/>
              <w:rPr>
                <w:sz w:val="20"/>
                <w:szCs w:val="20"/>
                <w:color w:val="auto"/>
              </w:rPr>
            </w:pPr>
            <w:r>
              <w:rPr>
                <w:rFonts w:ascii="Arial" w:cs="Arial" w:eastAsia="Arial" w:hAnsi="Arial"/>
                <w:sz w:val="20"/>
                <w:szCs w:val="20"/>
                <w:color w:val="00162F"/>
              </w:rPr>
              <w:t>Retiree medical and other postretirement benefits</w:t>
            </w:r>
          </w:p>
        </w:tc>
        <w:tc>
          <w:tcPr>
            <w:tcW w:w="820" w:type="dxa"/>
            <w:vAlign w:val="bottom"/>
          </w:tcPr>
          <w:p>
            <w:pPr>
              <w:jc w:val="right"/>
              <w:spacing w:after="0"/>
              <w:rPr>
                <w:sz w:val="20"/>
                <w:szCs w:val="20"/>
                <w:color w:val="auto"/>
              </w:rPr>
            </w:pPr>
            <w:r>
              <w:rPr>
                <w:rFonts w:ascii="Arial" w:cs="Arial" w:eastAsia="Arial" w:hAnsi="Arial"/>
                <w:sz w:val="20"/>
                <w:szCs w:val="20"/>
                <w:color w:val="00162F"/>
              </w:rPr>
              <w:t>135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00162F"/>
              </w:rPr>
              <w:t>138</w:t>
            </w:r>
          </w:p>
        </w:tc>
        <w:tc>
          <w:tcPr>
            <w:tcW w:w="900" w:type="dxa"/>
            <w:vAlign w:val="bottom"/>
            <w:gridSpan w:val="2"/>
          </w:tcPr>
          <w:p>
            <w:pPr>
              <w:jc w:val="right"/>
              <w:ind w:right="1"/>
              <w:spacing w:after="0"/>
              <w:rPr>
                <w:sz w:val="20"/>
                <w:szCs w:val="20"/>
                <w:color w:val="auto"/>
              </w:rPr>
            </w:pPr>
            <w:r>
              <w:rPr>
                <w:rFonts w:ascii="Arial" w:cs="Arial" w:eastAsia="Arial" w:hAnsi="Arial"/>
                <w:sz w:val="20"/>
                <w:szCs w:val="20"/>
                <w:color w:val="00162F"/>
              </w:rPr>
              <w:t>140</w:t>
            </w:r>
          </w:p>
        </w:tc>
        <w:tc>
          <w:tcPr>
            <w:tcW w:w="900" w:type="dxa"/>
            <w:vAlign w:val="bottom"/>
            <w:gridSpan w:val="2"/>
          </w:tcPr>
          <w:p>
            <w:pPr>
              <w:jc w:val="right"/>
              <w:ind w:right="1"/>
              <w:spacing w:after="0"/>
              <w:rPr>
                <w:sz w:val="20"/>
                <w:szCs w:val="20"/>
                <w:color w:val="auto"/>
              </w:rPr>
            </w:pPr>
            <w:r>
              <w:rPr>
                <w:rFonts w:ascii="Arial" w:cs="Arial" w:eastAsia="Arial" w:hAnsi="Arial"/>
                <w:sz w:val="20"/>
                <w:szCs w:val="20"/>
                <w:color w:val="00162F"/>
              </w:rPr>
              <w:t>139</w:t>
            </w:r>
          </w:p>
        </w:tc>
        <w:tc>
          <w:tcPr>
            <w:tcW w:w="920" w:type="dxa"/>
            <w:vAlign w:val="bottom"/>
            <w:gridSpan w:val="2"/>
          </w:tcPr>
          <w:p>
            <w:pPr>
              <w:jc w:val="right"/>
              <w:ind w:right="1"/>
              <w:spacing w:after="0"/>
              <w:rPr>
                <w:sz w:val="20"/>
                <w:szCs w:val="20"/>
                <w:color w:val="auto"/>
              </w:rPr>
            </w:pPr>
            <w:r>
              <w:rPr>
                <w:rFonts w:ascii="Arial" w:cs="Arial" w:eastAsia="Arial" w:hAnsi="Arial"/>
                <w:sz w:val="20"/>
                <w:szCs w:val="20"/>
                <w:color w:val="00162F"/>
              </w:rPr>
              <w:t>137</w:t>
            </w:r>
          </w:p>
        </w:tc>
        <w:tc>
          <w:tcPr>
            <w:tcW w:w="1020" w:type="dxa"/>
            <w:vAlign w:val="bottom"/>
            <w:gridSpan w:val="2"/>
          </w:tcPr>
          <w:p>
            <w:pPr>
              <w:jc w:val="right"/>
              <w:ind w:right="1"/>
              <w:spacing w:after="0"/>
              <w:rPr>
                <w:sz w:val="20"/>
                <w:szCs w:val="20"/>
                <w:color w:val="auto"/>
              </w:rPr>
            </w:pPr>
            <w:r>
              <w:rPr>
                <w:rFonts w:ascii="Arial" w:cs="Arial" w:eastAsia="Arial" w:hAnsi="Arial"/>
                <w:sz w:val="20"/>
                <w:szCs w:val="20"/>
                <w:color w:val="00162F"/>
              </w:rPr>
              <w:t>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-384810</wp:posOffset>
            </wp:positionV>
            <wp:extent cx="35045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6">
                      <a:extLst>
                        <a:ext uri="{28A0092B-C50C-407E-A947-70E740481C1C}"/>
                      </a:extLst>
                    </a:blip>
                    <a:srcRect/>
                    <a:stretch>
                      <a:fillRect/>
                    </a:stretch>
                  </pic:blipFill>
                  <pic:spPr bwMode="auto">
                    <a:xfrm>
                      <a:off x="0" y="0"/>
                      <a:ext cx="3504565" cy="25400"/>
                    </a:xfrm>
                    <a:prstGeom prst="rect">
                      <a:avLst/>
                    </a:prstGeom>
                    <a:noFill/>
                  </pic:spPr>
                </pic:pic>
              </a:graphicData>
            </a:graphic>
          </wp:anchor>
        </w:drawing>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Plan Assets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objectives of American’s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29"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Based on these investment objectives, a long-term strategic asset allocation has been established. This strategic allocation seeks to balance the potential benefit of improving the funded position with the potential risk that the funded position would decline. The current strategic target asset allocation with the corresponding allowed range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00162F"/>
              </w:rPr>
              <w:t>Asset Class/Sub-Class</w:t>
            </w:r>
          </w:p>
        </w:tc>
        <w:tc>
          <w:tcPr>
            <w:tcW w:w="1840" w:type="dxa"/>
            <w:vAlign w:val="bottom"/>
          </w:tcPr>
          <w:p>
            <w:pPr>
              <w:ind w:left="280"/>
              <w:spacing w:after="0"/>
              <w:rPr>
                <w:sz w:val="20"/>
                <w:szCs w:val="20"/>
                <w:color w:val="auto"/>
              </w:rPr>
            </w:pPr>
            <w:r>
              <w:rPr>
                <w:rFonts w:ascii="Arial" w:cs="Arial" w:eastAsia="Arial" w:hAnsi="Arial"/>
                <w:sz w:val="16"/>
                <w:szCs w:val="16"/>
                <w:b w:val="1"/>
                <w:bCs w:val="1"/>
                <w:color w:val="00162F"/>
              </w:rPr>
              <w:t>Target Allocation</w:t>
            </w:r>
          </w:p>
        </w:tc>
        <w:tc>
          <w:tcPr>
            <w:tcW w:w="80" w:type="dxa"/>
            <w:vAlign w:val="bottom"/>
          </w:tcPr>
          <w:p>
            <w:pPr>
              <w:spacing w:after="0"/>
              <w:rPr>
                <w:sz w:val="16"/>
                <w:szCs w:val="16"/>
                <w:color w:val="auto"/>
              </w:rPr>
            </w:pPr>
          </w:p>
        </w:tc>
        <w:tc>
          <w:tcPr>
            <w:tcW w:w="1840" w:type="dxa"/>
            <w:vAlign w:val="bottom"/>
            <w:gridSpan w:val="2"/>
          </w:tcPr>
          <w:p>
            <w:pPr>
              <w:ind w:left="360"/>
              <w:spacing w:after="0"/>
              <w:rPr>
                <w:sz w:val="20"/>
                <w:szCs w:val="20"/>
                <w:color w:val="auto"/>
              </w:rPr>
            </w:pPr>
            <w:r>
              <w:rPr>
                <w:rFonts w:ascii="Arial" w:cs="Arial" w:eastAsia="Arial" w:hAnsi="Arial"/>
                <w:sz w:val="16"/>
                <w:szCs w:val="16"/>
                <w:b w:val="1"/>
                <w:bCs w:val="1"/>
                <w:color w:val="00162F"/>
              </w:rPr>
              <w:t>Allowed Range</w:t>
            </w:r>
          </w:p>
        </w:tc>
      </w:tr>
      <w:tr>
        <w:trPr>
          <w:trHeight w:val="20"/>
        </w:trPr>
        <w:tc>
          <w:tcPr>
            <w:tcW w:w="40" w:type="dxa"/>
            <w:vAlign w:val="bottom"/>
            <w:tcBorders>
              <w:bottom w:val="single" w:sz="8" w:color="EDEDED"/>
            </w:tcBorders>
          </w:tcPr>
          <w:p>
            <w:pPr>
              <w:spacing w:after="0" w:line="20" w:lineRule="exact"/>
              <w:rPr>
                <w:sz w:val="1"/>
                <w:szCs w:val="1"/>
                <w:color w:val="auto"/>
              </w:rPr>
            </w:pPr>
          </w:p>
        </w:tc>
        <w:tc>
          <w:tcPr>
            <w:tcW w:w="1720" w:type="dxa"/>
            <w:vAlign w:val="bottom"/>
            <w:tcBorders>
              <w:top w:val="single" w:sz="8" w:color="00162F"/>
              <w:bottom w:val="single" w:sz="8" w:color="EDEDED"/>
            </w:tcBorders>
          </w:tcPr>
          <w:p>
            <w:pPr>
              <w:spacing w:after="0" w:line="20" w:lineRule="exact"/>
              <w:rPr>
                <w:sz w:val="1"/>
                <w:szCs w:val="1"/>
                <w:color w:val="auto"/>
              </w:rPr>
            </w:pPr>
          </w:p>
        </w:tc>
        <w:tc>
          <w:tcPr>
            <w:tcW w:w="5160" w:type="dxa"/>
            <w:vAlign w:val="bottom"/>
            <w:tcBorders>
              <w:bottom w:val="single" w:sz="8" w:color="EDEDED"/>
            </w:tcBorders>
          </w:tcPr>
          <w:p>
            <w:pPr>
              <w:spacing w:after="0" w:line="20" w:lineRule="exact"/>
              <w:rPr>
                <w:sz w:val="1"/>
                <w:szCs w:val="1"/>
                <w:color w:val="auto"/>
              </w:rPr>
            </w:pPr>
          </w:p>
        </w:tc>
        <w:tc>
          <w:tcPr>
            <w:tcW w:w="1840" w:type="dxa"/>
            <w:vAlign w:val="bottom"/>
            <w:tcBorders>
              <w:bottom w:val="single" w:sz="8" w:color="00162F"/>
            </w:tcBorders>
          </w:tcPr>
          <w:p>
            <w:pPr>
              <w:spacing w:after="0" w:line="20" w:lineRule="exact"/>
              <w:rPr>
                <w:sz w:val="1"/>
                <w:szCs w:val="1"/>
                <w:color w:val="auto"/>
              </w:rPr>
            </w:pPr>
          </w:p>
        </w:tc>
        <w:tc>
          <w:tcPr>
            <w:tcW w:w="80" w:type="dxa"/>
            <w:vAlign w:val="bottom"/>
            <w:tcBorders>
              <w:bottom w:val="single" w:sz="8" w:color="EDEDED"/>
            </w:tcBorders>
          </w:tcPr>
          <w:p>
            <w:pPr>
              <w:spacing w:after="0" w:line="20" w:lineRule="exact"/>
              <w:rPr>
                <w:sz w:val="1"/>
                <w:szCs w:val="1"/>
                <w:color w:val="auto"/>
              </w:rPr>
            </w:pPr>
          </w:p>
        </w:tc>
        <w:tc>
          <w:tcPr>
            <w:tcW w:w="860" w:type="dxa"/>
            <w:vAlign w:val="bottom"/>
            <w:tcBorders>
              <w:bottom w:val="single" w:sz="8" w:color="00162F"/>
            </w:tcBorders>
          </w:tcPr>
          <w:p>
            <w:pPr>
              <w:spacing w:after="0" w:line="20" w:lineRule="exact"/>
              <w:rPr>
                <w:sz w:val="1"/>
                <w:szCs w:val="1"/>
                <w:color w:val="auto"/>
              </w:rPr>
            </w:pPr>
          </w:p>
        </w:tc>
        <w:tc>
          <w:tcPr>
            <w:tcW w:w="980" w:type="dxa"/>
            <w:vAlign w:val="bottom"/>
            <w:tcBorders>
              <w:bottom w:val="single" w:sz="8" w:color="00162F"/>
            </w:tcBorders>
          </w:tcPr>
          <w:p>
            <w:pPr>
              <w:spacing w:after="0" w:line="20" w:lineRule="exact"/>
              <w:rPr>
                <w:sz w:val="1"/>
                <w:szCs w:val="1"/>
                <w:color w:val="auto"/>
              </w:rPr>
            </w:pPr>
          </w:p>
        </w:tc>
      </w:tr>
      <w:tr>
        <w:trPr>
          <w:trHeight w:val="287"/>
        </w:trPr>
        <w:tc>
          <w:tcPr>
            <w:tcW w:w="40" w:type="dxa"/>
            <w:vAlign w:val="bottom"/>
            <w:shd w:val="clear" w:color="auto" w:fill="EDEDED"/>
          </w:tcPr>
          <w:p>
            <w:pPr>
              <w:spacing w:after="0"/>
              <w:rPr>
                <w:sz w:val="24"/>
                <w:szCs w:val="24"/>
                <w:color w:val="auto"/>
              </w:rPr>
            </w:pPr>
          </w:p>
        </w:tc>
        <w:tc>
          <w:tcPr>
            <w:tcW w:w="6880" w:type="dxa"/>
            <w:vAlign w:val="bottom"/>
            <w:gridSpan w:val="2"/>
            <w:shd w:val="clear" w:color="auto" w:fill="EDEDED"/>
          </w:tcPr>
          <w:p>
            <w:pPr>
              <w:spacing w:after="0"/>
              <w:rPr>
                <w:sz w:val="20"/>
                <w:szCs w:val="20"/>
                <w:color w:val="auto"/>
              </w:rPr>
            </w:pPr>
            <w:r>
              <w:rPr>
                <w:rFonts w:ascii="Arial" w:cs="Arial" w:eastAsia="Arial" w:hAnsi="Arial"/>
                <w:sz w:val="20"/>
                <w:szCs w:val="20"/>
                <w:color w:val="00162F"/>
              </w:rPr>
              <w:t>Equity</w:t>
            </w:r>
          </w:p>
        </w:tc>
        <w:tc>
          <w:tcPr>
            <w:tcW w:w="184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45%</w:t>
            </w:r>
          </w:p>
        </w:tc>
        <w:tc>
          <w:tcPr>
            <w:tcW w:w="1920" w:type="dxa"/>
            <w:vAlign w:val="bottom"/>
            <w:gridSpan w:val="3"/>
            <w:shd w:val="clear" w:color="auto" w:fill="EDEDED"/>
          </w:tcPr>
          <w:p>
            <w:pPr>
              <w:jc w:val="center"/>
              <w:spacing w:after="0"/>
              <w:rPr>
                <w:sz w:val="20"/>
                <w:szCs w:val="20"/>
                <w:color w:val="auto"/>
              </w:rPr>
            </w:pPr>
            <w:r>
              <w:rPr>
                <w:rFonts w:ascii="Arial" w:cs="Arial" w:eastAsia="Arial" w:hAnsi="Arial"/>
                <w:sz w:val="20"/>
                <w:szCs w:val="20"/>
                <w:color w:val="00162F"/>
                <w:w w:val="98"/>
              </w:rPr>
              <w:t>10% - 80%</w:t>
            </w:r>
          </w:p>
        </w:tc>
      </w:tr>
      <w:tr>
        <w:trPr>
          <w:trHeight w:val="293"/>
        </w:trPr>
        <w:tc>
          <w:tcPr>
            <w:tcW w:w="40" w:type="dxa"/>
            <w:vAlign w:val="bottom"/>
          </w:tcPr>
          <w:p>
            <w:pPr>
              <w:spacing w:after="0"/>
              <w:rPr>
                <w:sz w:val="24"/>
                <w:szCs w:val="24"/>
                <w:color w:val="auto"/>
              </w:rPr>
            </w:pPr>
          </w:p>
        </w:tc>
        <w:tc>
          <w:tcPr>
            <w:tcW w:w="6880" w:type="dxa"/>
            <w:vAlign w:val="bottom"/>
            <w:gridSpan w:val="2"/>
          </w:tcPr>
          <w:p>
            <w:pPr>
              <w:ind w:left="140"/>
              <w:spacing w:after="0"/>
              <w:rPr>
                <w:sz w:val="20"/>
                <w:szCs w:val="20"/>
                <w:color w:val="auto"/>
              </w:rPr>
            </w:pPr>
            <w:r>
              <w:rPr>
                <w:rFonts w:ascii="Arial" w:cs="Arial" w:eastAsia="Arial" w:hAnsi="Arial"/>
                <w:sz w:val="20"/>
                <w:szCs w:val="20"/>
                <w:color w:val="00162F"/>
              </w:rPr>
              <w:t>Public:</w:t>
            </w: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1"/>
        </w:trPr>
        <w:tc>
          <w:tcPr>
            <w:tcW w:w="40" w:type="dxa"/>
            <w:vAlign w:val="bottom"/>
            <w:shd w:val="clear" w:color="auto" w:fill="EDEDED"/>
          </w:tcPr>
          <w:p>
            <w:pPr>
              <w:spacing w:after="0"/>
              <w:rPr>
                <w:sz w:val="24"/>
                <w:szCs w:val="24"/>
                <w:color w:val="auto"/>
              </w:rPr>
            </w:pPr>
          </w:p>
        </w:tc>
        <w:tc>
          <w:tcPr>
            <w:tcW w:w="6880" w:type="dxa"/>
            <w:vAlign w:val="bottom"/>
            <w:gridSpan w:val="2"/>
            <w:shd w:val="clear" w:color="auto" w:fill="EDEDED"/>
          </w:tcPr>
          <w:p>
            <w:pPr>
              <w:ind w:left="220"/>
              <w:spacing w:after="0"/>
              <w:rPr>
                <w:sz w:val="20"/>
                <w:szCs w:val="20"/>
                <w:color w:val="auto"/>
              </w:rPr>
            </w:pPr>
            <w:r>
              <w:rPr>
                <w:rFonts w:ascii="Arial" w:cs="Arial" w:eastAsia="Arial" w:hAnsi="Arial"/>
                <w:sz w:val="20"/>
                <w:szCs w:val="20"/>
                <w:color w:val="00162F"/>
              </w:rPr>
              <w:t>U.S.</w:t>
            </w:r>
          </w:p>
        </w:tc>
        <w:tc>
          <w:tcPr>
            <w:tcW w:w="184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18%</w:t>
            </w:r>
          </w:p>
        </w:tc>
        <w:tc>
          <w:tcPr>
            <w:tcW w:w="1920" w:type="dxa"/>
            <w:vAlign w:val="bottom"/>
            <w:gridSpan w:val="3"/>
            <w:shd w:val="clear" w:color="auto" w:fill="EDEDED"/>
          </w:tcPr>
          <w:p>
            <w:pPr>
              <w:jc w:val="center"/>
              <w:ind w:left="1"/>
              <w:spacing w:after="0"/>
              <w:rPr>
                <w:sz w:val="20"/>
                <w:szCs w:val="20"/>
                <w:color w:val="auto"/>
              </w:rPr>
            </w:pPr>
            <w:r>
              <w:rPr>
                <w:rFonts w:ascii="Arial" w:cs="Arial" w:eastAsia="Arial" w:hAnsi="Arial"/>
                <w:sz w:val="20"/>
                <w:szCs w:val="20"/>
                <w:color w:val="00162F"/>
                <w:w w:val="99"/>
              </w:rPr>
              <w:t>5% - 40%</w:t>
            </w:r>
          </w:p>
        </w:tc>
      </w:tr>
      <w:tr>
        <w:trPr>
          <w:trHeight w:val="293"/>
        </w:trPr>
        <w:tc>
          <w:tcPr>
            <w:tcW w:w="40" w:type="dxa"/>
            <w:vAlign w:val="bottom"/>
          </w:tcPr>
          <w:p>
            <w:pPr>
              <w:spacing w:after="0"/>
              <w:rPr>
                <w:sz w:val="24"/>
                <w:szCs w:val="24"/>
                <w:color w:val="auto"/>
              </w:rPr>
            </w:pPr>
          </w:p>
        </w:tc>
        <w:tc>
          <w:tcPr>
            <w:tcW w:w="6880" w:type="dxa"/>
            <w:vAlign w:val="bottom"/>
            <w:gridSpan w:val="2"/>
          </w:tcPr>
          <w:p>
            <w:pPr>
              <w:ind w:left="220"/>
              <w:spacing w:after="0"/>
              <w:rPr>
                <w:sz w:val="20"/>
                <w:szCs w:val="20"/>
                <w:color w:val="auto"/>
              </w:rPr>
            </w:pPr>
            <w:r>
              <w:rPr>
                <w:rFonts w:ascii="Arial" w:cs="Arial" w:eastAsia="Arial" w:hAnsi="Arial"/>
                <w:sz w:val="20"/>
                <w:szCs w:val="20"/>
                <w:color w:val="00162F"/>
              </w:rPr>
              <w:t>International developed markets</w:t>
            </w:r>
          </w:p>
        </w:tc>
        <w:tc>
          <w:tcPr>
            <w:tcW w:w="1840" w:type="dxa"/>
            <w:vAlign w:val="bottom"/>
          </w:tcPr>
          <w:p>
            <w:pPr>
              <w:jc w:val="center"/>
              <w:spacing w:after="0"/>
              <w:rPr>
                <w:sz w:val="20"/>
                <w:szCs w:val="20"/>
                <w:color w:val="auto"/>
              </w:rPr>
            </w:pPr>
            <w:r>
              <w:rPr>
                <w:rFonts w:ascii="Arial" w:cs="Arial" w:eastAsia="Arial" w:hAnsi="Arial"/>
                <w:sz w:val="20"/>
                <w:szCs w:val="20"/>
                <w:color w:val="00162F"/>
              </w:rPr>
              <w:t>9%</w:t>
            </w:r>
          </w:p>
        </w:tc>
        <w:tc>
          <w:tcPr>
            <w:tcW w:w="1920" w:type="dxa"/>
            <w:vAlign w:val="bottom"/>
            <w:gridSpan w:val="3"/>
          </w:tcPr>
          <w:p>
            <w:pPr>
              <w:jc w:val="center"/>
              <w:ind w:left="1"/>
              <w:spacing w:after="0"/>
              <w:rPr>
                <w:sz w:val="20"/>
                <w:szCs w:val="20"/>
                <w:color w:val="auto"/>
              </w:rPr>
            </w:pPr>
            <w:r>
              <w:rPr>
                <w:rFonts w:ascii="Arial" w:cs="Arial" w:eastAsia="Arial" w:hAnsi="Arial"/>
                <w:sz w:val="20"/>
                <w:szCs w:val="20"/>
                <w:color w:val="00162F"/>
                <w:w w:val="99"/>
              </w:rPr>
              <w:t>0% - 20%</w:t>
            </w:r>
          </w:p>
        </w:tc>
      </w:tr>
      <w:tr>
        <w:trPr>
          <w:trHeight w:val="301"/>
        </w:trPr>
        <w:tc>
          <w:tcPr>
            <w:tcW w:w="40" w:type="dxa"/>
            <w:vAlign w:val="bottom"/>
            <w:shd w:val="clear" w:color="auto" w:fill="EDEDED"/>
          </w:tcPr>
          <w:p>
            <w:pPr>
              <w:spacing w:after="0"/>
              <w:rPr>
                <w:sz w:val="24"/>
                <w:szCs w:val="24"/>
                <w:color w:val="auto"/>
              </w:rPr>
            </w:pPr>
          </w:p>
        </w:tc>
        <w:tc>
          <w:tcPr>
            <w:tcW w:w="6880" w:type="dxa"/>
            <w:vAlign w:val="bottom"/>
            <w:gridSpan w:val="2"/>
            <w:shd w:val="clear" w:color="auto" w:fill="EDEDED"/>
          </w:tcPr>
          <w:p>
            <w:pPr>
              <w:ind w:left="220"/>
              <w:spacing w:after="0"/>
              <w:rPr>
                <w:sz w:val="20"/>
                <w:szCs w:val="20"/>
                <w:color w:val="auto"/>
              </w:rPr>
            </w:pPr>
            <w:r>
              <w:rPr>
                <w:rFonts w:ascii="Arial" w:cs="Arial" w:eastAsia="Arial" w:hAnsi="Arial"/>
                <w:sz w:val="20"/>
                <w:szCs w:val="20"/>
                <w:color w:val="00162F"/>
              </w:rPr>
              <w:t>Emerging markets</w:t>
            </w:r>
          </w:p>
        </w:tc>
        <w:tc>
          <w:tcPr>
            <w:tcW w:w="1840" w:type="dxa"/>
            <w:vAlign w:val="bottom"/>
            <w:shd w:val="clear" w:color="auto" w:fill="EDEDED"/>
          </w:tcPr>
          <w:p>
            <w:pPr>
              <w:jc w:val="center"/>
              <w:spacing w:after="0"/>
              <w:rPr>
                <w:sz w:val="20"/>
                <w:szCs w:val="20"/>
                <w:color w:val="auto"/>
              </w:rPr>
            </w:pPr>
            <w:r>
              <w:rPr>
                <w:rFonts w:ascii="Arial" w:cs="Arial" w:eastAsia="Arial" w:hAnsi="Arial"/>
                <w:sz w:val="20"/>
                <w:szCs w:val="20"/>
                <w:color w:val="00162F"/>
              </w:rPr>
              <w:t>3%</w:t>
            </w:r>
          </w:p>
        </w:tc>
        <w:tc>
          <w:tcPr>
            <w:tcW w:w="1920" w:type="dxa"/>
            <w:vAlign w:val="bottom"/>
            <w:gridSpan w:val="3"/>
            <w:shd w:val="clear" w:color="auto" w:fill="EDEDED"/>
          </w:tcPr>
          <w:p>
            <w:pPr>
              <w:jc w:val="center"/>
              <w:ind w:left="1"/>
              <w:spacing w:after="0"/>
              <w:rPr>
                <w:sz w:val="20"/>
                <w:szCs w:val="20"/>
                <w:color w:val="auto"/>
              </w:rPr>
            </w:pPr>
            <w:r>
              <w:rPr>
                <w:rFonts w:ascii="Arial" w:cs="Arial" w:eastAsia="Arial" w:hAnsi="Arial"/>
                <w:sz w:val="20"/>
                <w:szCs w:val="20"/>
                <w:color w:val="00162F"/>
                <w:w w:val="99"/>
              </w:rPr>
              <w:t>0% - 10%</w:t>
            </w:r>
          </w:p>
        </w:tc>
      </w:tr>
      <w:tr>
        <w:trPr>
          <w:trHeight w:val="293"/>
        </w:trPr>
        <w:tc>
          <w:tcPr>
            <w:tcW w:w="40" w:type="dxa"/>
            <w:vAlign w:val="bottom"/>
          </w:tcPr>
          <w:p>
            <w:pPr>
              <w:spacing w:after="0"/>
              <w:rPr>
                <w:sz w:val="24"/>
                <w:szCs w:val="24"/>
                <w:color w:val="auto"/>
              </w:rPr>
            </w:pPr>
          </w:p>
        </w:tc>
        <w:tc>
          <w:tcPr>
            <w:tcW w:w="6880" w:type="dxa"/>
            <w:vAlign w:val="bottom"/>
            <w:gridSpan w:val="2"/>
          </w:tcPr>
          <w:p>
            <w:pPr>
              <w:ind w:left="140"/>
              <w:spacing w:after="0"/>
              <w:rPr>
                <w:sz w:val="20"/>
                <w:szCs w:val="20"/>
                <w:color w:val="auto"/>
              </w:rPr>
            </w:pPr>
            <w:r>
              <w:rPr>
                <w:rFonts w:ascii="Arial" w:cs="Arial" w:eastAsia="Arial" w:hAnsi="Arial"/>
                <w:sz w:val="20"/>
                <w:szCs w:val="20"/>
                <w:color w:val="00162F"/>
              </w:rPr>
              <w:t>Private equity</w:t>
            </w:r>
          </w:p>
        </w:tc>
        <w:tc>
          <w:tcPr>
            <w:tcW w:w="1840" w:type="dxa"/>
            <w:vAlign w:val="bottom"/>
          </w:tcPr>
          <w:p>
            <w:pPr>
              <w:jc w:val="center"/>
              <w:spacing w:after="0"/>
              <w:rPr>
                <w:sz w:val="20"/>
                <w:szCs w:val="20"/>
                <w:color w:val="auto"/>
              </w:rPr>
            </w:pPr>
            <w:r>
              <w:rPr>
                <w:rFonts w:ascii="Arial" w:cs="Arial" w:eastAsia="Arial" w:hAnsi="Arial"/>
                <w:sz w:val="20"/>
                <w:szCs w:val="20"/>
                <w:color w:val="00162F"/>
                <w:w w:val="99"/>
              </w:rPr>
              <w:t>15%</w:t>
            </w:r>
          </w:p>
        </w:tc>
        <w:tc>
          <w:tcPr>
            <w:tcW w:w="1920" w:type="dxa"/>
            <w:vAlign w:val="bottom"/>
            <w:gridSpan w:val="3"/>
          </w:tcPr>
          <w:p>
            <w:pPr>
              <w:jc w:val="center"/>
              <w:ind w:left="1"/>
              <w:spacing w:after="0"/>
              <w:rPr>
                <w:sz w:val="20"/>
                <w:szCs w:val="20"/>
                <w:color w:val="auto"/>
              </w:rPr>
            </w:pPr>
            <w:r>
              <w:rPr>
                <w:rFonts w:ascii="Arial" w:cs="Arial" w:eastAsia="Arial" w:hAnsi="Arial"/>
                <w:sz w:val="20"/>
                <w:szCs w:val="20"/>
                <w:color w:val="00162F"/>
                <w:w w:val="99"/>
              </w:rPr>
              <w:t>5% - 35%</w:t>
            </w:r>
          </w:p>
        </w:tc>
      </w:tr>
      <w:tr>
        <w:trPr>
          <w:trHeight w:val="301"/>
        </w:trPr>
        <w:tc>
          <w:tcPr>
            <w:tcW w:w="40" w:type="dxa"/>
            <w:vAlign w:val="bottom"/>
            <w:shd w:val="clear" w:color="auto" w:fill="EDEDED"/>
          </w:tcPr>
          <w:p>
            <w:pPr>
              <w:spacing w:after="0"/>
              <w:rPr>
                <w:sz w:val="24"/>
                <w:szCs w:val="24"/>
                <w:color w:val="auto"/>
              </w:rPr>
            </w:pPr>
          </w:p>
        </w:tc>
        <w:tc>
          <w:tcPr>
            <w:tcW w:w="1720" w:type="dxa"/>
            <w:vAlign w:val="bottom"/>
            <w:shd w:val="clear" w:color="auto" w:fill="EDEDED"/>
          </w:tcPr>
          <w:p>
            <w:pPr>
              <w:spacing w:after="0"/>
              <w:rPr>
                <w:sz w:val="24"/>
                <w:szCs w:val="24"/>
                <w:color w:val="auto"/>
              </w:rPr>
            </w:pPr>
          </w:p>
        </w:tc>
        <w:tc>
          <w:tcPr>
            <w:tcW w:w="5160" w:type="dxa"/>
            <w:vAlign w:val="bottom"/>
            <w:shd w:val="clear" w:color="auto" w:fill="EDEDED"/>
          </w:tcPr>
          <w:p>
            <w:pPr>
              <w:spacing w:after="0"/>
              <w:rPr>
                <w:sz w:val="24"/>
                <w:szCs w:val="24"/>
                <w:color w:val="auto"/>
              </w:rPr>
            </w:pPr>
          </w:p>
        </w:tc>
        <w:tc>
          <w:tcPr>
            <w:tcW w:w="18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r>
      <w:tr>
        <w:trPr>
          <w:trHeight w:val="293"/>
        </w:trPr>
        <w:tc>
          <w:tcPr>
            <w:tcW w:w="4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20"/>
                <w:szCs w:val="20"/>
                <w:color w:val="00162F"/>
              </w:rPr>
              <w:t>Fixed income</w:t>
            </w:r>
          </w:p>
        </w:tc>
        <w:tc>
          <w:tcPr>
            <w:tcW w:w="1840" w:type="dxa"/>
            <w:vAlign w:val="bottom"/>
          </w:tcPr>
          <w:p>
            <w:pPr>
              <w:jc w:val="center"/>
              <w:spacing w:after="0"/>
              <w:rPr>
                <w:sz w:val="20"/>
                <w:szCs w:val="20"/>
                <w:color w:val="auto"/>
              </w:rPr>
            </w:pPr>
            <w:r>
              <w:rPr>
                <w:rFonts w:ascii="Arial" w:cs="Arial" w:eastAsia="Arial" w:hAnsi="Arial"/>
                <w:sz w:val="20"/>
                <w:szCs w:val="20"/>
                <w:color w:val="00162F"/>
                <w:w w:val="99"/>
              </w:rPr>
              <w:t>55%</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15%</w:t>
            </w:r>
          </w:p>
        </w:tc>
        <w:tc>
          <w:tcPr>
            <w:tcW w:w="980" w:type="dxa"/>
            <w:vAlign w:val="bottom"/>
          </w:tcPr>
          <w:p>
            <w:pPr>
              <w:ind w:left="40"/>
              <w:spacing w:after="0"/>
              <w:rPr>
                <w:sz w:val="20"/>
                <w:szCs w:val="20"/>
                <w:color w:val="auto"/>
              </w:rPr>
            </w:pPr>
            <w:r>
              <w:rPr>
                <w:rFonts w:ascii="Arial" w:cs="Arial" w:eastAsia="Arial" w:hAnsi="Arial"/>
                <w:sz w:val="20"/>
                <w:szCs w:val="20"/>
                <w:color w:val="00162F"/>
              </w:rPr>
              <w:t>- 90%</w:t>
            </w:r>
          </w:p>
        </w:tc>
      </w:tr>
      <w:tr>
        <w:trPr>
          <w:trHeight w:val="301"/>
        </w:trPr>
        <w:tc>
          <w:tcPr>
            <w:tcW w:w="40" w:type="dxa"/>
            <w:vAlign w:val="bottom"/>
            <w:shd w:val="clear" w:color="auto" w:fill="EDEDED"/>
          </w:tcPr>
          <w:p>
            <w:pPr>
              <w:spacing w:after="0"/>
              <w:rPr>
                <w:sz w:val="24"/>
                <w:szCs w:val="24"/>
                <w:color w:val="auto"/>
              </w:rPr>
            </w:pPr>
          </w:p>
        </w:tc>
        <w:tc>
          <w:tcPr>
            <w:tcW w:w="6880" w:type="dxa"/>
            <w:vAlign w:val="bottom"/>
            <w:gridSpan w:val="2"/>
            <w:shd w:val="clear" w:color="auto" w:fill="EDEDED"/>
          </w:tcPr>
          <w:p>
            <w:pPr>
              <w:ind w:left="140"/>
              <w:spacing w:after="0"/>
              <w:rPr>
                <w:sz w:val="20"/>
                <w:szCs w:val="20"/>
                <w:color w:val="auto"/>
              </w:rPr>
            </w:pPr>
            <w:r>
              <w:rPr>
                <w:rFonts w:ascii="Arial" w:cs="Arial" w:eastAsia="Arial" w:hAnsi="Arial"/>
                <w:sz w:val="20"/>
                <w:szCs w:val="20"/>
                <w:color w:val="00162F"/>
              </w:rPr>
              <w:t>Public U.S. fixed income</w:t>
            </w:r>
          </w:p>
        </w:tc>
        <w:tc>
          <w:tcPr>
            <w:tcW w:w="1840" w:type="dxa"/>
            <w:vAlign w:val="bottom"/>
            <w:shd w:val="clear" w:color="auto" w:fill="EDEDED"/>
          </w:tcPr>
          <w:p>
            <w:pPr>
              <w:jc w:val="center"/>
              <w:spacing w:after="0"/>
              <w:rPr>
                <w:sz w:val="20"/>
                <w:szCs w:val="20"/>
                <w:color w:val="auto"/>
              </w:rPr>
            </w:pPr>
            <w:r>
              <w:rPr>
                <w:rFonts w:ascii="Arial" w:cs="Arial" w:eastAsia="Arial" w:hAnsi="Arial"/>
                <w:sz w:val="20"/>
                <w:szCs w:val="20"/>
                <w:color w:val="00162F"/>
                <w:w w:val="99"/>
              </w:rPr>
              <w:t>45%</w:t>
            </w:r>
          </w:p>
        </w:tc>
        <w:tc>
          <w:tcPr>
            <w:tcW w:w="9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15%</w:t>
            </w:r>
          </w:p>
        </w:tc>
        <w:tc>
          <w:tcPr>
            <w:tcW w:w="98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- 70%</w:t>
            </w:r>
          </w:p>
        </w:tc>
      </w:tr>
      <w:tr>
        <w:trPr>
          <w:trHeight w:val="293"/>
        </w:trPr>
        <w:tc>
          <w:tcPr>
            <w:tcW w:w="40" w:type="dxa"/>
            <w:vAlign w:val="bottom"/>
          </w:tcPr>
          <w:p>
            <w:pPr>
              <w:spacing w:after="0"/>
              <w:rPr>
                <w:sz w:val="24"/>
                <w:szCs w:val="24"/>
                <w:color w:val="auto"/>
              </w:rPr>
            </w:pPr>
          </w:p>
        </w:tc>
        <w:tc>
          <w:tcPr>
            <w:tcW w:w="6880" w:type="dxa"/>
            <w:vAlign w:val="bottom"/>
            <w:gridSpan w:val="2"/>
          </w:tcPr>
          <w:p>
            <w:pPr>
              <w:ind w:left="140"/>
              <w:spacing w:after="0"/>
              <w:rPr>
                <w:sz w:val="20"/>
                <w:szCs w:val="20"/>
                <w:color w:val="auto"/>
              </w:rPr>
            </w:pPr>
            <w:r>
              <w:rPr>
                <w:rFonts w:ascii="Arial" w:cs="Arial" w:eastAsia="Arial" w:hAnsi="Arial"/>
                <w:sz w:val="20"/>
                <w:szCs w:val="20"/>
                <w:color w:val="00162F"/>
              </w:rPr>
              <w:t>Private income</w:t>
            </w:r>
          </w:p>
        </w:tc>
        <w:tc>
          <w:tcPr>
            <w:tcW w:w="1840" w:type="dxa"/>
            <w:vAlign w:val="bottom"/>
          </w:tcPr>
          <w:p>
            <w:pPr>
              <w:jc w:val="center"/>
              <w:spacing w:after="0"/>
              <w:rPr>
                <w:sz w:val="20"/>
                <w:szCs w:val="20"/>
                <w:color w:val="auto"/>
              </w:rPr>
            </w:pPr>
            <w:r>
              <w:rPr>
                <w:rFonts w:ascii="Arial" w:cs="Arial" w:eastAsia="Arial" w:hAnsi="Arial"/>
                <w:sz w:val="20"/>
                <w:szCs w:val="20"/>
                <w:color w:val="00162F"/>
                <w:w w:val="99"/>
              </w:rPr>
              <w:t>10%</w:t>
            </w:r>
          </w:p>
        </w:tc>
        <w:tc>
          <w:tcPr>
            <w:tcW w:w="1920" w:type="dxa"/>
            <w:vAlign w:val="bottom"/>
            <w:gridSpan w:val="3"/>
          </w:tcPr>
          <w:p>
            <w:pPr>
              <w:jc w:val="center"/>
              <w:ind w:left="1"/>
              <w:spacing w:after="0"/>
              <w:rPr>
                <w:sz w:val="20"/>
                <w:szCs w:val="20"/>
                <w:color w:val="auto"/>
              </w:rPr>
            </w:pPr>
            <w:r>
              <w:rPr>
                <w:rFonts w:ascii="Arial" w:cs="Arial" w:eastAsia="Arial" w:hAnsi="Arial"/>
                <w:sz w:val="20"/>
                <w:szCs w:val="20"/>
                <w:color w:val="00162F"/>
                <w:w w:val="99"/>
              </w:rPr>
              <w:t>0% - 20%</w:t>
            </w:r>
          </w:p>
        </w:tc>
      </w:tr>
      <w:tr>
        <w:trPr>
          <w:trHeight w:val="301"/>
        </w:trPr>
        <w:tc>
          <w:tcPr>
            <w:tcW w:w="40" w:type="dxa"/>
            <w:vAlign w:val="bottom"/>
            <w:shd w:val="clear" w:color="auto" w:fill="EDEDED"/>
          </w:tcPr>
          <w:p>
            <w:pPr>
              <w:spacing w:after="0"/>
              <w:rPr>
                <w:sz w:val="24"/>
                <w:szCs w:val="24"/>
                <w:color w:val="auto"/>
              </w:rPr>
            </w:pPr>
          </w:p>
        </w:tc>
        <w:tc>
          <w:tcPr>
            <w:tcW w:w="1720" w:type="dxa"/>
            <w:vAlign w:val="bottom"/>
            <w:shd w:val="clear" w:color="auto" w:fill="EDEDED"/>
          </w:tcPr>
          <w:p>
            <w:pPr>
              <w:spacing w:after="0"/>
              <w:rPr>
                <w:sz w:val="24"/>
                <w:szCs w:val="24"/>
                <w:color w:val="auto"/>
              </w:rPr>
            </w:pPr>
          </w:p>
        </w:tc>
        <w:tc>
          <w:tcPr>
            <w:tcW w:w="5160" w:type="dxa"/>
            <w:vAlign w:val="bottom"/>
            <w:shd w:val="clear" w:color="auto" w:fill="EDEDED"/>
          </w:tcPr>
          <w:p>
            <w:pPr>
              <w:spacing w:after="0"/>
              <w:rPr>
                <w:sz w:val="24"/>
                <w:szCs w:val="24"/>
                <w:color w:val="auto"/>
              </w:rPr>
            </w:pPr>
          </w:p>
        </w:tc>
        <w:tc>
          <w:tcPr>
            <w:tcW w:w="18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r>
      <w:tr>
        <w:trPr>
          <w:trHeight w:val="293"/>
        </w:trPr>
        <w:tc>
          <w:tcPr>
            <w:tcW w:w="4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20"/>
                <w:szCs w:val="20"/>
                <w:color w:val="00162F"/>
              </w:rPr>
              <w:t>Other</w:t>
            </w:r>
          </w:p>
        </w:tc>
        <w:tc>
          <w:tcPr>
            <w:tcW w:w="1840" w:type="dxa"/>
            <w:vAlign w:val="bottom"/>
          </w:tcPr>
          <w:p>
            <w:pPr>
              <w:jc w:val="center"/>
              <w:spacing w:after="0"/>
              <w:rPr>
                <w:sz w:val="20"/>
                <w:szCs w:val="20"/>
                <w:color w:val="auto"/>
              </w:rPr>
            </w:pPr>
            <w:r>
              <w:rPr>
                <w:rFonts w:ascii="Arial" w:cs="Arial" w:eastAsia="Arial" w:hAnsi="Arial"/>
                <w:sz w:val="20"/>
                <w:szCs w:val="20"/>
                <w:color w:val="00162F"/>
              </w:rPr>
              <w:t>0%</w:t>
            </w:r>
          </w:p>
        </w:tc>
        <w:tc>
          <w:tcPr>
            <w:tcW w:w="940" w:type="dxa"/>
            <w:vAlign w:val="bottom"/>
            <w:gridSpan w:val="2"/>
          </w:tcPr>
          <w:p>
            <w:pPr>
              <w:jc w:val="right"/>
              <w:spacing w:after="0"/>
              <w:rPr>
                <w:sz w:val="20"/>
                <w:szCs w:val="20"/>
                <w:color w:val="auto"/>
              </w:rPr>
            </w:pPr>
            <w:r>
              <w:rPr>
                <w:rFonts w:ascii="Arial" w:cs="Arial" w:eastAsia="Arial" w:hAnsi="Arial"/>
                <w:sz w:val="20"/>
                <w:szCs w:val="20"/>
                <w:color w:val="00162F"/>
              </w:rPr>
              <w:t>0%</w:t>
            </w:r>
          </w:p>
        </w:tc>
        <w:tc>
          <w:tcPr>
            <w:tcW w:w="980" w:type="dxa"/>
            <w:vAlign w:val="bottom"/>
          </w:tcPr>
          <w:p>
            <w:pPr>
              <w:ind w:left="40"/>
              <w:spacing w:after="0"/>
              <w:rPr>
                <w:sz w:val="20"/>
                <w:szCs w:val="20"/>
                <w:color w:val="auto"/>
              </w:rPr>
            </w:pPr>
            <w:r>
              <w:rPr>
                <w:rFonts w:ascii="Arial" w:cs="Arial" w:eastAsia="Arial" w:hAnsi="Arial"/>
                <w:sz w:val="20"/>
                <w:szCs w:val="20"/>
                <w:color w:val="00162F"/>
              </w:rPr>
              <w:t>- 5%</w:t>
            </w:r>
          </w:p>
        </w:tc>
      </w:tr>
      <w:tr>
        <w:trPr>
          <w:trHeight w:val="301"/>
        </w:trPr>
        <w:tc>
          <w:tcPr>
            <w:tcW w:w="40" w:type="dxa"/>
            <w:vAlign w:val="bottom"/>
            <w:shd w:val="clear" w:color="auto" w:fill="EDEDED"/>
          </w:tcPr>
          <w:p>
            <w:pPr>
              <w:spacing w:after="0"/>
              <w:rPr>
                <w:sz w:val="24"/>
                <w:szCs w:val="24"/>
                <w:color w:val="auto"/>
              </w:rPr>
            </w:pPr>
          </w:p>
        </w:tc>
        <w:tc>
          <w:tcPr>
            <w:tcW w:w="6880" w:type="dxa"/>
            <w:vAlign w:val="bottom"/>
            <w:gridSpan w:val="2"/>
            <w:shd w:val="clear" w:color="auto" w:fill="EDEDED"/>
          </w:tcPr>
          <w:p>
            <w:pPr>
              <w:spacing w:after="0"/>
              <w:rPr>
                <w:sz w:val="20"/>
                <w:szCs w:val="20"/>
                <w:color w:val="auto"/>
              </w:rPr>
            </w:pPr>
            <w:r>
              <w:rPr>
                <w:rFonts w:ascii="Arial" w:cs="Arial" w:eastAsia="Arial" w:hAnsi="Arial"/>
                <w:sz w:val="20"/>
                <w:szCs w:val="20"/>
                <w:color w:val="00162F"/>
              </w:rPr>
              <w:t>Cash equivalents</w:t>
            </w:r>
          </w:p>
        </w:tc>
        <w:tc>
          <w:tcPr>
            <w:tcW w:w="1840" w:type="dxa"/>
            <w:vAlign w:val="bottom"/>
            <w:shd w:val="clear" w:color="auto" w:fill="EDEDED"/>
          </w:tcPr>
          <w:p>
            <w:pPr>
              <w:jc w:val="center"/>
              <w:spacing w:after="0"/>
              <w:rPr>
                <w:sz w:val="20"/>
                <w:szCs w:val="20"/>
                <w:color w:val="auto"/>
              </w:rPr>
            </w:pPr>
            <w:r>
              <w:rPr>
                <w:rFonts w:ascii="Arial" w:cs="Arial" w:eastAsia="Arial" w:hAnsi="Arial"/>
                <w:sz w:val="20"/>
                <w:szCs w:val="20"/>
                <w:color w:val="00162F"/>
              </w:rPr>
              <w:t>0%</w:t>
            </w:r>
          </w:p>
        </w:tc>
        <w:tc>
          <w:tcPr>
            <w:tcW w:w="1920" w:type="dxa"/>
            <w:vAlign w:val="bottom"/>
            <w:gridSpan w:val="3"/>
            <w:shd w:val="clear" w:color="auto" w:fill="EDEDED"/>
          </w:tcPr>
          <w:p>
            <w:pPr>
              <w:jc w:val="center"/>
              <w:ind w:left="1"/>
              <w:spacing w:after="0"/>
              <w:rPr>
                <w:sz w:val="20"/>
                <w:szCs w:val="20"/>
                <w:color w:val="auto"/>
              </w:rPr>
            </w:pPr>
            <w:r>
              <w:rPr>
                <w:rFonts w:ascii="Arial" w:cs="Arial" w:eastAsia="Arial" w:hAnsi="Arial"/>
                <w:sz w:val="20"/>
                <w:szCs w:val="20"/>
                <w:color w:val="00162F"/>
                <w:w w:val="99"/>
              </w:rPr>
              <w:t>0% - 20%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-2475865</wp:posOffset>
            </wp:positionV>
            <wp:extent cx="2420620" cy="501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7">
                      <a:extLst>
                        <a:ext uri="{28A0092B-C50C-407E-A947-70E740481C1C}"/>
                      </a:extLst>
                    </a:blip>
                    <a:srcRect/>
                    <a:stretch>
                      <a:fillRect/>
                    </a:stretch>
                  </pic:blipFill>
                  <pic:spPr bwMode="auto">
                    <a:xfrm>
                      <a:off x="0" y="0"/>
                      <a:ext cx="2420620" cy="50165"/>
                    </a:xfrm>
                    <a:prstGeom prst="rect">
                      <a:avLst/>
                    </a:prstGeom>
                    <a:noFill/>
                  </pic:spPr>
                </pic:pic>
              </a:graphicData>
            </a:graphic>
          </wp:anchor>
        </w:drawing>
      </w:r>
    </w:p>
    <w:p>
      <w:pPr>
        <w:spacing w:after="0" w:line="202"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Public equity investments are intended to provide a real return over a full market cycle and, therefore, to contribute to the pension plan’s long-term objective. Public fixed income investments are intended to provide income to the plan and offer the potential for long term capital appreciation. Private investments, such as private equity and private income, are used to provide higher expected returns than public markets over the long-term by assuming reduced levels of liquidity and higher levels of risk. The pension plan’s master trust participates in securities lending programs to generate additional income by loaning plan assets to borrowers on a fully collateralized basis. The pension plan’s master trust will also engage in derivative instruments to equitize residual levels of cash as well as hedge the pension plan’s exposure to interest rates. Such programs are subject to market risk and counterparty risk.</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158</w:t>
      </w:r>
    </w:p>
    <w:p>
      <w:pPr>
        <w:sectPr>
          <w:pgSz w:w="11880" w:h="15480" w:orient="portrait"/>
          <w:cols w:equalWidth="0" w:num="1">
            <w:col w:w="10680"/>
          </w:cols>
          <w:pgMar w:left="600" w:top="249" w:right="600" w:bottom="0" w:gutter="0" w:footer="0" w:header="0"/>
          <w:type w:val="continuous"/>
        </w:sectPr>
      </w:pPr>
    </w:p>
    <w:bookmarkStart w:id="159" w:name="page160"/>
    <w:bookmarkEnd w:id="159"/>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ind w:left="5" w:firstLine="267"/>
        <w:spacing w:after="0" w:line="269" w:lineRule="auto"/>
        <w:rPr>
          <w:sz w:val="20"/>
          <w:szCs w:val="20"/>
          <w:color w:val="auto"/>
        </w:rPr>
      </w:pPr>
      <w:r>
        <w:rPr>
          <w:rFonts w:ascii="Arial" w:cs="Arial" w:eastAsia="Arial" w:hAnsi="Arial"/>
          <w:sz w:val="19"/>
          <w:szCs w:val="19"/>
          <w:color w:val="00162F"/>
        </w:rPr>
        <w:t>Investments in securities traded on recognized securities exchanges are valued at the last reported sales price on the last business day of the year. Securities traded in the over-the-counter market are valued at the last bid price. Investments in limited partnerships are carried at estimated net asset value (NAV) as determined by and reported by the general partners of the partnerships and represent the proportionate share of the estimated fair value of the underlying assets of the limited partnerships. Mutual funds are valued once daily through a NAV calculation provided at the end of each trade day. Common/collective trusts are valued at NAV based on the fair values of the underlying investments of the trusts as determined by the sponsor of the trusts. No changes in valuation techniques or inputs occurred during the year.</w:t>
      </w:r>
    </w:p>
    <w:p>
      <w:pPr>
        <w:spacing w:after="0" w:line="217"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Benefit Plan Assets Measured at Fair Value on a Recurring Basis</w:t>
      </w:r>
    </w:p>
    <w:p>
      <w:pPr>
        <w:spacing w:after="0" w:line="95"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 xml:space="preserve">The fair value of American’s pension plan assets at December 31, 2025 and 2024, by asset category, were as follows (in millions) </w:t>
      </w:r>
      <w:r>
        <w:rPr>
          <w:rFonts w:ascii="Arial" w:cs="Arial" w:eastAsia="Arial" w:hAnsi="Arial"/>
          <w:sz w:val="12"/>
          <w:szCs w:val="12"/>
          <w:color w:val="00162F"/>
        </w:rPr>
        <w:t>(1)</w:t>
      </w:r>
      <w:r>
        <w:rPr>
          <w:rFonts w:ascii="Arial" w:cs="Arial" w:eastAsia="Arial" w:hAnsi="Arial"/>
          <w:sz w:val="20"/>
          <w:szCs w:val="20"/>
          <w:color w:val="00162F"/>
        </w:rPr>
        <w:t>:</w:t>
      </w:r>
    </w:p>
    <w:p>
      <w:pPr>
        <w:spacing w:after="0" w:line="118"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760" w:type="dxa"/>
            <w:vAlign w:val="bottom"/>
            <w:tcBorders>
              <w:bottom w:val="single" w:sz="8" w:color="00162F"/>
            </w:tcBorders>
          </w:tcPr>
          <w:p>
            <w:pPr>
              <w:spacing w:after="0"/>
              <w:rPr>
                <w:sz w:val="18"/>
                <w:szCs w:val="18"/>
                <w:color w:val="auto"/>
              </w:rPr>
            </w:pPr>
          </w:p>
        </w:tc>
        <w:tc>
          <w:tcPr>
            <w:tcW w:w="60" w:type="dxa"/>
            <w:vAlign w:val="bottom"/>
            <w:tcBorders>
              <w:bottom w:val="single" w:sz="8" w:color="00162F"/>
            </w:tcBorders>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1760" w:type="dxa"/>
            <w:vAlign w:val="bottom"/>
            <w:tcBorders>
              <w:bottom w:val="single" w:sz="8" w:color="00162F"/>
            </w:tcBorders>
            <w:gridSpan w:val="4"/>
          </w:tcPr>
          <w:p>
            <w:pPr>
              <w:jc w:val="right"/>
              <w:ind w:right="164"/>
              <w:spacing w:after="0"/>
              <w:rPr>
                <w:sz w:val="20"/>
                <w:szCs w:val="20"/>
                <w:color w:val="auto"/>
              </w:rPr>
            </w:pPr>
            <w:r>
              <w:rPr>
                <w:rFonts w:ascii="Arial" w:cs="Arial" w:eastAsia="Arial" w:hAnsi="Arial"/>
                <w:sz w:val="16"/>
                <w:szCs w:val="16"/>
                <w:b w:val="1"/>
                <w:bCs w:val="1"/>
                <w:color w:val="00162F"/>
              </w:rPr>
              <w:t>December 31, 2025</w:t>
            </w:r>
          </w:p>
        </w:tc>
        <w:tc>
          <w:tcPr>
            <w:tcW w:w="60" w:type="dxa"/>
            <w:vAlign w:val="bottom"/>
            <w:tcBorders>
              <w:bottom w:val="single" w:sz="8" w:color="00162F"/>
            </w:tcBorders>
          </w:tcPr>
          <w:p>
            <w:pPr>
              <w:spacing w:after="0"/>
              <w:rPr>
                <w:sz w:val="18"/>
                <w:szCs w:val="18"/>
                <w:color w:val="auto"/>
              </w:rPr>
            </w:pPr>
          </w:p>
        </w:tc>
        <w:tc>
          <w:tcPr>
            <w:tcW w:w="200" w:type="dxa"/>
            <w:vAlign w:val="bottom"/>
            <w:tcBorders>
              <w:bottom w:val="single" w:sz="8" w:color="00162F"/>
            </w:tcBorders>
          </w:tcPr>
          <w:p>
            <w:pPr>
              <w:spacing w:after="0"/>
              <w:rPr>
                <w:sz w:val="18"/>
                <w:szCs w:val="18"/>
                <w:color w:val="auto"/>
              </w:rPr>
            </w:pPr>
          </w:p>
        </w:tc>
        <w:tc>
          <w:tcPr>
            <w:tcW w:w="720" w:type="dxa"/>
            <w:vAlign w:val="bottom"/>
            <w:tcBorders>
              <w:bottom w:val="single" w:sz="8" w:color="00162F"/>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760" w:type="dxa"/>
            <w:vAlign w:val="bottom"/>
            <w:tcBorders>
              <w:bottom w:val="single" w:sz="8" w:color="00162F"/>
            </w:tcBorders>
          </w:tcPr>
          <w:p>
            <w:pPr>
              <w:spacing w:after="0"/>
              <w:rPr>
                <w:sz w:val="18"/>
                <w:szCs w:val="18"/>
                <w:color w:val="auto"/>
              </w:rPr>
            </w:pPr>
          </w:p>
        </w:tc>
        <w:tc>
          <w:tcPr>
            <w:tcW w:w="60" w:type="dxa"/>
            <w:vAlign w:val="bottom"/>
            <w:tcBorders>
              <w:bottom w:val="single" w:sz="8" w:color="00162F"/>
            </w:tcBorders>
          </w:tcPr>
          <w:p>
            <w:pPr>
              <w:spacing w:after="0"/>
              <w:rPr>
                <w:sz w:val="18"/>
                <w:szCs w:val="18"/>
                <w:color w:val="auto"/>
              </w:rPr>
            </w:pPr>
          </w:p>
        </w:tc>
        <w:tc>
          <w:tcPr>
            <w:tcW w:w="180" w:type="dxa"/>
            <w:vAlign w:val="bottom"/>
            <w:tcBorders>
              <w:bottom w:val="single" w:sz="8" w:color="00162F"/>
            </w:tcBorders>
          </w:tcPr>
          <w:p>
            <w:pPr>
              <w:spacing w:after="0"/>
              <w:rPr>
                <w:sz w:val="18"/>
                <w:szCs w:val="18"/>
                <w:color w:val="auto"/>
              </w:rPr>
            </w:pPr>
          </w:p>
        </w:tc>
        <w:tc>
          <w:tcPr>
            <w:tcW w:w="1760" w:type="dxa"/>
            <w:vAlign w:val="bottom"/>
            <w:tcBorders>
              <w:bottom w:val="single" w:sz="8" w:color="00162F"/>
            </w:tcBorders>
            <w:gridSpan w:val="4"/>
          </w:tcPr>
          <w:p>
            <w:pPr>
              <w:jc w:val="right"/>
              <w:ind w:right="164"/>
              <w:spacing w:after="0"/>
              <w:rPr>
                <w:sz w:val="20"/>
                <w:szCs w:val="20"/>
                <w:color w:val="auto"/>
              </w:rPr>
            </w:pPr>
            <w:r>
              <w:rPr>
                <w:rFonts w:ascii="Arial" w:cs="Arial" w:eastAsia="Arial" w:hAnsi="Arial"/>
                <w:sz w:val="16"/>
                <w:szCs w:val="16"/>
                <w:b w:val="1"/>
                <w:bCs w:val="1"/>
                <w:color w:val="00162F"/>
              </w:rPr>
              <w:t>December 31, 2024</w:t>
            </w:r>
          </w:p>
        </w:tc>
        <w:tc>
          <w:tcPr>
            <w:tcW w:w="40" w:type="dxa"/>
            <w:vAlign w:val="bottom"/>
            <w:tcBorders>
              <w:bottom w:val="single" w:sz="8" w:color="00162F"/>
            </w:tcBorders>
          </w:tcPr>
          <w:p>
            <w:pPr>
              <w:spacing w:after="0"/>
              <w:rPr>
                <w:sz w:val="18"/>
                <w:szCs w:val="18"/>
                <w:color w:val="auto"/>
              </w:rPr>
            </w:pPr>
          </w:p>
        </w:tc>
        <w:tc>
          <w:tcPr>
            <w:tcW w:w="220" w:type="dxa"/>
            <w:vAlign w:val="bottom"/>
            <w:tcBorders>
              <w:bottom w:val="single" w:sz="8" w:color="00162F"/>
            </w:tcBorders>
          </w:tcPr>
          <w:p>
            <w:pPr>
              <w:spacing w:after="0"/>
              <w:rPr>
                <w:sz w:val="18"/>
                <w:szCs w:val="18"/>
                <w:color w:val="auto"/>
              </w:rPr>
            </w:pPr>
          </w:p>
        </w:tc>
        <w:tc>
          <w:tcPr>
            <w:tcW w:w="720" w:type="dxa"/>
            <w:vAlign w:val="bottom"/>
            <w:tcBorders>
              <w:bottom w:val="single" w:sz="8" w:color="00162F"/>
            </w:tcBorders>
          </w:tcPr>
          <w:p>
            <w:pPr>
              <w:spacing w:after="0"/>
              <w:rPr>
                <w:sz w:val="18"/>
                <w:szCs w:val="18"/>
                <w:color w:val="auto"/>
              </w:rPr>
            </w:pPr>
          </w:p>
        </w:tc>
      </w:tr>
      <w:tr>
        <w:trPr>
          <w:trHeight w:val="232"/>
        </w:trPr>
        <w:tc>
          <w:tcPr>
            <w:tcW w:w="1960" w:type="dxa"/>
            <w:vAlign w:val="bottom"/>
            <w:tcBorders>
              <w:bottom w:val="single" w:sz="8" w:color="EDEDED"/>
            </w:tcBorders>
          </w:tcPr>
          <w:p>
            <w:pPr>
              <w:spacing w:after="0"/>
              <w:rPr>
                <w:sz w:val="20"/>
                <w:szCs w:val="20"/>
                <w:color w:val="auto"/>
              </w:rPr>
            </w:pPr>
          </w:p>
        </w:tc>
        <w:tc>
          <w:tcPr>
            <w:tcW w:w="82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right"/>
              <w:ind w:right="104"/>
              <w:spacing w:after="0"/>
              <w:rPr>
                <w:sz w:val="20"/>
                <w:szCs w:val="20"/>
                <w:color w:val="auto"/>
              </w:rPr>
            </w:pPr>
            <w:r>
              <w:rPr>
                <w:rFonts w:ascii="Arial" w:cs="Arial" w:eastAsia="Arial" w:hAnsi="Arial"/>
                <w:sz w:val="16"/>
                <w:szCs w:val="16"/>
                <w:b w:val="1"/>
                <w:bCs w:val="1"/>
                <w:color w:val="00162F"/>
                <w:w w:val="99"/>
              </w:rPr>
              <w:t>Level 1</w:t>
            </w:r>
          </w:p>
        </w:tc>
        <w:tc>
          <w:tcPr>
            <w:tcW w:w="6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right"/>
              <w:ind w:right="106"/>
              <w:spacing w:after="0"/>
              <w:rPr>
                <w:sz w:val="20"/>
                <w:szCs w:val="20"/>
                <w:color w:val="auto"/>
              </w:rPr>
            </w:pPr>
            <w:r>
              <w:rPr>
                <w:rFonts w:ascii="Arial" w:cs="Arial" w:eastAsia="Arial" w:hAnsi="Arial"/>
                <w:sz w:val="16"/>
                <w:szCs w:val="16"/>
                <w:b w:val="1"/>
                <w:bCs w:val="1"/>
                <w:color w:val="00162F"/>
                <w:w w:val="99"/>
              </w:rPr>
              <w:t>Level 2</w:t>
            </w:r>
          </w:p>
        </w:tc>
        <w:tc>
          <w:tcPr>
            <w:tcW w:w="6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right"/>
              <w:ind w:right="104"/>
              <w:spacing w:after="0"/>
              <w:rPr>
                <w:sz w:val="20"/>
                <w:szCs w:val="20"/>
                <w:color w:val="auto"/>
              </w:rPr>
            </w:pPr>
            <w:r>
              <w:rPr>
                <w:rFonts w:ascii="Arial" w:cs="Arial" w:eastAsia="Arial" w:hAnsi="Arial"/>
                <w:sz w:val="16"/>
                <w:szCs w:val="16"/>
                <w:b w:val="1"/>
                <w:bCs w:val="1"/>
                <w:color w:val="00162F"/>
                <w:w w:val="99"/>
              </w:rPr>
              <w:t>Level 3</w:t>
            </w:r>
          </w:p>
        </w:tc>
        <w:tc>
          <w:tcPr>
            <w:tcW w:w="60" w:type="dxa"/>
            <w:vAlign w:val="bottom"/>
            <w:tcBorders>
              <w:bottom w:val="single" w:sz="8" w:color="EDEDED"/>
            </w:tcBorders>
          </w:tcPr>
          <w:p>
            <w:pPr>
              <w:spacing w:after="0"/>
              <w:rPr>
                <w:sz w:val="20"/>
                <w:szCs w:val="20"/>
                <w:color w:val="auto"/>
              </w:rPr>
            </w:pPr>
          </w:p>
        </w:tc>
        <w:tc>
          <w:tcPr>
            <w:tcW w:w="200" w:type="dxa"/>
            <w:vAlign w:val="bottom"/>
            <w:tcBorders>
              <w:bottom w:val="single" w:sz="8" w:color="00162F"/>
            </w:tcBorders>
          </w:tcPr>
          <w:p>
            <w:pPr>
              <w:spacing w:after="0"/>
              <w:rPr>
                <w:sz w:val="20"/>
                <w:szCs w:val="20"/>
                <w:color w:val="auto"/>
              </w:rPr>
            </w:pPr>
          </w:p>
        </w:tc>
        <w:tc>
          <w:tcPr>
            <w:tcW w:w="720" w:type="dxa"/>
            <w:vAlign w:val="bottom"/>
            <w:tcBorders>
              <w:bottom w:val="single" w:sz="8" w:color="00162F"/>
            </w:tcBorders>
          </w:tcPr>
          <w:p>
            <w:pPr>
              <w:jc w:val="right"/>
              <w:ind w:right="184"/>
              <w:spacing w:after="0"/>
              <w:rPr>
                <w:sz w:val="20"/>
                <w:szCs w:val="20"/>
                <w:color w:val="auto"/>
              </w:rPr>
            </w:pPr>
            <w:r>
              <w:rPr>
                <w:rFonts w:ascii="Arial" w:cs="Arial" w:eastAsia="Arial" w:hAnsi="Arial"/>
                <w:sz w:val="16"/>
                <w:szCs w:val="16"/>
                <w:b w:val="1"/>
                <w:bCs w:val="1"/>
                <w:color w:val="00162F"/>
              </w:rPr>
              <w:t>Total</w:t>
            </w:r>
          </w:p>
        </w:tc>
        <w:tc>
          <w:tcPr>
            <w:tcW w:w="6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right"/>
              <w:ind w:right="104"/>
              <w:spacing w:after="0"/>
              <w:rPr>
                <w:sz w:val="20"/>
                <w:szCs w:val="20"/>
                <w:color w:val="auto"/>
              </w:rPr>
            </w:pPr>
            <w:r>
              <w:rPr>
                <w:rFonts w:ascii="Arial" w:cs="Arial" w:eastAsia="Arial" w:hAnsi="Arial"/>
                <w:sz w:val="16"/>
                <w:szCs w:val="16"/>
                <w:b w:val="1"/>
                <w:bCs w:val="1"/>
                <w:color w:val="00162F"/>
                <w:w w:val="99"/>
              </w:rPr>
              <w:t>Level 1</w:t>
            </w:r>
          </w:p>
        </w:tc>
        <w:tc>
          <w:tcPr>
            <w:tcW w:w="6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right"/>
              <w:ind w:right="106"/>
              <w:spacing w:after="0"/>
              <w:rPr>
                <w:sz w:val="20"/>
                <w:szCs w:val="20"/>
                <w:color w:val="auto"/>
              </w:rPr>
            </w:pPr>
            <w:r>
              <w:rPr>
                <w:rFonts w:ascii="Arial" w:cs="Arial" w:eastAsia="Arial" w:hAnsi="Arial"/>
                <w:sz w:val="16"/>
                <w:szCs w:val="16"/>
                <w:b w:val="1"/>
                <w:bCs w:val="1"/>
                <w:color w:val="00162F"/>
                <w:w w:val="99"/>
              </w:rPr>
              <w:t>Level 2</w:t>
            </w:r>
          </w:p>
        </w:tc>
        <w:tc>
          <w:tcPr>
            <w:tcW w:w="60" w:type="dxa"/>
            <w:vAlign w:val="bottom"/>
            <w:tcBorders>
              <w:bottom w:val="single" w:sz="8" w:color="EDEDED"/>
            </w:tcBorders>
          </w:tcPr>
          <w:p>
            <w:pPr>
              <w:spacing w:after="0"/>
              <w:rPr>
                <w:sz w:val="20"/>
                <w:szCs w:val="20"/>
                <w:color w:val="auto"/>
              </w:rPr>
            </w:pPr>
          </w:p>
        </w:tc>
        <w:tc>
          <w:tcPr>
            <w:tcW w:w="180" w:type="dxa"/>
            <w:vAlign w:val="bottom"/>
            <w:tcBorders>
              <w:bottom w:val="single" w:sz="8" w:color="00162F"/>
            </w:tcBorders>
          </w:tcPr>
          <w:p>
            <w:pPr>
              <w:spacing w:after="0"/>
              <w:rPr>
                <w:sz w:val="20"/>
                <w:szCs w:val="20"/>
                <w:color w:val="auto"/>
              </w:rPr>
            </w:pPr>
          </w:p>
        </w:tc>
        <w:tc>
          <w:tcPr>
            <w:tcW w:w="760" w:type="dxa"/>
            <w:vAlign w:val="bottom"/>
            <w:tcBorders>
              <w:bottom w:val="single" w:sz="8" w:color="00162F"/>
            </w:tcBorders>
          </w:tcPr>
          <w:p>
            <w:pPr>
              <w:jc w:val="right"/>
              <w:ind w:right="104"/>
              <w:spacing w:after="0"/>
              <w:rPr>
                <w:sz w:val="20"/>
                <w:szCs w:val="20"/>
                <w:color w:val="auto"/>
              </w:rPr>
            </w:pPr>
            <w:r>
              <w:rPr>
                <w:rFonts w:ascii="Arial" w:cs="Arial" w:eastAsia="Arial" w:hAnsi="Arial"/>
                <w:sz w:val="16"/>
                <w:szCs w:val="16"/>
                <w:b w:val="1"/>
                <w:bCs w:val="1"/>
                <w:color w:val="00162F"/>
                <w:w w:val="99"/>
              </w:rPr>
              <w:t>Level 3</w:t>
            </w:r>
          </w:p>
        </w:tc>
        <w:tc>
          <w:tcPr>
            <w:tcW w:w="40" w:type="dxa"/>
            <w:vAlign w:val="bottom"/>
            <w:tcBorders>
              <w:bottom w:val="single" w:sz="8" w:color="EDEDED"/>
            </w:tcBorders>
          </w:tcPr>
          <w:p>
            <w:pPr>
              <w:spacing w:after="0"/>
              <w:rPr>
                <w:sz w:val="20"/>
                <w:szCs w:val="20"/>
                <w:color w:val="auto"/>
              </w:rPr>
            </w:pPr>
          </w:p>
        </w:tc>
        <w:tc>
          <w:tcPr>
            <w:tcW w:w="220" w:type="dxa"/>
            <w:vAlign w:val="bottom"/>
            <w:tcBorders>
              <w:bottom w:val="single" w:sz="8" w:color="00162F"/>
            </w:tcBorders>
          </w:tcPr>
          <w:p>
            <w:pPr>
              <w:spacing w:after="0"/>
              <w:rPr>
                <w:sz w:val="20"/>
                <w:szCs w:val="20"/>
                <w:color w:val="auto"/>
              </w:rPr>
            </w:pPr>
          </w:p>
        </w:tc>
        <w:tc>
          <w:tcPr>
            <w:tcW w:w="720" w:type="dxa"/>
            <w:vAlign w:val="bottom"/>
            <w:tcBorders>
              <w:bottom w:val="single" w:sz="8" w:color="00162F"/>
            </w:tcBorders>
          </w:tcPr>
          <w:p>
            <w:pPr>
              <w:jc w:val="right"/>
              <w:ind w:right="184"/>
              <w:spacing w:after="0"/>
              <w:rPr>
                <w:sz w:val="20"/>
                <w:szCs w:val="20"/>
                <w:color w:val="auto"/>
              </w:rPr>
            </w:pPr>
            <w:r>
              <w:rPr>
                <w:rFonts w:ascii="Arial" w:cs="Arial" w:eastAsia="Arial" w:hAnsi="Arial"/>
                <w:sz w:val="16"/>
                <w:szCs w:val="16"/>
                <w:b w:val="1"/>
                <w:bCs w:val="1"/>
                <w:color w:val="00162F"/>
              </w:rPr>
              <w:t>Total</w:t>
            </w:r>
          </w:p>
        </w:tc>
      </w:tr>
      <w:tr>
        <w:trPr>
          <w:trHeight w:val="287"/>
        </w:trPr>
        <w:tc>
          <w:tcPr>
            <w:tcW w:w="27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Equity </w:t>
            </w:r>
            <w:r>
              <w:rPr>
                <w:rFonts w:ascii="Arial" w:cs="Arial" w:eastAsia="Arial" w:hAnsi="Arial"/>
                <w:sz w:val="12"/>
                <w:szCs w:val="12"/>
                <w:color w:val="00162F"/>
              </w:rPr>
              <w:t>(2)</w:t>
            </w:r>
          </w:p>
        </w:tc>
        <w:tc>
          <w:tcPr>
            <w:tcW w:w="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2,083</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26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2,083</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2,498</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w:t>
            </w:r>
          </w:p>
        </w:tc>
        <w:tc>
          <w:tcPr>
            <w:tcW w:w="26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2,498</w:t>
            </w:r>
          </w:p>
        </w:tc>
      </w:tr>
      <w:tr>
        <w:trPr>
          <w:trHeight w:val="293"/>
        </w:trPr>
        <w:tc>
          <w:tcPr>
            <w:tcW w:w="2780" w:type="dxa"/>
            <w:vAlign w:val="bottom"/>
            <w:gridSpan w:val="2"/>
          </w:tcPr>
          <w:p>
            <w:pPr>
              <w:ind w:left="40"/>
              <w:spacing w:after="0"/>
              <w:rPr>
                <w:sz w:val="20"/>
                <w:szCs w:val="20"/>
                <w:color w:val="auto"/>
              </w:rPr>
            </w:pPr>
            <w:r>
              <w:rPr>
                <w:rFonts w:ascii="Arial" w:cs="Arial" w:eastAsia="Arial" w:hAnsi="Arial"/>
                <w:sz w:val="20"/>
                <w:szCs w:val="20"/>
                <w:color w:val="00162F"/>
              </w:rPr>
              <w:t xml:space="preserve">Fixed income </w:t>
            </w:r>
            <w:r>
              <w:rPr>
                <w:rFonts w:ascii="Arial" w:cs="Arial" w:eastAsia="Arial" w:hAnsi="Arial"/>
                <w:sz w:val="12"/>
                <w:szCs w:val="12"/>
                <w:color w:val="00162F"/>
              </w:rPr>
              <w:t>(3)</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0162F"/>
              </w:rPr>
              <w:t>465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0162F"/>
              </w:rPr>
              <w:t>5,390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0162F"/>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0162F"/>
              </w:rPr>
              <w:t>5,855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0162F"/>
              </w:rPr>
              <w:t>427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0162F"/>
              </w:rPr>
              <w:t>3,723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Arial" w:cs="Arial" w:eastAsia="Arial" w:hAnsi="Arial"/>
                <w:sz w:val="20"/>
                <w:szCs w:val="20"/>
                <w:color w:val="00162F"/>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0162F"/>
              </w:rPr>
              <w:t>4,150</w:t>
            </w:r>
          </w:p>
        </w:tc>
      </w:tr>
      <w:tr>
        <w:trPr>
          <w:trHeight w:val="301"/>
        </w:trPr>
        <w:tc>
          <w:tcPr>
            <w:tcW w:w="278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 xml:space="preserve">Other, net </w:t>
            </w:r>
            <w:r>
              <w:rPr>
                <w:rFonts w:ascii="Arial" w:cs="Arial" w:eastAsia="Arial" w:hAnsi="Arial"/>
                <w:sz w:val="12"/>
                <w:szCs w:val="12"/>
                <w:color w:val="00162F"/>
              </w:rPr>
              <w:t>(4)</w:t>
            </w: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144</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288</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63</w:t>
            </w:r>
          </w:p>
        </w:tc>
        <w:tc>
          <w:tcPr>
            <w:tcW w:w="6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495</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91</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144</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68</w:t>
            </w:r>
          </w:p>
        </w:tc>
        <w:tc>
          <w:tcPr>
            <w:tcW w:w="4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303</w:t>
            </w:r>
          </w:p>
        </w:tc>
      </w:tr>
      <w:tr>
        <w:trPr>
          <w:trHeight w:val="273"/>
        </w:trPr>
        <w:tc>
          <w:tcPr>
            <w:tcW w:w="2780" w:type="dxa"/>
            <w:vAlign w:val="bottom"/>
            <w:gridSpan w:val="2"/>
          </w:tcPr>
          <w:p>
            <w:pPr>
              <w:ind w:left="40"/>
              <w:spacing w:after="0"/>
              <w:rPr>
                <w:sz w:val="20"/>
                <w:szCs w:val="20"/>
                <w:color w:val="auto"/>
              </w:rPr>
            </w:pPr>
            <w:r>
              <w:rPr>
                <w:rFonts w:ascii="Arial" w:cs="Arial" w:eastAsia="Arial" w:hAnsi="Arial"/>
                <w:sz w:val="20"/>
                <w:szCs w:val="20"/>
                <w:color w:val="00162F"/>
              </w:rPr>
              <w:t xml:space="preserve">Measured at NAV </w:t>
            </w:r>
            <w:r>
              <w:rPr>
                <w:rFonts w:ascii="Arial" w:cs="Arial" w:eastAsia="Arial" w:hAnsi="Arial"/>
                <w:sz w:val="12"/>
                <w:szCs w:val="12"/>
                <w:color w:val="00162F"/>
              </w:rPr>
              <w:t>(5)</w:t>
            </w:r>
            <w:r>
              <w:rPr>
                <w:rFonts w:ascii="Arial" w:cs="Arial" w:eastAsia="Arial" w:hAnsi="Arial"/>
                <w:sz w:val="20"/>
                <w:szCs w:val="20"/>
                <w:color w:val="00162F"/>
              </w:rPr>
              <w:t>:</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92"/>
        </w:trPr>
        <w:tc>
          <w:tcPr>
            <w:tcW w:w="2780" w:type="dxa"/>
            <w:vAlign w:val="bottom"/>
            <w:gridSpan w:val="2"/>
            <w:shd w:val="clear" w:color="auto" w:fill="EDEDED"/>
          </w:tcPr>
          <w:p>
            <w:pPr>
              <w:ind w:left="160"/>
              <w:spacing w:after="0"/>
              <w:rPr>
                <w:sz w:val="20"/>
                <w:szCs w:val="20"/>
                <w:color w:val="auto"/>
              </w:rPr>
            </w:pPr>
            <w:r>
              <w:rPr>
                <w:rFonts w:ascii="Arial" w:cs="Arial" w:eastAsia="Arial" w:hAnsi="Arial"/>
                <w:sz w:val="20"/>
                <w:szCs w:val="20"/>
                <w:color w:val="00162F"/>
              </w:rPr>
              <w:t xml:space="preserve">Common collective trusts </w:t>
            </w:r>
            <w:r>
              <w:rPr>
                <w:rFonts w:ascii="Arial" w:cs="Arial" w:eastAsia="Arial" w:hAnsi="Arial"/>
                <w:sz w:val="12"/>
                <w:szCs w:val="12"/>
                <w:color w:val="00162F"/>
              </w:rPr>
              <w:t>(6)</w:t>
            </w: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00162F"/>
              </w:rPr>
              <w:t>—</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00162F"/>
              </w:rPr>
              <w:t>—</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00162F"/>
              </w:rPr>
              <w:t>—</w:t>
            </w:r>
          </w:p>
        </w:tc>
        <w:tc>
          <w:tcPr>
            <w:tcW w:w="6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198</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00162F"/>
              </w:rPr>
              <w:t>—</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00162F"/>
              </w:rPr>
              <w:t>—</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60" w:type="dxa"/>
            <w:vAlign w:val="bottom"/>
            <w:shd w:val="clear" w:color="auto" w:fill="EDEDED"/>
          </w:tcPr>
          <w:p>
            <w:pPr>
              <w:jc w:val="right"/>
              <w:ind w:right="4"/>
              <w:spacing w:after="0"/>
              <w:rPr>
                <w:sz w:val="20"/>
                <w:szCs w:val="20"/>
                <w:color w:val="auto"/>
              </w:rPr>
            </w:pPr>
            <w:r>
              <w:rPr>
                <w:rFonts w:ascii="Times New Roman" w:cs="Times New Roman" w:eastAsia="Times New Roman" w:hAnsi="Times New Roman"/>
                <w:sz w:val="20"/>
                <w:szCs w:val="20"/>
                <w:color w:val="00162F"/>
              </w:rPr>
              <w:t>—</w:t>
            </w:r>
          </w:p>
        </w:tc>
        <w:tc>
          <w:tcPr>
            <w:tcW w:w="4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1,086</w:t>
            </w:r>
          </w:p>
        </w:tc>
      </w:tr>
      <w:tr>
        <w:trPr>
          <w:trHeight w:val="287"/>
        </w:trPr>
        <w:tc>
          <w:tcPr>
            <w:tcW w:w="2780" w:type="dxa"/>
            <w:vAlign w:val="bottom"/>
            <w:tcBorders>
              <w:bottom w:val="single" w:sz="8" w:color="EDEDED"/>
            </w:tcBorders>
            <w:gridSpan w:val="2"/>
          </w:tcPr>
          <w:p>
            <w:pPr>
              <w:ind w:left="160"/>
              <w:spacing w:after="0"/>
              <w:rPr>
                <w:sz w:val="20"/>
                <w:szCs w:val="20"/>
                <w:color w:val="auto"/>
              </w:rPr>
            </w:pPr>
            <w:r>
              <w:rPr>
                <w:rFonts w:ascii="Arial" w:cs="Arial" w:eastAsia="Arial" w:hAnsi="Arial"/>
                <w:sz w:val="20"/>
                <w:szCs w:val="20"/>
                <w:color w:val="00162F"/>
              </w:rPr>
              <w:t xml:space="preserve">Private investments </w:t>
            </w:r>
            <w:r>
              <w:rPr>
                <w:rFonts w:ascii="Arial" w:cs="Arial" w:eastAsia="Arial" w:hAnsi="Arial"/>
                <w:sz w:val="12"/>
                <w:szCs w:val="12"/>
                <w:color w:val="00162F"/>
              </w:rPr>
              <w:t>(7)</w:t>
            </w:r>
          </w:p>
        </w:tc>
        <w:tc>
          <w:tcPr>
            <w:tcW w:w="180" w:type="dxa"/>
            <w:vAlign w:val="bottom"/>
            <w:tcBorders>
              <w:bottom w:val="single" w:sz="8" w:color="00162F"/>
            </w:tcBorders>
          </w:tcPr>
          <w:p>
            <w:pPr>
              <w:spacing w:after="0"/>
              <w:rPr>
                <w:sz w:val="24"/>
                <w:szCs w:val="24"/>
                <w:color w:val="auto"/>
              </w:rPr>
            </w:pPr>
          </w:p>
        </w:tc>
        <w:tc>
          <w:tcPr>
            <w:tcW w:w="760" w:type="dxa"/>
            <w:vAlign w:val="bottom"/>
            <w:tcBorders>
              <w:bottom w:val="single" w:sz="8" w:color="00162F"/>
            </w:tcBorders>
          </w:tcPr>
          <w:p>
            <w:pPr>
              <w:jc w:val="right"/>
              <w:spacing w:after="0"/>
              <w:rPr>
                <w:sz w:val="20"/>
                <w:szCs w:val="20"/>
                <w:color w:val="auto"/>
              </w:rPr>
            </w:pPr>
            <w:r>
              <w:rPr>
                <w:rFonts w:ascii="Times New Roman" w:cs="Times New Roman" w:eastAsia="Times New Roman" w:hAnsi="Times New Roman"/>
                <w:sz w:val="20"/>
                <w:szCs w:val="20"/>
                <w:color w:val="00162F"/>
              </w:rPr>
              <w:t>—</w:t>
            </w:r>
          </w:p>
        </w:tc>
        <w:tc>
          <w:tcPr>
            <w:tcW w:w="6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760" w:type="dxa"/>
            <w:vAlign w:val="bottom"/>
            <w:tcBorders>
              <w:bottom w:val="single" w:sz="8" w:color="00162F"/>
            </w:tcBorders>
          </w:tcPr>
          <w:p>
            <w:pPr>
              <w:jc w:val="right"/>
              <w:spacing w:after="0"/>
              <w:rPr>
                <w:sz w:val="20"/>
                <w:szCs w:val="20"/>
                <w:color w:val="auto"/>
              </w:rPr>
            </w:pPr>
            <w:r>
              <w:rPr>
                <w:rFonts w:ascii="Times New Roman" w:cs="Times New Roman" w:eastAsia="Times New Roman" w:hAnsi="Times New Roman"/>
                <w:sz w:val="20"/>
                <w:szCs w:val="20"/>
                <w:color w:val="00162F"/>
              </w:rPr>
              <w:t>—</w:t>
            </w:r>
          </w:p>
        </w:tc>
        <w:tc>
          <w:tcPr>
            <w:tcW w:w="6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760" w:type="dxa"/>
            <w:vAlign w:val="bottom"/>
            <w:tcBorders>
              <w:bottom w:val="single" w:sz="8" w:color="00162F"/>
            </w:tcBorders>
          </w:tcPr>
          <w:p>
            <w:pPr>
              <w:jc w:val="right"/>
              <w:spacing w:after="0"/>
              <w:rPr>
                <w:sz w:val="20"/>
                <w:szCs w:val="20"/>
                <w:color w:val="auto"/>
              </w:rPr>
            </w:pPr>
            <w:r>
              <w:rPr>
                <w:rFonts w:ascii="Times New Roman" w:cs="Times New Roman" w:eastAsia="Times New Roman" w:hAnsi="Times New Roman"/>
                <w:sz w:val="20"/>
                <w:szCs w:val="20"/>
                <w:color w:val="00162F"/>
              </w:rPr>
              <w:t>—</w:t>
            </w:r>
          </w:p>
        </w:tc>
        <w:tc>
          <w:tcPr>
            <w:tcW w:w="60" w:type="dxa"/>
            <w:vAlign w:val="bottom"/>
            <w:tcBorders>
              <w:bottom w:val="single" w:sz="8" w:color="EDEDED"/>
            </w:tcBorders>
          </w:tcPr>
          <w:p>
            <w:pPr>
              <w:spacing w:after="0"/>
              <w:rPr>
                <w:sz w:val="24"/>
                <w:szCs w:val="24"/>
                <w:color w:val="auto"/>
              </w:rPr>
            </w:pPr>
          </w:p>
        </w:tc>
        <w:tc>
          <w:tcPr>
            <w:tcW w:w="200" w:type="dxa"/>
            <w:vAlign w:val="bottom"/>
            <w:tcBorders>
              <w:bottom w:val="single" w:sz="8" w:color="00162F"/>
            </w:tcBorders>
          </w:tcPr>
          <w:p>
            <w:pPr>
              <w:spacing w:after="0"/>
              <w:rPr>
                <w:sz w:val="24"/>
                <w:szCs w:val="24"/>
                <w:color w:val="auto"/>
              </w:rPr>
            </w:pPr>
          </w:p>
        </w:tc>
        <w:tc>
          <w:tcPr>
            <w:tcW w:w="7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4,071</w:t>
            </w:r>
          </w:p>
        </w:tc>
        <w:tc>
          <w:tcPr>
            <w:tcW w:w="6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760" w:type="dxa"/>
            <w:vAlign w:val="bottom"/>
            <w:tcBorders>
              <w:bottom w:val="single" w:sz="8" w:color="00162F"/>
            </w:tcBorders>
          </w:tcPr>
          <w:p>
            <w:pPr>
              <w:jc w:val="right"/>
              <w:spacing w:after="0"/>
              <w:rPr>
                <w:sz w:val="20"/>
                <w:szCs w:val="20"/>
                <w:color w:val="auto"/>
              </w:rPr>
            </w:pPr>
            <w:r>
              <w:rPr>
                <w:rFonts w:ascii="Times New Roman" w:cs="Times New Roman" w:eastAsia="Times New Roman" w:hAnsi="Times New Roman"/>
                <w:sz w:val="20"/>
                <w:szCs w:val="20"/>
                <w:color w:val="00162F"/>
              </w:rPr>
              <w:t>—</w:t>
            </w:r>
          </w:p>
        </w:tc>
        <w:tc>
          <w:tcPr>
            <w:tcW w:w="6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760" w:type="dxa"/>
            <w:vAlign w:val="bottom"/>
            <w:tcBorders>
              <w:bottom w:val="single" w:sz="8" w:color="00162F"/>
            </w:tcBorders>
          </w:tcPr>
          <w:p>
            <w:pPr>
              <w:jc w:val="right"/>
              <w:spacing w:after="0"/>
              <w:rPr>
                <w:sz w:val="20"/>
                <w:szCs w:val="20"/>
                <w:color w:val="auto"/>
              </w:rPr>
            </w:pPr>
            <w:r>
              <w:rPr>
                <w:rFonts w:ascii="Times New Roman" w:cs="Times New Roman" w:eastAsia="Times New Roman" w:hAnsi="Times New Roman"/>
                <w:sz w:val="20"/>
                <w:szCs w:val="20"/>
                <w:color w:val="00162F"/>
              </w:rPr>
              <w:t>—</w:t>
            </w:r>
          </w:p>
        </w:tc>
        <w:tc>
          <w:tcPr>
            <w:tcW w:w="60" w:type="dxa"/>
            <w:vAlign w:val="bottom"/>
            <w:tcBorders>
              <w:bottom w:val="single" w:sz="8" w:color="EDEDED"/>
            </w:tcBorders>
          </w:tcPr>
          <w:p>
            <w:pPr>
              <w:spacing w:after="0"/>
              <w:rPr>
                <w:sz w:val="24"/>
                <w:szCs w:val="24"/>
                <w:color w:val="auto"/>
              </w:rPr>
            </w:pPr>
          </w:p>
        </w:tc>
        <w:tc>
          <w:tcPr>
            <w:tcW w:w="180" w:type="dxa"/>
            <w:vAlign w:val="bottom"/>
            <w:tcBorders>
              <w:bottom w:val="single" w:sz="8" w:color="00162F"/>
            </w:tcBorders>
          </w:tcPr>
          <w:p>
            <w:pPr>
              <w:spacing w:after="0"/>
              <w:rPr>
                <w:sz w:val="24"/>
                <w:szCs w:val="24"/>
                <w:color w:val="auto"/>
              </w:rPr>
            </w:pPr>
          </w:p>
        </w:tc>
        <w:tc>
          <w:tcPr>
            <w:tcW w:w="760" w:type="dxa"/>
            <w:vAlign w:val="bottom"/>
            <w:tcBorders>
              <w:bottom w:val="single" w:sz="8" w:color="00162F"/>
            </w:tcBorders>
          </w:tcPr>
          <w:p>
            <w:pPr>
              <w:jc w:val="right"/>
              <w:ind w:right="4"/>
              <w:spacing w:after="0"/>
              <w:rPr>
                <w:sz w:val="20"/>
                <w:szCs w:val="20"/>
                <w:color w:val="auto"/>
              </w:rPr>
            </w:pPr>
            <w:r>
              <w:rPr>
                <w:rFonts w:ascii="Times New Roman" w:cs="Times New Roman" w:eastAsia="Times New Roman" w:hAnsi="Times New Roman"/>
                <w:sz w:val="20"/>
                <w:szCs w:val="20"/>
                <w:color w:val="00162F"/>
              </w:rPr>
              <w:t>—</w:t>
            </w:r>
          </w:p>
        </w:tc>
        <w:tc>
          <w:tcPr>
            <w:tcW w:w="40" w:type="dxa"/>
            <w:vAlign w:val="bottom"/>
            <w:tcBorders>
              <w:bottom w:val="single" w:sz="8" w:color="EDEDED"/>
            </w:tcBorders>
          </w:tcPr>
          <w:p>
            <w:pPr>
              <w:spacing w:after="0"/>
              <w:rPr>
                <w:sz w:val="24"/>
                <w:szCs w:val="24"/>
                <w:color w:val="auto"/>
              </w:rPr>
            </w:pPr>
          </w:p>
        </w:tc>
        <w:tc>
          <w:tcPr>
            <w:tcW w:w="220" w:type="dxa"/>
            <w:vAlign w:val="bottom"/>
            <w:tcBorders>
              <w:bottom w:val="single" w:sz="8" w:color="00162F"/>
            </w:tcBorders>
          </w:tcPr>
          <w:p>
            <w:pPr>
              <w:spacing w:after="0"/>
              <w:rPr>
                <w:sz w:val="24"/>
                <w:szCs w:val="24"/>
                <w:color w:val="auto"/>
              </w:rPr>
            </w:pPr>
          </w:p>
        </w:tc>
        <w:tc>
          <w:tcPr>
            <w:tcW w:w="7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4,138</w:t>
            </w:r>
          </w:p>
        </w:tc>
      </w:tr>
      <w:tr>
        <w:trPr>
          <w:trHeight w:val="297"/>
        </w:trPr>
        <w:tc>
          <w:tcPr>
            <w:tcW w:w="2780" w:type="dxa"/>
            <w:vAlign w:val="bottom"/>
            <w:gridSpan w:val="2"/>
            <w:shd w:val="clear" w:color="auto" w:fill="EDEDED"/>
          </w:tcPr>
          <w:p>
            <w:pPr>
              <w:ind w:left="280"/>
              <w:spacing w:after="0"/>
              <w:rPr>
                <w:sz w:val="20"/>
                <w:szCs w:val="20"/>
                <w:color w:val="auto"/>
              </w:rPr>
            </w:pPr>
            <w:r>
              <w:rPr>
                <w:rFonts w:ascii="Arial" w:cs="Arial" w:eastAsia="Arial" w:hAnsi="Arial"/>
                <w:sz w:val="20"/>
                <w:szCs w:val="20"/>
                <w:color w:val="00162F"/>
              </w:rPr>
              <w:t>Total plan assets</w:t>
            </w:r>
          </w:p>
        </w:tc>
        <w:tc>
          <w:tcPr>
            <w:tcW w:w="1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2,692</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5,678</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63</w:t>
            </w:r>
          </w:p>
        </w:tc>
        <w:tc>
          <w:tcPr>
            <w:tcW w:w="26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12,702</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3,016</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3,867</w:t>
            </w:r>
          </w:p>
        </w:tc>
        <w:tc>
          <w:tcPr>
            <w:tcW w:w="240" w:type="dxa"/>
            <w:vAlign w:val="bottom"/>
            <w:gridSpan w:val="2"/>
            <w:shd w:val="clear" w:color="auto" w:fill="EDEDED"/>
          </w:tcPr>
          <w:p>
            <w:pPr>
              <w:jc w:val="right"/>
              <w:ind w:right="20"/>
              <w:spacing w:after="0"/>
              <w:rPr>
                <w:sz w:val="20"/>
                <w:szCs w:val="20"/>
                <w:color w:val="auto"/>
              </w:rPr>
            </w:pPr>
            <w:r>
              <w:rPr>
                <w:rFonts w:ascii="Arial" w:cs="Arial" w:eastAsia="Arial" w:hAnsi="Arial"/>
                <w:sz w:val="20"/>
                <w:szCs w:val="20"/>
                <w:color w:val="00162F"/>
              </w:rPr>
              <w:t>$</w:t>
            </w:r>
          </w:p>
        </w:tc>
        <w:tc>
          <w:tcPr>
            <w:tcW w:w="76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68</w:t>
            </w:r>
          </w:p>
        </w:tc>
        <w:tc>
          <w:tcPr>
            <w:tcW w:w="260" w:type="dxa"/>
            <w:vAlign w:val="bottom"/>
            <w:gridSpan w:val="2"/>
            <w:shd w:val="clear" w:color="auto" w:fill="EDEDED"/>
          </w:tcPr>
          <w:p>
            <w:pPr>
              <w:jc w:val="right"/>
              <w:ind w:right="40"/>
              <w:spacing w:after="0"/>
              <w:rPr>
                <w:sz w:val="20"/>
                <w:szCs w:val="20"/>
                <w:color w:val="auto"/>
              </w:rPr>
            </w:pPr>
            <w:r>
              <w:rPr>
                <w:rFonts w:ascii="Arial" w:cs="Arial" w:eastAsia="Arial" w:hAnsi="Arial"/>
                <w:sz w:val="20"/>
                <w:szCs w:val="20"/>
                <w:color w:val="00162F"/>
              </w:rPr>
              <w:t>$</w:t>
            </w:r>
          </w:p>
        </w:tc>
        <w:tc>
          <w:tcPr>
            <w:tcW w:w="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12,175</w:t>
            </w:r>
          </w:p>
        </w:tc>
      </w:tr>
      <w:tr>
        <w:trPr>
          <w:trHeight w:val="133"/>
        </w:trPr>
        <w:tc>
          <w:tcPr>
            <w:tcW w:w="1960" w:type="dxa"/>
            <w:vAlign w:val="bottom"/>
            <w:tcBorders>
              <w:top w:val="single" w:sz="8" w:color="EDEDED"/>
              <w:bottom w:val="single" w:sz="8" w:color="00162F"/>
            </w:tcBorders>
          </w:tcPr>
          <w:p>
            <w:pPr>
              <w:spacing w:after="0"/>
              <w:rPr>
                <w:sz w:val="11"/>
                <w:szCs w:val="11"/>
                <w:color w:val="auto"/>
              </w:rPr>
            </w:pPr>
          </w:p>
        </w:tc>
        <w:tc>
          <w:tcPr>
            <w:tcW w:w="82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60" w:type="dxa"/>
            <w:vAlign w:val="bottom"/>
            <w:tcBorders>
              <w:top w:val="single" w:sz="8" w:color="00162F"/>
            </w:tcBorders>
          </w:tcPr>
          <w:p>
            <w:pPr>
              <w:spacing w:after="0"/>
              <w:rPr>
                <w:sz w:val="11"/>
                <w:szCs w:val="11"/>
                <w:color w:val="auto"/>
              </w:rPr>
            </w:pPr>
          </w:p>
        </w:tc>
        <w:tc>
          <w:tcPr>
            <w:tcW w:w="6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60" w:type="dxa"/>
            <w:vAlign w:val="bottom"/>
            <w:tcBorders>
              <w:top w:val="single" w:sz="8" w:color="00162F"/>
            </w:tcBorders>
          </w:tcPr>
          <w:p>
            <w:pPr>
              <w:spacing w:after="0"/>
              <w:rPr>
                <w:sz w:val="11"/>
                <w:szCs w:val="11"/>
                <w:color w:val="auto"/>
              </w:rPr>
            </w:pPr>
          </w:p>
        </w:tc>
        <w:tc>
          <w:tcPr>
            <w:tcW w:w="6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60" w:type="dxa"/>
            <w:vAlign w:val="bottom"/>
            <w:tcBorders>
              <w:top w:val="single" w:sz="8" w:color="00162F"/>
            </w:tcBorders>
          </w:tcPr>
          <w:p>
            <w:pPr>
              <w:spacing w:after="0"/>
              <w:rPr>
                <w:sz w:val="11"/>
                <w:szCs w:val="11"/>
                <w:color w:val="auto"/>
              </w:rPr>
            </w:pPr>
          </w:p>
        </w:tc>
        <w:tc>
          <w:tcPr>
            <w:tcW w:w="60" w:type="dxa"/>
            <w:vAlign w:val="bottom"/>
            <w:tcBorders>
              <w:top w:val="single" w:sz="8" w:color="EDEDED"/>
            </w:tcBorders>
          </w:tcPr>
          <w:p>
            <w:pPr>
              <w:spacing w:after="0"/>
              <w:rPr>
                <w:sz w:val="11"/>
                <w:szCs w:val="11"/>
                <w:color w:val="auto"/>
              </w:rPr>
            </w:pPr>
          </w:p>
        </w:tc>
        <w:tc>
          <w:tcPr>
            <w:tcW w:w="200" w:type="dxa"/>
            <w:vAlign w:val="bottom"/>
            <w:tcBorders>
              <w:top w:val="single" w:sz="8" w:color="00162F"/>
            </w:tcBorders>
          </w:tcPr>
          <w:p>
            <w:pPr>
              <w:spacing w:after="0"/>
              <w:rPr>
                <w:sz w:val="11"/>
                <w:szCs w:val="11"/>
                <w:color w:val="auto"/>
              </w:rPr>
            </w:pPr>
          </w:p>
        </w:tc>
        <w:tc>
          <w:tcPr>
            <w:tcW w:w="720" w:type="dxa"/>
            <w:vAlign w:val="bottom"/>
            <w:tcBorders>
              <w:top w:val="single" w:sz="8" w:color="00162F"/>
            </w:tcBorders>
          </w:tcPr>
          <w:p>
            <w:pPr>
              <w:spacing w:after="0"/>
              <w:rPr>
                <w:sz w:val="11"/>
                <w:szCs w:val="11"/>
                <w:color w:val="auto"/>
              </w:rPr>
            </w:pPr>
          </w:p>
        </w:tc>
        <w:tc>
          <w:tcPr>
            <w:tcW w:w="6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60" w:type="dxa"/>
            <w:vAlign w:val="bottom"/>
            <w:tcBorders>
              <w:top w:val="single" w:sz="8" w:color="00162F"/>
            </w:tcBorders>
          </w:tcPr>
          <w:p>
            <w:pPr>
              <w:spacing w:after="0"/>
              <w:rPr>
                <w:sz w:val="11"/>
                <w:szCs w:val="11"/>
                <w:color w:val="auto"/>
              </w:rPr>
            </w:pPr>
          </w:p>
        </w:tc>
        <w:tc>
          <w:tcPr>
            <w:tcW w:w="6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60" w:type="dxa"/>
            <w:vAlign w:val="bottom"/>
            <w:tcBorders>
              <w:top w:val="single" w:sz="8" w:color="00162F"/>
            </w:tcBorders>
          </w:tcPr>
          <w:p>
            <w:pPr>
              <w:spacing w:after="0"/>
              <w:rPr>
                <w:sz w:val="11"/>
                <w:szCs w:val="11"/>
                <w:color w:val="auto"/>
              </w:rPr>
            </w:pPr>
          </w:p>
        </w:tc>
        <w:tc>
          <w:tcPr>
            <w:tcW w:w="60" w:type="dxa"/>
            <w:vAlign w:val="bottom"/>
            <w:tcBorders>
              <w:top w:val="single" w:sz="8" w:color="EDEDED"/>
            </w:tcBorders>
          </w:tcPr>
          <w:p>
            <w:pPr>
              <w:spacing w:after="0"/>
              <w:rPr>
                <w:sz w:val="11"/>
                <w:szCs w:val="11"/>
                <w:color w:val="auto"/>
              </w:rPr>
            </w:pPr>
          </w:p>
        </w:tc>
        <w:tc>
          <w:tcPr>
            <w:tcW w:w="180" w:type="dxa"/>
            <w:vAlign w:val="bottom"/>
            <w:tcBorders>
              <w:top w:val="single" w:sz="8" w:color="00162F"/>
            </w:tcBorders>
          </w:tcPr>
          <w:p>
            <w:pPr>
              <w:spacing w:after="0"/>
              <w:rPr>
                <w:sz w:val="11"/>
                <w:szCs w:val="11"/>
                <w:color w:val="auto"/>
              </w:rPr>
            </w:pPr>
          </w:p>
        </w:tc>
        <w:tc>
          <w:tcPr>
            <w:tcW w:w="760" w:type="dxa"/>
            <w:vAlign w:val="bottom"/>
            <w:tcBorders>
              <w:top w:val="single" w:sz="8" w:color="00162F"/>
            </w:tcBorders>
          </w:tcPr>
          <w:p>
            <w:pPr>
              <w:spacing w:after="0"/>
              <w:rPr>
                <w:sz w:val="11"/>
                <w:szCs w:val="11"/>
                <w:color w:val="auto"/>
              </w:rPr>
            </w:pPr>
          </w:p>
        </w:tc>
        <w:tc>
          <w:tcPr>
            <w:tcW w:w="40" w:type="dxa"/>
            <w:vAlign w:val="bottom"/>
            <w:tcBorders>
              <w:top w:val="single" w:sz="8" w:color="EDEDED"/>
            </w:tcBorders>
          </w:tcPr>
          <w:p>
            <w:pPr>
              <w:spacing w:after="0"/>
              <w:rPr>
                <w:sz w:val="11"/>
                <w:szCs w:val="11"/>
                <w:color w:val="auto"/>
              </w:rPr>
            </w:pPr>
          </w:p>
        </w:tc>
        <w:tc>
          <w:tcPr>
            <w:tcW w:w="220" w:type="dxa"/>
            <w:vAlign w:val="bottom"/>
            <w:tcBorders>
              <w:top w:val="single" w:sz="8" w:color="00162F"/>
            </w:tcBorders>
          </w:tcPr>
          <w:p>
            <w:pPr>
              <w:spacing w:after="0"/>
              <w:rPr>
                <w:sz w:val="11"/>
                <w:szCs w:val="11"/>
                <w:color w:val="auto"/>
              </w:rPr>
            </w:pPr>
          </w:p>
        </w:tc>
        <w:tc>
          <w:tcPr>
            <w:tcW w:w="720" w:type="dxa"/>
            <w:vAlign w:val="bottom"/>
            <w:tcBorders>
              <w:top w:val="single" w:sz="8" w:color="00162F"/>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-1429385</wp:posOffset>
            </wp:positionV>
            <wp:extent cx="50412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8">
                      <a:extLst>
                        <a:ext uri="{28A0092B-C50C-407E-A947-70E740481C1C}"/>
                      </a:extLst>
                    </a:blip>
                    <a:srcRect/>
                    <a:stretch>
                      <a:fillRect/>
                    </a:stretch>
                  </pic:blipFill>
                  <pic:spPr bwMode="auto">
                    <a:xfrm>
                      <a:off x="0" y="0"/>
                      <a:ext cx="5041265" cy="2540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-316865</wp:posOffset>
            </wp:positionV>
            <wp:extent cx="443420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9">
                      <a:extLst>
                        <a:ext uri="{28A0092B-C50C-407E-A947-70E740481C1C}"/>
                      </a:extLst>
                    </a:blip>
                    <a:srcRect/>
                    <a:stretch>
                      <a:fillRect/>
                    </a:stretch>
                  </pic:blipFill>
                  <pic:spPr bwMode="auto">
                    <a:xfrm>
                      <a:off x="0" y="0"/>
                      <a:ext cx="4434205" cy="2540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-140970</wp:posOffset>
            </wp:positionV>
            <wp:extent cx="5041265" cy="508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0">
                      <a:extLst>
                        <a:ext uri="{28A0092B-C50C-407E-A947-70E740481C1C}"/>
                      </a:extLst>
                    </a:blip>
                    <a:srcRect/>
                    <a:stretch>
                      <a:fillRect/>
                    </a:stretch>
                  </pic:blipFill>
                  <pic:spPr bwMode="auto">
                    <a:xfrm>
                      <a:off x="0" y="0"/>
                      <a:ext cx="5041265" cy="50800"/>
                    </a:xfrm>
                    <a:prstGeom prst="rect">
                      <a:avLst/>
                    </a:prstGeom>
                    <a:noFill/>
                  </pic:spPr>
                </pic:pic>
              </a:graphicData>
            </a:graphic>
          </wp:anchor>
        </w:drawing>
      </w:r>
    </w:p>
    <w:p>
      <w:pPr>
        <w:spacing w:after="0" w:line="14" w:lineRule="exact"/>
        <w:rPr>
          <w:sz w:val="20"/>
          <w:szCs w:val="20"/>
          <w:color w:val="auto"/>
        </w:rPr>
      </w:pPr>
    </w:p>
    <w:p>
      <w:pPr>
        <w:ind w:left="365" w:hanging="365"/>
        <w:spacing w:after="0"/>
        <w:tabs>
          <w:tab w:leader="none" w:pos="365" w:val="left"/>
        </w:tabs>
        <w:numPr>
          <w:ilvl w:val="0"/>
          <w:numId w:val="80"/>
        </w:numPr>
        <w:rPr>
          <w:rFonts w:ascii="Arial" w:cs="Arial" w:eastAsia="Arial" w:hAnsi="Arial"/>
          <w:sz w:val="13"/>
          <w:szCs w:val="13"/>
          <w:color w:val="00162F"/>
        </w:rPr>
      </w:pPr>
      <w:r>
        <w:rPr>
          <w:rFonts w:ascii="Arial" w:cs="Arial" w:eastAsia="Arial" w:hAnsi="Arial"/>
          <w:sz w:val="20"/>
          <w:szCs w:val="20"/>
          <w:color w:val="00162F"/>
        </w:rPr>
        <w:t>See Note 6 for a description of the levels within the fair value hierarchy.</w:t>
      </w:r>
    </w:p>
    <w:p>
      <w:pPr>
        <w:spacing w:after="0" w:line="185" w:lineRule="exact"/>
        <w:rPr>
          <w:rFonts w:ascii="Arial" w:cs="Arial" w:eastAsia="Arial" w:hAnsi="Arial"/>
          <w:sz w:val="13"/>
          <w:szCs w:val="13"/>
          <w:color w:val="00162F"/>
        </w:rPr>
      </w:pPr>
    </w:p>
    <w:p>
      <w:pPr>
        <w:ind w:left="365" w:hanging="365"/>
        <w:spacing w:after="0"/>
        <w:tabs>
          <w:tab w:leader="none" w:pos="365" w:val="left"/>
        </w:tabs>
        <w:numPr>
          <w:ilvl w:val="0"/>
          <w:numId w:val="80"/>
        </w:numPr>
        <w:rPr>
          <w:rFonts w:ascii="Arial" w:cs="Arial" w:eastAsia="Arial" w:hAnsi="Arial"/>
          <w:sz w:val="13"/>
          <w:szCs w:val="13"/>
          <w:color w:val="00162F"/>
        </w:rPr>
      </w:pPr>
      <w:r>
        <w:rPr>
          <w:rFonts w:ascii="Arial" w:cs="Arial" w:eastAsia="Arial" w:hAnsi="Arial"/>
          <w:sz w:val="20"/>
          <w:szCs w:val="20"/>
          <w:color w:val="00162F"/>
        </w:rPr>
        <w:t>Equity investments primarily include domestic and international common stock.</w:t>
      </w:r>
    </w:p>
    <w:p>
      <w:pPr>
        <w:spacing w:after="0" w:line="185" w:lineRule="exact"/>
        <w:rPr>
          <w:rFonts w:ascii="Arial" w:cs="Arial" w:eastAsia="Arial" w:hAnsi="Arial"/>
          <w:sz w:val="13"/>
          <w:szCs w:val="13"/>
          <w:color w:val="00162F"/>
        </w:rPr>
      </w:pPr>
    </w:p>
    <w:p>
      <w:pPr>
        <w:ind w:left="365" w:hanging="365"/>
        <w:spacing w:after="0" w:line="282" w:lineRule="auto"/>
        <w:tabs>
          <w:tab w:leader="none" w:pos="365" w:val="left"/>
        </w:tabs>
        <w:numPr>
          <w:ilvl w:val="0"/>
          <w:numId w:val="80"/>
        </w:numPr>
        <w:rPr>
          <w:rFonts w:ascii="Arial" w:cs="Arial" w:eastAsia="Arial" w:hAnsi="Arial"/>
          <w:sz w:val="13"/>
          <w:szCs w:val="13"/>
          <w:color w:val="00162F"/>
        </w:rPr>
      </w:pPr>
      <w:r>
        <w:rPr>
          <w:rFonts w:ascii="Arial" w:cs="Arial" w:eastAsia="Arial" w:hAnsi="Arial"/>
          <w:sz w:val="20"/>
          <w:szCs w:val="20"/>
          <w:color w:val="00162F"/>
        </w:rPr>
        <w:t>Fixed income investments primarily include corporate and government bonds, as well as mutual funds invested in fixed income securities.</w:t>
      </w:r>
    </w:p>
    <w:p>
      <w:pPr>
        <w:spacing w:after="0" w:line="112" w:lineRule="exact"/>
        <w:rPr>
          <w:rFonts w:ascii="Arial" w:cs="Arial" w:eastAsia="Arial" w:hAnsi="Arial"/>
          <w:sz w:val="13"/>
          <w:szCs w:val="13"/>
          <w:color w:val="00162F"/>
        </w:rPr>
      </w:pPr>
    </w:p>
    <w:p>
      <w:pPr>
        <w:jc w:val="both"/>
        <w:ind w:left="365" w:hanging="365"/>
        <w:spacing w:after="0" w:line="310" w:lineRule="auto"/>
        <w:tabs>
          <w:tab w:leader="none" w:pos="365" w:val="left"/>
        </w:tabs>
        <w:numPr>
          <w:ilvl w:val="0"/>
          <w:numId w:val="80"/>
        </w:numPr>
        <w:rPr>
          <w:rFonts w:ascii="Arial" w:cs="Arial" w:eastAsia="Arial" w:hAnsi="Arial"/>
          <w:sz w:val="12"/>
          <w:szCs w:val="12"/>
          <w:color w:val="00162F"/>
        </w:rPr>
      </w:pPr>
      <w:r>
        <w:rPr>
          <w:rFonts w:ascii="Arial" w:cs="Arial" w:eastAsia="Arial" w:hAnsi="Arial"/>
          <w:sz w:val="19"/>
          <w:szCs w:val="19"/>
          <w:color w:val="00162F"/>
        </w:rPr>
        <w:t>Other primarily includes a short-term investment fund, net receivables and payables of the pension plan’s master trust for dividends, interest and amounts due to or from the sale and purchase of securities and cash and cash equivalents.</w:t>
      </w:r>
    </w:p>
    <w:p>
      <w:pPr>
        <w:spacing w:after="0" w:line="88" w:lineRule="exact"/>
        <w:rPr>
          <w:rFonts w:ascii="Arial" w:cs="Arial" w:eastAsia="Arial" w:hAnsi="Arial"/>
          <w:sz w:val="12"/>
          <w:szCs w:val="12"/>
          <w:color w:val="00162F"/>
        </w:rPr>
      </w:pPr>
    </w:p>
    <w:p>
      <w:pPr>
        <w:ind w:left="365" w:hanging="365"/>
        <w:spacing w:after="0" w:line="282" w:lineRule="auto"/>
        <w:tabs>
          <w:tab w:leader="none" w:pos="365" w:val="left"/>
        </w:tabs>
        <w:numPr>
          <w:ilvl w:val="0"/>
          <w:numId w:val="80"/>
        </w:numPr>
        <w:rPr>
          <w:rFonts w:ascii="Arial" w:cs="Arial" w:eastAsia="Arial" w:hAnsi="Arial"/>
          <w:sz w:val="13"/>
          <w:szCs w:val="13"/>
          <w:color w:val="00162F"/>
        </w:rPr>
      </w:pPr>
      <w:r>
        <w:rPr>
          <w:rFonts w:ascii="Arial" w:cs="Arial" w:eastAsia="Arial" w:hAnsi="Arial"/>
          <w:sz w:val="20"/>
          <w:szCs w:val="20"/>
          <w:color w:val="00162F"/>
        </w:rPr>
        <w:t>Includes investments that were measured at NAV per share (or its equivalent) as a practical expedient that have not been classified in the fair value hierarchy.</w:t>
      </w:r>
    </w:p>
    <w:p>
      <w:pPr>
        <w:spacing w:after="0" w:line="112" w:lineRule="exact"/>
        <w:rPr>
          <w:rFonts w:ascii="Arial" w:cs="Arial" w:eastAsia="Arial" w:hAnsi="Arial"/>
          <w:sz w:val="13"/>
          <w:szCs w:val="13"/>
          <w:color w:val="00162F"/>
        </w:rPr>
      </w:pPr>
    </w:p>
    <w:p>
      <w:pPr>
        <w:ind w:left="365" w:hanging="365"/>
        <w:spacing w:after="0"/>
        <w:tabs>
          <w:tab w:leader="none" w:pos="365" w:val="left"/>
        </w:tabs>
        <w:numPr>
          <w:ilvl w:val="0"/>
          <w:numId w:val="80"/>
        </w:numPr>
        <w:rPr>
          <w:rFonts w:ascii="Arial" w:cs="Arial" w:eastAsia="Arial" w:hAnsi="Arial"/>
          <w:sz w:val="13"/>
          <w:szCs w:val="13"/>
          <w:color w:val="00162F"/>
        </w:rPr>
      </w:pPr>
      <w:r>
        <w:rPr>
          <w:rFonts w:ascii="Arial" w:cs="Arial" w:eastAsia="Arial" w:hAnsi="Arial"/>
          <w:sz w:val="20"/>
          <w:szCs w:val="20"/>
          <w:color w:val="00162F"/>
        </w:rPr>
        <w:t>Common collective trusts include commingled funds primarily invested in equity securities.</w:t>
      </w:r>
    </w:p>
    <w:p>
      <w:pPr>
        <w:spacing w:after="0" w:line="185" w:lineRule="exact"/>
        <w:rPr>
          <w:rFonts w:ascii="Arial" w:cs="Arial" w:eastAsia="Arial" w:hAnsi="Arial"/>
          <w:sz w:val="13"/>
          <w:szCs w:val="13"/>
          <w:color w:val="00162F"/>
        </w:rPr>
      </w:pPr>
    </w:p>
    <w:p>
      <w:pPr>
        <w:jc w:val="both"/>
        <w:ind w:left="365" w:hanging="365"/>
        <w:spacing w:after="0" w:line="254" w:lineRule="auto"/>
        <w:tabs>
          <w:tab w:leader="none" w:pos="365" w:val="left"/>
        </w:tabs>
        <w:numPr>
          <w:ilvl w:val="0"/>
          <w:numId w:val="80"/>
        </w:numPr>
        <w:rPr>
          <w:rFonts w:ascii="Arial" w:cs="Arial" w:eastAsia="Arial" w:hAnsi="Arial"/>
          <w:sz w:val="13"/>
          <w:szCs w:val="13"/>
          <w:color w:val="00162F"/>
        </w:rPr>
      </w:pPr>
      <w:r>
        <w:rPr>
          <w:rFonts w:ascii="Arial" w:cs="Arial" w:eastAsia="Arial" w:hAnsi="Arial"/>
          <w:sz w:val="20"/>
          <w:szCs w:val="20"/>
          <w:color w:val="00162F"/>
        </w:rPr>
        <w:t>Private investments include limited partnerships that invest primarily in domestic private equity and private income opportunities. The pension plan’s master trust does not have the right to redeem its limited partnership investment at its NAV, but rather receives distributions as the underlying assets are liquidated. It is estimated that the underlying assets of these funds will be gradually liquidated over the next 10 years. As of December 31, 2025, the pension plan’s master trust has future funding commitments to these limited partnerships of approximately $1.0 billion, most of which are expected to be called over the next seven years.</w:t>
      </w:r>
    </w:p>
    <w:p>
      <w:pPr>
        <w:spacing w:after="0" w:line="143" w:lineRule="exact"/>
        <w:rPr>
          <w:sz w:val="20"/>
          <w:szCs w:val="20"/>
          <w:color w:val="auto"/>
        </w:rPr>
      </w:pPr>
    </w:p>
    <w:p>
      <w:pPr>
        <w:ind w:left="5" w:firstLine="267"/>
        <w:spacing w:after="0" w:line="282" w:lineRule="auto"/>
        <w:rPr>
          <w:sz w:val="20"/>
          <w:szCs w:val="20"/>
          <w:color w:val="auto"/>
        </w:rPr>
      </w:pPr>
      <w:r>
        <w:rPr>
          <w:rFonts w:ascii="Arial" w:cs="Arial" w:eastAsia="Arial" w:hAnsi="Arial"/>
          <w:sz w:val="20"/>
          <w:szCs w:val="20"/>
          <w:color w:val="00162F"/>
        </w:rPr>
        <w:t>Changes in fair value measurements of Level 3 investments during the years ended December 31, 2025 and 2024, were as follows (in millions):</w:t>
      </w:r>
    </w:p>
    <w:p>
      <w:pPr>
        <w:spacing w:after="0" w:line="103"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7740" w:type="dxa"/>
            <w:vAlign w:val="bottom"/>
            <w:tcBorders>
              <w:bottom w:val="single" w:sz="8" w:color="EDEDED"/>
            </w:tcBorders>
          </w:tcPr>
          <w:p>
            <w:pPr>
              <w:spacing w:after="0"/>
              <w:rPr>
                <w:sz w:val="18"/>
                <w:szCs w:val="18"/>
                <w:color w:val="auto"/>
              </w:rPr>
            </w:pPr>
          </w:p>
        </w:tc>
        <w:tc>
          <w:tcPr>
            <w:tcW w:w="1000" w:type="dxa"/>
            <w:vAlign w:val="bottom"/>
            <w:tcBorders>
              <w:bottom w:val="single" w:sz="8" w:color="00162F"/>
            </w:tcBorders>
          </w:tcPr>
          <w:p>
            <w:pPr>
              <w:jc w:val="right"/>
              <w:ind w:right="28"/>
              <w:spacing w:after="0"/>
              <w:rPr>
                <w:sz w:val="20"/>
                <w:szCs w:val="20"/>
                <w:color w:val="auto"/>
              </w:rPr>
            </w:pPr>
            <w:r>
              <w:rPr>
                <w:rFonts w:ascii="Arial" w:cs="Arial" w:eastAsia="Arial" w:hAnsi="Arial"/>
                <w:sz w:val="16"/>
                <w:szCs w:val="16"/>
                <w:b w:val="1"/>
                <w:bCs w:val="1"/>
                <w:color w:val="00162F"/>
              </w:rPr>
              <w:t>2025</w:t>
            </w:r>
          </w:p>
        </w:tc>
        <w:tc>
          <w:tcPr>
            <w:tcW w:w="440" w:type="dxa"/>
            <w:vAlign w:val="bottom"/>
            <w:tcBorders>
              <w:bottom w:val="single" w:sz="8" w:color="00162F"/>
            </w:tcBorders>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360" w:type="dxa"/>
            <w:vAlign w:val="bottom"/>
            <w:tcBorders>
              <w:bottom w:val="single" w:sz="8" w:color="00162F"/>
            </w:tcBorders>
          </w:tcPr>
          <w:p>
            <w:pPr>
              <w:spacing w:after="0"/>
              <w:rPr>
                <w:sz w:val="18"/>
                <w:szCs w:val="18"/>
                <w:color w:val="auto"/>
              </w:rPr>
            </w:pPr>
          </w:p>
        </w:tc>
        <w:tc>
          <w:tcPr>
            <w:tcW w:w="1080" w:type="dxa"/>
            <w:vAlign w:val="bottom"/>
            <w:tcBorders>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2024</w:t>
            </w:r>
          </w:p>
        </w:tc>
      </w:tr>
      <w:tr>
        <w:trPr>
          <w:trHeight w:val="287"/>
        </w:trPr>
        <w:tc>
          <w:tcPr>
            <w:tcW w:w="77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Balance at beginning of year</w:t>
            </w:r>
          </w:p>
        </w:tc>
        <w:tc>
          <w:tcPr>
            <w:tcW w:w="1000" w:type="dxa"/>
            <w:vAlign w:val="bottom"/>
            <w:shd w:val="clear" w:color="auto" w:fill="EDEDED"/>
          </w:tcPr>
          <w:p>
            <w:pPr>
              <w:jc w:val="right"/>
              <w:ind w:right="748"/>
              <w:spacing w:after="0"/>
              <w:rPr>
                <w:sz w:val="20"/>
                <w:szCs w:val="20"/>
                <w:color w:val="auto"/>
              </w:rPr>
            </w:pPr>
            <w:r>
              <w:rPr>
                <w:rFonts w:ascii="Arial" w:cs="Arial" w:eastAsia="Arial" w:hAnsi="Arial"/>
                <w:sz w:val="20"/>
                <w:szCs w:val="20"/>
                <w:color w:val="00162F"/>
              </w:rPr>
              <w:t>$</w:t>
            </w:r>
          </w:p>
        </w:tc>
        <w:tc>
          <w:tcPr>
            <w:tcW w:w="440" w:type="dxa"/>
            <w:vAlign w:val="bottom"/>
            <w:shd w:val="clear" w:color="auto" w:fill="EDEDED"/>
          </w:tcPr>
          <w:p>
            <w:pPr>
              <w:jc w:val="right"/>
              <w:ind w:right="1"/>
              <w:spacing w:after="0"/>
              <w:rPr>
                <w:sz w:val="20"/>
                <w:szCs w:val="20"/>
                <w:color w:val="auto"/>
              </w:rPr>
            </w:pPr>
            <w:r>
              <w:rPr>
                <w:rFonts w:ascii="Arial" w:cs="Arial" w:eastAsia="Arial" w:hAnsi="Arial"/>
                <w:sz w:val="20"/>
                <w:szCs w:val="20"/>
                <w:color w:val="00162F"/>
              </w:rPr>
              <w:t>68</w:t>
            </w:r>
          </w:p>
        </w:tc>
        <w:tc>
          <w:tcPr>
            <w:tcW w:w="420" w:type="dxa"/>
            <w:vAlign w:val="bottom"/>
            <w:gridSpan w:val="2"/>
            <w:shd w:val="clear" w:color="auto" w:fill="EDEDED"/>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84</w:t>
            </w:r>
          </w:p>
        </w:tc>
      </w:tr>
      <w:tr>
        <w:trPr>
          <w:trHeight w:val="293"/>
        </w:trPr>
        <w:tc>
          <w:tcPr>
            <w:tcW w:w="7740" w:type="dxa"/>
            <w:vAlign w:val="bottom"/>
          </w:tcPr>
          <w:p>
            <w:pPr>
              <w:ind w:left="40"/>
              <w:spacing w:after="0"/>
              <w:rPr>
                <w:sz w:val="20"/>
                <w:szCs w:val="20"/>
                <w:color w:val="auto"/>
              </w:rPr>
            </w:pPr>
            <w:r>
              <w:rPr>
                <w:rFonts w:ascii="Arial" w:cs="Arial" w:eastAsia="Arial" w:hAnsi="Arial"/>
                <w:sz w:val="20"/>
                <w:szCs w:val="20"/>
                <w:color w:val="00162F"/>
              </w:rPr>
              <w:t>Actual gain (loss) on plan assets: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774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Relating to assets still held at the reporting date</w:t>
            </w:r>
          </w:p>
        </w:tc>
        <w:tc>
          <w:tcPr>
            <w:tcW w:w="1000" w:type="dxa"/>
            <w:vAlign w:val="bottom"/>
            <w:shd w:val="clear" w:color="auto" w:fill="EDEDED"/>
          </w:tcPr>
          <w:p>
            <w:pPr>
              <w:spacing w:after="0"/>
              <w:rPr>
                <w:sz w:val="24"/>
                <w:szCs w:val="24"/>
                <w:color w:val="auto"/>
              </w:rPr>
            </w:pPr>
          </w:p>
        </w:tc>
        <w:tc>
          <w:tcPr>
            <w:tcW w:w="4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(25)</w:t>
            </w:r>
          </w:p>
        </w:tc>
      </w:tr>
      <w:tr>
        <w:trPr>
          <w:trHeight w:val="293"/>
        </w:trPr>
        <w:tc>
          <w:tcPr>
            <w:tcW w:w="7740" w:type="dxa"/>
            <w:vAlign w:val="bottom"/>
          </w:tcPr>
          <w:p>
            <w:pPr>
              <w:ind w:left="40"/>
              <w:spacing w:after="0"/>
              <w:rPr>
                <w:sz w:val="20"/>
                <w:szCs w:val="20"/>
                <w:color w:val="auto"/>
              </w:rPr>
            </w:pPr>
            <w:r>
              <w:rPr>
                <w:rFonts w:ascii="Arial" w:cs="Arial" w:eastAsia="Arial" w:hAnsi="Arial"/>
                <w:sz w:val="20"/>
                <w:szCs w:val="20"/>
                <w:color w:val="00162F"/>
              </w:rPr>
              <w:t>Purchases</w:t>
            </w:r>
          </w:p>
        </w:tc>
        <w:tc>
          <w:tcPr>
            <w:tcW w:w="1000" w:type="dxa"/>
            <w:vAlign w:val="bottom"/>
          </w:tcPr>
          <w:p>
            <w:pPr>
              <w:spacing w:after="0"/>
              <w:rPr>
                <w:sz w:val="24"/>
                <w:szCs w:val="24"/>
                <w:color w:val="auto"/>
              </w:rPr>
            </w:pPr>
          </w:p>
        </w:tc>
        <w:tc>
          <w:tcPr>
            <w:tcW w:w="440" w:type="dxa"/>
            <w:vAlign w:val="bottom"/>
          </w:tcPr>
          <w:p>
            <w:pPr>
              <w:jc w:val="right"/>
              <w:ind w:right="1"/>
              <w:spacing w:after="0"/>
              <w:rPr>
                <w:sz w:val="20"/>
                <w:szCs w:val="20"/>
                <w:color w:val="auto"/>
              </w:rPr>
            </w:pPr>
            <w:r>
              <w:rPr>
                <w:rFonts w:ascii="Arial" w:cs="Arial" w:eastAsia="Arial" w:hAnsi="Arial"/>
                <w:sz w:val="20"/>
                <w:szCs w:val="20"/>
                <w:color w:val="00162F"/>
              </w:rPr>
              <w:t>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9</w:t>
            </w:r>
          </w:p>
        </w:tc>
      </w:tr>
      <w:tr>
        <w:trPr>
          <w:trHeight w:val="291"/>
        </w:trPr>
        <w:tc>
          <w:tcPr>
            <w:tcW w:w="774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20"/>
                <w:szCs w:val="20"/>
                <w:color w:val="00162F"/>
              </w:rPr>
              <w:t>Sales</w:t>
            </w:r>
          </w:p>
        </w:tc>
        <w:tc>
          <w:tcPr>
            <w:tcW w:w="1000" w:type="dxa"/>
            <w:vAlign w:val="bottom"/>
            <w:tcBorders>
              <w:bottom w:val="single" w:sz="8" w:color="00162F"/>
            </w:tcBorders>
            <w:shd w:val="clear" w:color="auto" w:fill="EDEDED"/>
          </w:tcPr>
          <w:p>
            <w:pPr>
              <w:spacing w:after="0"/>
              <w:rPr>
                <w:sz w:val="24"/>
                <w:szCs w:val="24"/>
                <w:color w:val="auto"/>
              </w:rPr>
            </w:pPr>
          </w:p>
        </w:tc>
        <w:tc>
          <w:tcPr>
            <w:tcW w:w="4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00162F"/>
            </w:tcBorders>
            <w:shd w:val="clear" w:color="auto" w:fill="EDEDED"/>
          </w:tcPr>
          <w:p>
            <w:pPr>
              <w:spacing w:after="0"/>
              <w:rPr>
                <w:sz w:val="24"/>
                <w:szCs w:val="24"/>
                <w:color w:val="auto"/>
              </w:rPr>
            </w:pPr>
          </w:p>
        </w:tc>
        <w:tc>
          <w:tcPr>
            <w:tcW w:w="10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r>
      <w:tr>
        <w:trPr>
          <w:trHeight w:val="257"/>
        </w:trPr>
        <w:tc>
          <w:tcPr>
            <w:tcW w:w="7740" w:type="dxa"/>
            <w:vAlign w:val="bottom"/>
          </w:tcPr>
          <w:p>
            <w:pPr>
              <w:ind w:left="40"/>
              <w:spacing w:after="0"/>
              <w:rPr>
                <w:sz w:val="20"/>
                <w:szCs w:val="20"/>
                <w:color w:val="auto"/>
              </w:rPr>
            </w:pPr>
            <w:r>
              <w:rPr>
                <w:rFonts w:ascii="Arial" w:cs="Arial" w:eastAsia="Arial" w:hAnsi="Arial"/>
                <w:sz w:val="20"/>
                <w:szCs w:val="20"/>
                <w:color w:val="00162F"/>
              </w:rPr>
              <w:t>Balance at end of year</w:t>
            </w:r>
          </w:p>
        </w:tc>
        <w:tc>
          <w:tcPr>
            <w:tcW w:w="1000" w:type="dxa"/>
            <w:vAlign w:val="bottom"/>
          </w:tcPr>
          <w:p>
            <w:pPr>
              <w:jc w:val="right"/>
              <w:ind w:right="748"/>
              <w:spacing w:after="0"/>
              <w:rPr>
                <w:sz w:val="20"/>
                <w:szCs w:val="20"/>
                <w:color w:val="auto"/>
              </w:rPr>
            </w:pPr>
            <w:r>
              <w:rPr>
                <w:rFonts w:ascii="Arial" w:cs="Arial" w:eastAsia="Arial" w:hAnsi="Arial"/>
                <w:sz w:val="20"/>
                <w:szCs w:val="20"/>
                <w:color w:val="00162F"/>
              </w:rPr>
              <w:t>$</w:t>
            </w:r>
          </w:p>
        </w:tc>
        <w:tc>
          <w:tcPr>
            <w:tcW w:w="440" w:type="dxa"/>
            <w:vAlign w:val="bottom"/>
          </w:tcPr>
          <w:p>
            <w:pPr>
              <w:jc w:val="right"/>
              <w:ind w:right="1"/>
              <w:spacing w:after="0"/>
              <w:rPr>
                <w:sz w:val="20"/>
                <w:szCs w:val="20"/>
                <w:color w:val="auto"/>
              </w:rPr>
            </w:pPr>
            <w:r>
              <w:rPr>
                <w:rFonts w:ascii="Arial" w:cs="Arial" w:eastAsia="Arial" w:hAnsi="Arial"/>
                <w:sz w:val="20"/>
                <w:szCs w:val="20"/>
                <w:color w:val="00162F"/>
              </w:rPr>
              <w:t>63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68</w:t>
            </w:r>
          </w:p>
        </w:tc>
      </w:tr>
      <w:tr>
        <w:trPr>
          <w:trHeight w:val="20"/>
        </w:trPr>
        <w:tc>
          <w:tcPr>
            <w:tcW w:w="7740" w:type="dxa"/>
            <w:vAlign w:val="bottom"/>
          </w:tcPr>
          <w:p>
            <w:pPr>
              <w:spacing w:after="0" w:line="20" w:lineRule="exact"/>
              <w:rPr>
                <w:sz w:val="1"/>
                <w:szCs w:val="1"/>
                <w:color w:val="auto"/>
              </w:rPr>
            </w:pPr>
          </w:p>
        </w:tc>
        <w:tc>
          <w:tcPr>
            <w:tcW w:w="1000" w:type="dxa"/>
            <w:vAlign w:val="bottom"/>
            <w:tcBorders>
              <w:top w:val="single" w:sz="8" w:color="00162F"/>
              <w:bottom w:val="single" w:sz="8" w:color="00162F"/>
            </w:tcBorders>
          </w:tcPr>
          <w:p>
            <w:pPr>
              <w:spacing w:after="0" w:line="20" w:lineRule="exact"/>
              <w:rPr>
                <w:sz w:val="1"/>
                <w:szCs w:val="1"/>
                <w:color w:val="auto"/>
              </w:rPr>
            </w:pPr>
          </w:p>
        </w:tc>
        <w:tc>
          <w:tcPr>
            <w:tcW w:w="440" w:type="dxa"/>
            <w:vAlign w:val="bottom"/>
            <w:tcBorders>
              <w:top w:val="single" w:sz="8" w:color="00162F"/>
              <w:bottom w:val="single" w:sz="8" w:color="00162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162F"/>
              <w:bottom w:val="single" w:sz="8" w:color="00162F"/>
            </w:tcBorders>
          </w:tcPr>
          <w:p>
            <w:pPr>
              <w:spacing w:after="0" w:line="20" w:lineRule="exact"/>
              <w:rPr>
                <w:sz w:val="1"/>
                <w:szCs w:val="1"/>
                <w:color w:val="auto"/>
              </w:rPr>
            </w:pPr>
          </w:p>
        </w:tc>
        <w:tc>
          <w:tcPr>
            <w:tcW w:w="1080" w:type="dxa"/>
            <w:vAlign w:val="bottom"/>
            <w:tcBorders>
              <w:top w:val="single" w:sz="8" w:color="00162F"/>
              <w:bottom w:val="single" w:sz="8" w:color="00162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-1162685</wp:posOffset>
            </wp:positionV>
            <wp:extent cx="190182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1">
                      <a:extLst>
                        <a:ext uri="{28A0092B-C50C-407E-A947-70E740481C1C}"/>
                      </a:extLst>
                    </a:blip>
                    <a:srcRect/>
                    <a:stretch>
                      <a:fillRect/>
                    </a:stretch>
                  </pic:blipFill>
                  <pic:spPr bwMode="auto">
                    <a:xfrm>
                      <a:off x="0" y="0"/>
                      <a:ext cx="1901825" cy="25400"/>
                    </a:xfrm>
                    <a:prstGeom prst="rect">
                      <a:avLst/>
                    </a:prstGeom>
                    <a:noFill/>
                  </pic:spPr>
                </pic:pic>
              </a:graphicData>
            </a:graphic>
          </wp:anchor>
        </w:drawing>
        <w:drawing>
          <wp:anchor simplePos="0" relativeHeight="251657728" behindDoc="1" locked="0" layoutInCell="0" allowOverlap="1">
            <wp:simplePos x="0" y="0"/>
            <wp:positionH relativeFrom="column">
              <wp:posOffset>4899025</wp:posOffset>
            </wp:positionH>
            <wp:positionV relativeFrom="paragraph">
              <wp:posOffset>-219710</wp:posOffset>
            </wp:positionV>
            <wp:extent cx="974090"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2">
                      <a:extLst>
                        <a:ext uri="{28A0092B-C50C-407E-A947-70E740481C1C}"/>
                      </a:extLst>
                    </a:blip>
                    <a:srcRect/>
                    <a:stretch>
                      <a:fillRect/>
                    </a:stretch>
                  </pic:blipFill>
                  <pic:spPr bwMode="auto">
                    <a:xfrm>
                      <a:off x="0" y="0"/>
                      <a:ext cx="974090" cy="25400"/>
                    </a:xfrm>
                    <a:prstGeom prst="rect">
                      <a:avLst/>
                    </a:prstGeom>
                    <a:noFill/>
                  </pic:spPr>
                </pic:pic>
              </a:graphicData>
            </a:graphic>
          </wp:anchor>
        </w:drawing>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159</w:t>
      </w:r>
    </w:p>
    <w:p>
      <w:pPr>
        <w:sectPr>
          <w:pgSz w:w="11880" w:h="15480" w:orient="portrait"/>
          <w:cols w:equalWidth="0" w:num="1">
            <w:col w:w="10685"/>
          </w:cols>
          <w:pgMar w:left="595" w:top="249" w:right="600" w:bottom="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Plan assets in the retiree medical and other postretirement benefits plans are primarily Level 2 mutual funds valued by quoted prices on the active market, which is fair value, and represents the NAV of the shares of such funds as of the close of business at the end of the period. NAV is based on the fair market value of the funds’ underlying assets and liabilities at the date of determination.</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Defined Contribution and Multiemployer Plans</w:t>
      </w:r>
    </w:p>
    <w:p>
      <w:pPr>
        <w:spacing w:after="0" w:line="95"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costs associated with American’s defined contribution plans were $1.6 billion, $1.4 billion and $1.1 billion for the years ended December 31, 2025, 2024 and 2023, respectively.</w:t>
      </w:r>
    </w:p>
    <w:p>
      <w:pPr>
        <w:spacing w:after="0" w:line="113"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American participates in the International Association of Machinists &amp; Aerospace Workers (IAM) National Pension Fund, Employer Identification No. 51-6031295 and Plan No. 002 (the IAM Pension Fund). American’s contributions to the IAM Pension Fund were $63 million, $57 million and $52 million for the years ended December 31, 2025, 2024 and 2023, respectively. The IAM Pension Fund reported $640 million in employers’ contributions for the year ended December 31, 2024, which is the most recent year for which such information is available. For 2024 and 2023, American’s contributions represented more than 5% of total contributions to the IAM Pension Fund.</w:t>
      </w:r>
    </w:p>
    <w:p>
      <w:pPr>
        <w:spacing w:after="0" w:line="143" w:lineRule="exact"/>
        <w:rPr>
          <w:sz w:val="20"/>
          <w:szCs w:val="20"/>
          <w:color w:val="auto"/>
        </w:rPr>
      </w:pPr>
    </w:p>
    <w:p>
      <w:pPr>
        <w:jc w:val="both"/>
        <w:ind w:firstLine="267"/>
        <w:spacing w:after="0" w:line="252" w:lineRule="auto"/>
        <w:rPr>
          <w:sz w:val="20"/>
          <w:szCs w:val="20"/>
          <w:color w:val="auto"/>
        </w:rPr>
      </w:pPr>
      <w:r>
        <w:rPr>
          <w:rFonts w:ascii="Arial" w:cs="Arial" w:eastAsia="Arial" w:hAnsi="Arial"/>
          <w:sz w:val="20"/>
          <w:szCs w:val="20"/>
          <w:color w:val="00162F"/>
        </w:rPr>
        <w:t>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As of the most recent data available, the IAM Pension Fund remains in critical status.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Profit Sharing Program</w:t>
      </w:r>
    </w:p>
    <w:p>
      <w:pPr>
        <w:spacing w:after="0" w:line="95"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American’s annual profit sharing program is funded by 10% of adjusted pre-tax earnings up to $2.5 billion and 20% of earnings above that threshold. Adjusted pre-tax earnings exclude net special items and certain other amounts, as defined by the plan. For the year ended December 31, 2025, American accrued $55 million for this program, which will be distributed to employees in the first quarter of 2026.</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160</w:t>
      </w:r>
    </w:p>
    <w:p>
      <w:pPr>
        <w:sectPr>
          <w:pgSz w:w="11880" w:h="15480" w:orient="portrait"/>
          <w:cols w:equalWidth="0" w:num="1">
            <w:col w:w="10680"/>
          </w:cols>
          <w:pgMar w:left="600" w:top="249" w:right="600" w:bottom="0" w:gutter="0" w:footer="0" w:header="0"/>
          <w:type w:val="continuous"/>
        </w:sectPr>
      </w:pPr>
    </w:p>
    <w:bookmarkStart w:id="161" w:name="page162"/>
    <w:bookmarkEnd w:id="161"/>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9. Accumulated Other Comprehensive Loss</w:t>
      </w:r>
    </w:p>
    <w:p>
      <w:pPr>
        <w:spacing w:after="0" w:line="97"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The components of accumulated other comprehensive income (loss) (AOCI) are as follows (in millions):</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6"/>
                <w:szCs w:val="16"/>
                <w:b w:val="1"/>
                <w:bCs w:val="1"/>
                <w:color w:val="00162F"/>
                <w:w w:val="98"/>
              </w:rPr>
              <w:t>Pension,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68"/>
              <w:spacing w:after="0" w:line="158" w:lineRule="exact"/>
              <w:rPr>
                <w:sz w:val="20"/>
                <w:szCs w:val="20"/>
                <w:color w:val="auto"/>
              </w:rPr>
            </w:pPr>
            <w:r>
              <w:rPr>
                <w:rFonts w:ascii="Arial" w:cs="Arial" w:eastAsia="Arial" w:hAnsi="Arial"/>
                <w:sz w:val="16"/>
                <w:szCs w:val="16"/>
                <w:b w:val="1"/>
                <w:bCs w:val="1"/>
                <w:color w:val="00162F"/>
                <w:w w:val="99"/>
              </w:rPr>
              <w:t>Retiree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68"/>
              <w:spacing w:after="0" w:line="158" w:lineRule="exact"/>
              <w:rPr>
                <w:sz w:val="20"/>
                <w:szCs w:val="20"/>
                <w:color w:val="auto"/>
              </w:rPr>
            </w:pPr>
            <w:r>
              <w:rPr>
                <w:rFonts w:ascii="Arial" w:cs="Arial" w:eastAsia="Arial" w:hAnsi="Arial"/>
                <w:sz w:val="16"/>
                <w:szCs w:val="16"/>
                <w:b w:val="1"/>
                <w:bCs w:val="1"/>
                <w:color w:val="00162F"/>
                <w:w w:val="98"/>
              </w:rPr>
              <w:t>Medical and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83"/>
              <w:spacing w:after="0"/>
              <w:rPr>
                <w:sz w:val="20"/>
                <w:szCs w:val="20"/>
                <w:color w:val="auto"/>
              </w:rPr>
            </w:pPr>
            <w:r>
              <w:rPr>
                <w:rFonts w:ascii="Arial" w:cs="Arial" w:eastAsia="Arial" w:hAnsi="Arial"/>
                <w:sz w:val="16"/>
                <w:szCs w:val="16"/>
                <w:b w:val="1"/>
                <w:bCs w:val="1"/>
                <w:color w:val="00162F"/>
                <w:w w:val="98"/>
              </w:rPr>
              <w:t>Unrealized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68"/>
              <w:spacing w:after="0" w:line="158" w:lineRule="exact"/>
              <w:rPr>
                <w:sz w:val="20"/>
                <w:szCs w:val="20"/>
                <w:color w:val="auto"/>
              </w:rPr>
            </w:pPr>
            <w:r>
              <w:rPr>
                <w:rFonts w:ascii="Arial" w:cs="Arial" w:eastAsia="Arial" w:hAnsi="Arial"/>
                <w:sz w:val="16"/>
                <w:szCs w:val="16"/>
                <w:b w:val="1"/>
                <w:bCs w:val="1"/>
                <w:color w:val="00162F"/>
                <w:w w:val="98"/>
              </w:rPr>
              <w:t>Other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162F"/>
              </w:rPr>
              <w:t>Income Tax</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00162F"/>
                <w:w w:val="97"/>
              </w:rPr>
              <w:t>Postretirement</w:t>
            </w:r>
          </w:p>
        </w:tc>
        <w:tc>
          <w:tcPr>
            <w:tcW w:w="8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00162F"/>
                <w:w w:val="99"/>
              </w:rPr>
              <w:t>Gain (Loss) 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00162F"/>
              </w:rPr>
              <w:t>Total</w:t>
            </w:r>
          </w:p>
        </w:tc>
        <w:tc>
          <w:tcPr>
            <w:tcW w:w="0" w:type="dxa"/>
            <w:vAlign w:val="bottom"/>
          </w:tcPr>
          <w:p>
            <w:pPr>
              <w:spacing w:after="0"/>
              <w:rPr>
                <w:sz w:val="1"/>
                <w:szCs w:val="1"/>
                <w:color w:val="auto"/>
              </w:rPr>
            </w:pPr>
          </w:p>
        </w:tc>
      </w:tr>
      <w:tr>
        <w:trPr>
          <w:trHeight w:val="211"/>
        </w:trPr>
        <w:tc>
          <w:tcPr>
            <w:tcW w:w="1960" w:type="dxa"/>
            <w:vAlign w:val="bottom"/>
            <w:tcBorders>
              <w:bottom w:val="single" w:sz="8" w:color="EDEDED"/>
            </w:tcBorders>
          </w:tcPr>
          <w:p>
            <w:pPr>
              <w:spacing w:after="0"/>
              <w:rPr>
                <w:sz w:val="18"/>
                <w:szCs w:val="18"/>
                <w:color w:val="auto"/>
              </w:rPr>
            </w:pPr>
          </w:p>
        </w:tc>
        <w:tc>
          <w:tcPr>
            <w:tcW w:w="3580" w:type="dxa"/>
            <w:vAlign w:val="bottom"/>
            <w:tcBorders>
              <w:bottom w:val="single" w:sz="8" w:color="EDEDED"/>
            </w:tcBorders>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060" w:type="dxa"/>
            <w:vAlign w:val="bottom"/>
            <w:tcBorders>
              <w:bottom w:val="single" w:sz="8" w:color="00162F"/>
            </w:tcBorders>
          </w:tcPr>
          <w:p>
            <w:pPr>
              <w:jc w:val="center"/>
              <w:ind w:right="68"/>
              <w:spacing w:after="0"/>
              <w:rPr>
                <w:sz w:val="20"/>
                <w:szCs w:val="20"/>
                <w:color w:val="auto"/>
              </w:rPr>
            </w:pPr>
            <w:r>
              <w:rPr>
                <w:rFonts w:ascii="Arial" w:cs="Arial" w:eastAsia="Arial" w:hAnsi="Arial"/>
                <w:sz w:val="16"/>
                <w:szCs w:val="16"/>
                <w:b w:val="1"/>
                <w:bCs w:val="1"/>
                <w:color w:val="00162F"/>
                <w:w w:val="98"/>
              </w:rPr>
              <w:t>Benefits</w:t>
            </w:r>
          </w:p>
        </w:tc>
        <w:tc>
          <w:tcPr>
            <w:tcW w:w="80" w:type="dxa"/>
            <w:vAlign w:val="bottom"/>
            <w:tcBorders>
              <w:bottom w:val="single" w:sz="8" w:color="EDEDED"/>
            </w:tcBorders>
          </w:tcPr>
          <w:p>
            <w:pPr>
              <w:spacing w:after="0"/>
              <w:rPr>
                <w:sz w:val="18"/>
                <w:szCs w:val="18"/>
                <w:color w:val="auto"/>
              </w:rPr>
            </w:pPr>
          </w:p>
        </w:tc>
        <w:tc>
          <w:tcPr>
            <w:tcW w:w="1200" w:type="dxa"/>
            <w:vAlign w:val="bottom"/>
            <w:tcBorders>
              <w:bottom w:val="single" w:sz="8" w:color="00162F"/>
            </w:tcBorders>
            <w:gridSpan w:val="2"/>
          </w:tcPr>
          <w:p>
            <w:pPr>
              <w:jc w:val="right"/>
              <w:ind w:right="23"/>
              <w:spacing w:after="0"/>
              <w:rPr>
                <w:sz w:val="20"/>
                <w:szCs w:val="20"/>
                <w:color w:val="auto"/>
              </w:rPr>
            </w:pPr>
            <w:r>
              <w:rPr>
                <w:rFonts w:ascii="Arial" w:cs="Arial" w:eastAsia="Arial" w:hAnsi="Arial"/>
                <w:sz w:val="16"/>
                <w:szCs w:val="16"/>
                <w:b w:val="1"/>
                <w:bCs w:val="1"/>
                <w:color w:val="00162F"/>
              </w:rPr>
              <w:t>Investments</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060" w:type="dxa"/>
            <w:vAlign w:val="bottom"/>
            <w:tcBorders>
              <w:bottom w:val="single" w:sz="8" w:color="00162F"/>
            </w:tcBorders>
          </w:tcPr>
          <w:p>
            <w:pPr>
              <w:spacing w:after="0"/>
              <w:rPr>
                <w:sz w:val="20"/>
                <w:szCs w:val="20"/>
                <w:color w:val="auto"/>
              </w:rPr>
            </w:pPr>
            <w:r>
              <w:rPr>
                <w:rFonts w:ascii="Arial" w:cs="Arial" w:eastAsia="Arial" w:hAnsi="Arial"/>
                <w:sz w:val="16"/>
                <w:szCs w:val="16"/>
                <w:b w:val="1"/>
                <w:bCs w:val="1"/>
                <w:color w:val="00162F"/>
              </w:rPr>
              <w:t xml:space="preserve">Provision </w:t>
            </w:r>
            <w:r>
              <w:rPr>
                <w:rFonts w:ascii="Arial" w:cs="Arial" w:eastAsia="Arial" w:hAnsi="Arial"/>
                <w:sz w:val="10"/>
                <w:szCs w:val="10"/>
                <w:b w:val="1"/>
                <w:bCs w:val="1"/>
                <w:color w:val="00162F"/>
              </w:rPr>
              <w:t>(1)</w:t>
            </w:r>
          </w:p>
        </w:tc>
        <w:tc>
          <w:tcPr>
            <w:tcW w:w="60" w:type="dxa"/>
            <w:vAlign w:val="bottom"/>
            <w:tcBorders>
              <w:bottom w:val="single" w:sz="8" w:color="EDEDED"/>
            </w:tcBorders>
          </w:tcPr>
          <w:p>
            <w:pPr>
              <w:spacing w:after="0"/>
              <w:rPr>
                <w:sz w:val="18"/>
                <w:szCs w:val="18"/>
                <w:color w:val="auto"/>
              </w:rPr>
            </w:pPr>
          </w:p>
        </w:tc>
        <w:tc>
          <w:tcPr>
            <w:tcW w:w="260" w:type="dxa"/>
            <w:vAlign w:val="bottom"/>
            <w:tcBorders>
              <w:bottom w:val="single" w:sz="8" w:color="00162F"/>
            </w:tcBorders>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554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Balance at December 31, 2023</w:t>
            </w:r>
          </w:p>
        </w:tc>
        <w:tc>
          <w:tcPr>
            <w:tcW w:w="1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(3,376)</w:t>
            </w:r>
          </w:p>
        </w:tc>
        <w:tc>
          <w:tcPr>
            <w:tcW w:w="280" w:type="dxa"/>
            <w:vAlign w:val="bottom"/>
            <w:gridSpan w:val="2"/>
            <w:shd w:val="clear" w:color="auto" w:fill="EDEDED"/>
          </w:tcPr>
          <w:p>
            <w:pPr>
              <w:ind w:left="140"/>
              <w:spacing w:after="0"/>
              <w:rPr>
                <w:sz w:val="20"/>
                <w:szCs w:val="20"/>
                <w:color w:val="auto"/>
              </w:rPr>
            </w:pPr>
            <w:r>
              <w:rPr>
                <w:rFonts w:ascii="Arial" w:cs="Arial" w:eastAsia="Arial" w:hAnsi="Arial"/>
                <w:sz w:val="20"/>
                <w:szCs w:val="20"/>
                <w:color w:val="00162F"/>
              </w:rPr>
              <w:t>$</w:t>
            </w: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(1,621)</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(4,999)</w:t>
            </w:r>
          </w:p>
        </w:tc>
        <w:tc>
          <w:tcPr>
            <w:tcW w:w="0" w:type="dxa"/>
            <w:vAlign w:val="bottom"/>
          </w:tcPr>
          <w:p>
            <w:pPr>
              <w:spacing w:after="0"/>
              <w:rPr>
                <w:sz w:val="1"/>
                <w:szCs w:val="1"/>
                <w:color w:val="auto"/>
              </w:rPr>
            </w:pPr>
          </w:p>
        </w:tc>
      </w:tr>
      <w:tr>
        <w:trPr>
          <w:trHeight w:val="293"/>
        </w:trPr>
        <w:tc>
          <w:tcPr>
            <w:tcW w:w="5540" w:type="dxa"/>
            <w:vAlign w:val="bottom"/>
            <w:gridSpan w:val="2"/>
          </w:tcPr>
          <w:p>
            <w:pPr>
              <w:ind w:left="160"/>
              <w:spacing w:after="0"/>
              <w:rPr>
                <w:sz w:val="20"/>
                <w:szCs w:val="20"/>
                <w:color w:val="auto"/>
              </w:rPr>
            </w:pPr>
            <w:r>
              <w:rPr>
                <w:rFonts w:ascii="Arial" w:cs="Arial" w:eastAsia="Arial" w:hAnsi="Arial"/>
                <w:sz w:val="20"/>
                <w:szCs w:val="20"/>
                <w:color w:val="00162F"/>
              </w:rPr>
              <w:t>Other comprehensive income (loss) before reclassifications</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326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254</w:t>
            </w:r>
          </w:p>
        </w:tc>
        <w:tc>
          <w:tcPr>
            <w:tcW w:w="0" w:type="dxa"/>
            <w:vAlign w:val="bottom"/>
          </w:tcPr>
          <w:p>
            <w:pPr>
              <w:spacing w:after="0"/>
              <w:rPr>
                <w:sz w:val="1"/>
                <w:szCs w:val="1"/>
                <w:color w:val="auto"/>
              </w:rPr>
            </w:pPr>
          </w:p>
        </w:tc>
      </w:tr>
      <w:tr>
        <w:trPr>
          <w:trHeight w:val="291"/>
        </w:trPr>
        <w:tc>
          <w:tcPr>
            <w:tcW w:w="5540" w:type="dxa"/>
            <w:vAlign w:val="bottom"/>
            <w:tcBorders>
              <w:bottom w:val="single" w:sz="8" w:color="EDEDED"/>
            </w:tcBorders>
            <w:gridSpan w:val="2"/>
            <w:shd w:val="clear" w:color="auto" w:fill="EDEDED"/>
          </w:tcPr>
          <w:p>
            <w:pPr>
              <w:ind w:left="160"/>
              <w:spacing w:after="0"/>
              <w:rPr>
                <w:sz w:val="20"/>
                <w:szCs w:val="20"/>
                <w:color w:val="auto"/>
              </w:rPr>
            </w:pPr>
            <w:r>
              <w:rPr>
                <w:rFonts w:ascii="Arial" w:cs="Arial" w:eastAsia="Arial" w:hAnsi="Arial"/>
                <w:sz w:val="20"/>
                <w:szCs w:val="20"/>
                <w:color w:val="00162F"/>
              </w:rPr>
              <w:t>Amounts reclassified from AOCI</w:t>
            </w:r>
          </w:p>
        </w:tc>
        <w:tc>
          <w:tcPr>
            <w:tcW w:w="16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88</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10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(20)</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spacing w:after="0"/>
              <w:rPr>
                <w:sz w:val="24"/>
                <w:szCs w:val="24"/>
                <w:color w:val="auto"/>
              </w:rPr>
            </w:pP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68</w:t>
            </w:r>
          </w:p>
        </w:tc>
        <w:tc>
          <w:tcPr>
            <w:tcW w:w="0" w:type="dxa"/>
            <w:vAlign w:val="bottom"/>
          </w:tcPr>
          <w:p>
            <w:pPr>
              <w:spacing w:after="0"/>
              <w:rPr>
                <w:sz w:val="1"/>
                <w:szCs w:val="1"/>
                <w:color w:val="auto"/>
              </w:rPr>
            </w:pPr>
          </w:p>
        </w:tc>
      </w:tr>
      <w:tr>
        <w:trPr>
          <w:trHeight w:val="277"/>
        </w:trPr>
        <w:tc>
          <w:tcPr>
            <w:tcW w:w="5540" w:type="dxa"/>
            <w:vAlign w:val="bottom"/>
            <w:tcBorders>
              <w:bottom w:val="single" w:sz="8" w:color="EDEDED"/>
            </w:tcBorders>
            <w:gridSpan w:val="2"/>
          </w:tcPr>
          <w:p>
            <w:pPr>
              <w:ind w:left="460"/>
              <w:spacing w:after="0"/>
              <w:rPr>
                <w:sz w:val="20"/>
                <w:szCs w:val="20"/>
                <w:color w:val="auto"/>
              </w:rPr>
            </w:pPr>
            <w:r>
              <w:rPr>
                <w:rFonts w:ascii="Arial" w:cs="Arial" w:eastAsia="Arial" w:hAnsi="Arial"/>
                <w:sz w:val="20"/>
                <w:szCs w:val="20"/>
                <w:color w:val="00162F"/>
              </w:rPr>
              <w:t>Net current-period other comprehensive income (loss)</w:t>
            </w:r>
          </w:p>
        </w:tc>
        <w:tc>
          <w:tcPr>
            <w:tcW w:w="16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414</w:t>
            </w:r>
          </w:p>
        </w:tc>
        <w:tc>
          <w:tcPr>
            <w:tcW w:w="80" w:type="dxa"/>
            <w:vAlign w:val="bottom"/>
            <w:tcBorders>
              <w:bottom w:val="single" w:sz="8" w:color="EDEDED"/>
            </w:tcBorders>
          </w:tcPr>
          <w:p>
            <w:pPr>
              <w:spacing w:after="0"/>
              <w:rPr>
                <w:sz w:val="24"/>
                <w:szCs w:val="24"/>
                <w:color w:val="auto"/>
              </w:rPr>
            </w:pPr>
          </w:p>
        </w:tc>
        <w:tc>
          <w:tcPr>
            <w:tcW w:w="20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(94)</w:t>
            </w:r>
          </w:p>
        </w:tc>
        <w:tc>
          <w:tcPr>
            <w:tcW w:w="6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322</w:t>
            </w:r>
          </w:p>
        </w:tc>
        <w:tc>
          <w:tcPr>
            <w:tcW w:w="0" w:type="dxa"/>
            <w:vAlign w:val="bottom"/>
          </w:tcPr>
          <w:p>
            <w:pPr>
              <w:spacing w:after="0"/>
              <w:rPr>
                <w:sz w:val="1"/>
                <w:szCs w:val="1"/>
                <w:color w:val="auto"/>
              </w:rPr>
            </w:pPr>
          </w:p>
        </w:tc>
      </w:tr>
      <w:tr>
        <w:trPr>
          <w:trHeight w:val="287"/>
        </w:trPr>
        <w:tc>
          <w:tcPr>
            <w:tcW w:w="554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Balance at December 31, 2024</w:t>
            </w:r>
          </w:p>
        </w:tc>
        <w:tc>
          <w:tcPr>
            <w:tcW w:w="16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(2,962)</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(1,715)</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(4,677)</w:t>
            </w:r>
          </w:p>
        </w:tc>
        <w:tc>
          <w:tcPr>
            <w:tcW w:w="0" w:type="dxa"/>
            <w:vAlign w:val="bottom"/>
          </w:tcPr>
          <w:p>
            <w:pPr>
              <w:spacing w:after="0"/>
              <w:rPr>
                <w:sz w:val="1"/>
                <w:szCs w:val="1"/>
                <w:color w:val="auto"/>
              </w:rPr>
            </w:pPr>
          </w:p>
        </w:tc>
      </w:tr>
      <w:tr>
        <w:trPr>
          <w:trHeight w:val="293"/>
        </w:trPr>
        <w:tc>
          <w:tcPr>
            <w:tcW w:w="5540" w:type="dxa"/>
            <w:vAlign w:val="bottom"/>
            <w:gridSpan w:val="2"/>
          </w:tcPr>
          <w:p>
            <w:pPr>
              <w:ind w:left="160"/>
              <w:spacing w:after="0"/>
              <w:rPr>
                <w:sz w:val="20"/>
                <w:szCs w:val="20"/>
                <w:color w:val="auto"/>
              </w:rPr>
            </w:pPr>
            <w:r>
              <w:rPr>
                <w:rFonts w:ascii="Arial" w:cs="Arial" w:eastAsia="Arial" w:hAnsi="Arial"/>
                <w:sz w:val="20"/>
                <w:szCs w:val="20"/>
                <w:color w:val="00162F"/>
              </w:rPr>
              <w:t>Other comprehensive income (loss) before reclassifications</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138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162F"/>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0162F"/>
              </w:rPr>
              <w:t>(32)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0162F"/>
              </w:rPr>
              <w:t>106</w:t>
            </w:r>
          </w:p>
        </w:tc>
        <w:tc>
          <w:tcPr>
            <w:tcW w:w="0" w:type="dxa"/>
            <w:vAlign w:val="bottom"/>
          </w:tcPr>
          <w:p>
            <w:pPr>
              <w:spacing w:after="0"/>
              <w:rPr>
                <w:sz w:val="1"/>
                <w:szCs w:val="1"/>
                <w:color w:val="auto"/>
              </w:rPr>
            </w:pPr>
          </w:p>
        </w:tc>
      </w:tr>
      <w:tr>
        <w:trPr>
          <w:trHeight w:val="291"/>
        </w:trPr>
        <w:tc>
          <w:tcPr>
            <w:tcW w:w="5540" w:type="dxa"/>
            <w:vAlign w:val="bottom"/>
            <w:tcBorders>
              <w:bottom w:val="single" w:sz="8" w:color="EDEDED"/>
            </w:tcBorders>
            <w:gridSpan w:val="2"/>
            <w:shd w:val="clear" w:color="auto" w:fill="EDEDED"/>
          </w:tcPr>
          <w:p>
            <w:pPr>
              <w:ind w:left="160"/>
              <w:spacing w:after="0"/>
              <w:rPr>
                <w:sz w:val="20"/>
                <w:szCs w:val="20"/>
                <w:color w:val="auto"/>
              </w:rPr>
            </w:pPr>
            <w:r>
              <w:rPr>
                <w:rFonts w:ascii="Arial" w:cs="Arial" w:eastAsia="Arial" w:hAnsi="Arial"/>
                <w:sz w:val="20"/>
                <w:szCs w:val="20"/>
                <w:color w:val="00162F"/>
              </w:rPr>
              <w:t>Amounts reclassified from AOCI</w:t>
            </w:r>
          </w:p>
        </w:tc>
        <w:tc>
          <w:tcPr>
            <w:tcW w:w="16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82</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00162F"/>
            </w:tcBorders>
            <w:shd w:val="clear" w:color="auto" w:fill="EDEDED"/>
          </w:tcPr>
          <w:p>
            <w:pPr>
              <w:spacing w:after="0"/>
              <w:rPr>
                <w:sz w:val="24"/>
                <w:szCs w:val="24"/>
                <w:color w:val="auto"/>
              </w:rPr>
            </w:pPr>
          </w:p>
        </w:tc>
        <w:tc>
          <w:tcPr>
            <w:tcW w:w="10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00162F"/>
            </w:tcBorders>
            <w:shd w:val="clear" w:color="auto" w:fill="EDEDED"/>
          </w:tcPr>
          <w:p>
            <w:pPr>
              <w:spacing w:after="0"/>
              <w:rPr>
                <w:sz w:val="24"/>
                <w:szCs w:val="24"/>
                <w:color w:val="auto"/>
              </w:rPr>
            </w:pPr>
          </w:p>
        </w:tc>
        <w:tc>
          <w:tcPr>
            <w:tcW w:w="106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(18)</w:t>
            </w:r>
          </w:p>
        </w:tc>
        <w:tc>
          <w:tcPr>
            <w:tcW w:w="6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00162F"/>
            </w:tcBorders>
            <w:shd w:val="clear" w:color="auto" w:fill="EDEDED"/>
          </w:tcPr>
          <w:p>
            <w:pPr>
              <w:spacing w:after="0"/>
              <w:rPr>
                <w:sz w:val="24"/>
                <w:szCs w:val="24"/>
                <w:color w:val="auto"/>
              </w:rPr>
            </w:pPr>
          </w:p>
        </w:tc>
        <w:tc>
          <w:tcPr>
            <w:tcW w:w="82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64</w:t>
            </w:r>
          </w:p>
        </w:tc>
        <w:tc>
          <w:tcPr>
            <w:tcW w:w="0" w:type="dxa"/>
            <w:vAlign w:val="bottom"/>
          </w:tcPr>
          <w:p>
            <w:pPr>
              <w:spacing w:after="0"/>
              <w:rPr>
                <w:sz w:val="1"/>
                <w:szCs w:val="1"/>
                <w:color w:val="auto"/>
              </w:rPr>
            </w:pPr>
          </w:p>
        </w:tc>
      </w:tr>
      <w:tr>
        <w:trPr>
          <w:trHeight w:val="277"/>
        </w:trPr>
        <w:tc>
          <w:tcPr>
            <w:tcW w:w="5540" w:type="dxa"/>
            <w:vAlign w:val="bottom"/>
            <w:tcBorders>
              <w:bottom w:val="single" w:sz="8" w:color="EDEDED"/>
            </w:tcBorders>
            <w:gridSpan w:val="2"/>
          </w:tcPr>
          <w:p>
            <w:pPr>
              <w:ind w:left="460"/>
              <w:spacing w:after="0"/>
              <w:rPr>
                <w:sz w:val="20"/>
                <w:szCs w:val="20"/>
                <w:color w:val="auto"/>
              </w:rPr>
            </w:pPr>
            <w:r>
              <w:rPr>
                <w:rFonts w:ascii="Arial" w:cs="Arial" w:eastAsia="Arial" w:hAnsi="Arial"/>
                <w:sz w:val="20"/>
                <w:szCs w:val="20"/>
                <w:color w:val="00162F"/>
              </w:rPr>
              <w:t>Net current-period other comprehensive income (loss)</w:t>
            </w:r>
          </w:p>
        </w:tc>
        <w:tc>
          <w:tcPr>
            <w:tcW w:w="16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220</w:t>
            </w:r>
          </w:p>
        </w:tc>
        <w:tc>
          <w:tcPr>
            <w:tcW w:w="80" w:type="dxa"/>
            <w:vAlign w:val="bottom"/>
            <w:tcBorders>
              <w:bottom w:val="single" w:sz="8" w:color="EDEDED"/>
            </w:tcBorders>
          </w:tcPr>
          <w:p>
            <w:pPr>
              <w:spacing w:after="0"/>
              <w:rPr>
                <w:sz w:val="24"/>
                <w:szCs w:val="24"/>
                <w:color w:val="auto"/>
              </w:rPr>
            </w:pPr>
          </w:p>
        </w:tc>
        <w:tc>
          <w:tcPr>
            <w:tcW w:w="200" w:type="dxa"/>
            <w:vAlign w:val="bottom"/>
            <w:tcBorders>
              <w:bottom w:val="single" w:sz="8" w:color="00162F"/>
            </w:tcBorders>
          </w:tcPr>
          <w:p>
            <w:pPr>
              <w:spacing w:after="0"/>
              <w:rPr>
                <w:sz w:val="24"/>
                <w:szCs w:val="24"/>
                <w:color w:val="auto"/>
              </w:rPr>
            </w:pPr>
          </w:p>
        </w:tc>
        <w:tc>
          <w:tcPr>
            <w:tcW w:w="10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00162F"/>
            </w:tcBorders>
          </w:tcPr>
          <w:p>
            <w:pPr>
              <w:spacing w:after="0"/>
              <w:rPr>
                <w:sz w:val="24"/>
                <w:szCs w:val="24"/>
                <w:color w:val="auto"/>
              </w:rPr>
            </w:pPr>
          </w:p>
        </w:tc>
        <w:tc>
          <w:tcPr>
            <w:tcW w:w="106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(50)</w:t>
            </w:r>
          </w:p>
        </w:tc>
        <w:tc>
          <w:tcPr>
            <w:tcW w:w="60" w:type="dxa"/>
            <w:vAlign w:val="bottom"/>
            <w:tcBorders>
              <w:bottom w:val="single" w:sz="8" w:color="EDEDED"/>
            </w:tcBorders>
          </w:tcPr>
          <w:p>
            <w:pPr>
              <w:spacing w:after="0"/>
              <w:rPr>
                <w:sz w:val="24"/>
                <w:szCs w:val="24"/>
                <w:color w:val="auto"/>
              </w:rPr>
            </w:pPr>
          </w:p>
        </w:tc>
        <w:tc>
          <w:tcPr>
            <w:tcW w:w="260" w:type="dxa"/>
            <w:vAlign w:val="bottom"/>
            <w:tcBorders>
              <w:bottom w:val="single" w:sz="8" w:color="00162F"/>
            </w:tcBorders>
          </w:tcPr>
          <w:p>
            <w:pPr>
              <w:spacing w:after="0"/>
              <w:rPr>
                <w:sz w:val="24"/>
                <w:szCs w:val="24"/>
                <w:color w:val="auto"/>
              </w:rPr>
            </w:pPr>
          </w:p>
        </w:tc>
        <w:tc>
          <w:tcPr>
            <w:tcW w:w="82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170</w:t>
            </w:r>
          </w:p>
        </w:tc>
        <w:tc>
          <w:tcPr>
            <w:tcW w:w="0" w:type="dxa"/>
            <w:vAlign w:val="bottom"/>
          </w:tcPr>
          <w:p>
            <w:pPr>
              <w:spacing w:after="0"/>
              <w:rPr>
                <w:sz w:val="1"/>
                <w:szCs w:val="1"/>
                <w:color w:val="auto"/>
              </w:rPr>
            </w:pPr>
          </w:p>
        </w:tc>
      </w:tr>
      <w:tr>
        <w:trPr>
          <w:trHeight w:val="297"/>
        </w:trPr>
        <w:tc>
          <w:tcPr>
            <w:tcW w:w="554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Balance at December 31, 2025</w:t>
            </w:r>
          </w:p>
        </w:tc>
        <w:tc>
          <w:tcPr>
            <w:tcW w:w="1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2,742)</w:t>
            </w:r>
          </w:p>
        </w:tc>
        <w:tc>
          <w:tcPr>
            <w:tcW w:w="280" w:type="dxa"/>
            <w:vAlign w:val="bottom"/>
            <w:gridSpan w:val="2"/>
            <w:shd w:val="clear" w:color="auto" w:fill="EDEDED"/>
          </w:tcPr>
          <w:p>
            <w:pPr>
              <w:ind w:left="140"/>
              <w:spacing w:after="0"/>
              <w:rPr>
                <w:sz w:val="20"/>
                <w:szCs w:val="20"/>
                <w:color w:val="auto"/>
              </w:rPr>
            </w:pPr>
            <w:r>
              <w:rPr>
                <w:rFonts w:ascii="Arial" w:cs="Arial" w:eastAsia="Arial" w:hAnsi="Arial"/>
                <w:sz w:val="20"/>
                <w:szCs w:val="20"/>
                <w:color w:val="00162F"/>
              </w:rPr>
              <w:t>$</w:t>
            </w:r>
          </w:p>
        </w:tc>
        <w:tc>
          <w:tcPr>
            <w:tcW w:w="10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0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1,765)</w:t>
            </w:r>
          </w:p>
        </w:tc>
        <w:tc>
          <w:tcPr>
            <w:tcW w:w="60" w:type="dxa"/>
            <w:vAlign w:val="bottom"/>
            <w:shd w:val="clear" w:color="auto" w:fill="EDEDED"/>
          </w:tcPr>
          <w:p>
            <w:pPr>
              <w:spacing w:after="0"/>
              <w:rPr>
                <w:sz w:val="24"/>
                <w:szCs w:val="24"/>
                <w:color w:val="auto"/>
              </w:rPr>
            </w:pPr>
          </w:p>
        </w:tc>
        <w:tc>
          <w:tcPr>
            <w:tcW w:w="2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4,507)</w:t>
            </w:r>
          </w:p>
        </w:tc>
        <w:tc>
          <w:tcPr>
            <w:tcW w:w="0" w:type="dxa"/>
            <w:vAlign w:val="bottom"/>
          </w:tcPr>
          <w:p>
            <w:pPr>
              <w:spacing w:after="0"/>
              <w:rPr>
                <w:sz w:val="1"/>
                <w:szCs w:val="1"/>
                <w:color w:val="auto"/>
              </w:rPr>
            </w:pPr>
          </w:p>
        </w:tc>
      </w:tr>
      <w:tr>
        <w:trPr>
          <w:trHeight w:val="133"/>
        </w:trPr>
        <w:tc>
          <w:tcPr>
            <w:tcW w:w="1960" w:type="dxa"/>
            <w:vAlign w:val="bottom"/>
            <w:tcBorders>
              <w:top w:val="single" w:sz="8" w:color="EDEDED"/>
              <w:bottom w:val="single" w:sz="8" w:color="00162F"/>
            </w:tcBorders>
          </w:tcPr>
          <w:p>
            <w:pPr>
              <w:spacing w:after="0"/>
              <w:rPr>
                <w:sz w:val="11"/>
                <w:szCs w:val="11"/>
                <w:color w:val="auto"/>
              </w:rPr>
            </w:pPr>
          </w:p>
        </w:tc>
        <w:tc>
          <w:tcPr>
            <w:tcW w:w="3580" w:type="dxa"/>
            <w:vAlign w:val="bottom"/>
            <w:tcBorders>
              <w:top w:val="single" w:sz="8" w:color="EDEDED"/>
            </w:tcBorders>
          </w:tcPr>
          <w:p>
            <w:pPr>
              <w:spacing w:after="0"/>
              <w:rPr>
                <w:sz w:val="11"/>
                <w:szCs w:val="11"/>
                <w:color w:val="auto"/>
              </w:rPr>
            </w:pPr>
          </w:p>
        </w:tc>
        <w:tc>
          <w:tcPr>
            <w:tcW w:w="160" w:type="dxa"/>
            <w:vAlign w:val="bottom"/>
            <w:tcBorders>
              <w:top w:val="single" w:sz="8" w:color="00162F"/>
            </w:tcBorders>
          </w:tcPr>
          <w:p>
            <w:pPr>
              <w:spacing w:after="0"/>
              <w:rPr>
                <w:sz w:val="11"/>
                <w:szCs w:val="11"/>
                <w:color w:val="auto"/>
              </w:rPr>
            </w:pPr>
          </w:p>
        </w:tc>
        <w:tc>
          <w:tcPr>
            <w:tcW w:w="1060" w:type="dxa"/>
            <w:vAlign w:val="bottom"/>
            <w:tcBorders>
              <w:top w:val="single" w:sz="8" w:color="00162F"/>
            </w:tcBorders>
          </w:tcPr>
          <w:p>
            <w:pPr>
              <w:spacing w:after="0"/>
              <w:rPr>
                <w:sz w:val="11"/>
                <w:szCs w:val="11"/>
                <w:color w:val="auto"/>
              </w:rPr>
            </w:pPr>
          </w:p>
        </w:tc>
        <w:tc>
          <w:tcPr>
            <w:tcW w:w="80" w:type="dxa"/>
            <w:vAlign w:val="bottom"/>
            <w:tcBorders>
              <w:top w:val="single" w:sz="8" w:color="EDEDED"/>
            </w:tcBorders>
          </w:tcPr>
          <w:p>
            <w:pPr>
              <w:spacing w:after="0"/>
              <w:rPr>
                <w:sz w:val="11"/>
                <w:szCs w:val="11"/>
                <w:color w:val="auto"/>
              </w:rPr>
            </w:pPr>
          </w:p>
        </w:tc>
        <w:tc>
          <w:tcPr>
            <w:tcW w:w="200" w:type="dxa"/>
            <w:vAlign w:val="bottom"/>
            <w:tcBorders>
              <w:top w:val="single" w:sz="8" w:color="00162F"/>
            </w:tcBorders>
          </w:tcPr>
          <w:p>
            <w:pPr>
              <w:spacing w:after="0"/>
              <w:rPr>
                <w:sz w:val="11"/>
                <w:szCs w:val="11"/>
                <w:color w:val="auto"/>
              </w:rPr>
            </w:pPr>
          </w:p>
        </w:tc>
        <w:tc>
          <w:tcPr>
            <w:tcW w:w="1000" w:type="dxa"/>
            <w:vAlign w:val="bottom"/>
            <w:tcBorders>
              <w:top w:val="single" w:sz="8" w:color="00162F"/>
            </w:tcBorders>
          </w:tcPr>
          <w:p>
            <w:pPr>
              <w:spacing w:after="0"/>
              <w:rPr>
                <w:sz w:val="11"/>
                <w:szCs w:val="11"/>
                <w:color w:val="auto"/>
              </w:rPr>
            </w:pPr>
          </w:p>
        </w:tc>
        <w:tc>
          <w:tcPr>
            <w:tcW w:w="80" w:type="dxa"/>
            <w:vAlign w:val="bottom"/>
            <w:tcBorders>
              <w:top w:val="single" w:sz="8" w:color="EDEDED"/>
            </w:tcBorders>
          </w:tcPr>
          <w:p>
            <w:pPr>
              <w:spacing w:after="0"/>
              <w:rPr>
                <w:sz w:val="11"/>
                <w:szCs w:val="11"/>
                <w:color w:val="auto"/>
              </w:rPr>
            </w:pPr>
          </w:p>
        </w:tc>
        <w:tc>
          <w:tcPr>
            <w:tcW w:w="160" w:type="dxa"/>
            <w:vAlign w:val="bottom"/>
            <w:tcBorders>
              <w:top w:val="single" w:sz="8" w:color="00162F"/>
            </w:tcBorders>
          </w:tcPr>
          <w:p>
            <w:pPr>
              <w:spacing w:after="0"/>
              <w:rPr>
                <w:sz w:val="11"/>
                <w:szCs w:val="11"/>
                <w:color w:val="auto"/>
              </w:rPr>
            </w:pPr>
          </w:p>
        </w:tc>
        <w:tc>
          <w:tcPr>
            <w:tcW w:w="1060" w:type="dxa"/>
            <w:vAlign w:val="bottom"/>
            <w:tcBorders>
              <w:top w:val="single" w:sz="8" w:color="00162F"/>
            </w:tcBorders>
          </w:tcPr>
          <w:p>
            <w:pPr>
              <w:spacing w:after="0"/>
              <w:rPr>
                <w:sz w:val="11"/>
                <w:szCs w:val="11"/>
                <w:color w:val="auto"/>
              </w:rPr>
            </w:pPr>
          </w:p>
        </w:tc>
        <w:tc>
          <w:tcPr>
            <w:tcW w:w="60" w:type="dxa"/>
            <w:vAlign w:val="bottom"/>
            <w:tcBorders>
              <w:top w:val="single" w:sz="8" w:color="EDEDED"/>
            </w:tcBorders>
          </w:tcPr>
          <w:p>
            <w:pPr>
              <w:spacing w:after="0"/>
              <w:rPr>
                <w:sz w:val="11"/>
                <w:szCs w:val="11"/>
                <w:color w:val="auto"/>
              </w:rPr>
            </w:pPr>
          </w:p>
        </w:tc>
        <w:tc>
          <w:tcPr>
            <w:tcW w:w="260" w:type="dxa"/>
            <w:vAlign w:val="bottom"/>
            <w:tcBorders>
              <w:top w:val="single" w:sz="8" w:color="00162F"/>
            </w:tcBorders>
          </w:tcPr>
          <w:p>
            <w:pPr>
              <w:spacing w:after="0"/>
              <w:rPr>
                <w:sz w:val="11"/>
                <w:szCs w:val="11"/>
                <w:color w:val="auto"/>
              </w:rPr>
            </w:pPr>
          </w:p>
        </w:tc>
        <w:tc>
          <w:tcPr>
            <w:tcW w:w="820" w:type="dxa"/>
            <w:vAlign w:val="bottom"/>
            <w:tcBorders>
              <w:top w:val="single" w:sz="8" w:color="00162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-1825625</wp:posOffset>
            </wp:positionV>
            <wp:extent cx="316484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3">
                      <a:extLst>
                        <a:ext uri="{28A0092B-C50C-407E-A947-70E740481C1C}"/>
                      </a:extLst>
                    </a:blip>
                    <a:srcRect/>
                    <a:stretch>
                      <a:fillRect/>
                    </a:stretch>
                  </pic:blipFill>
                  <pic:spPr bwMode="auto">
                    <a:xfrm>
                      <a:off x="0" y="0"/>
                      <a:ext cx="3164840" cy="2540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-1259840</wp:posOffset>
            </wp:positionV>
            <wp:extent cx="165290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4">
                      <a:extLst>
                        <a:ext uri="{28A0092B-C50C-407E-A947-70E740481C1C}"/>
                      </a:extLst>
                    </a:blip>
                    <a:srcRect/>
                    <a:stretch>
                      <a:fillRect/>
                    </a:stretch>
                  </pic:blipFill>
                  <pic:spPr bwMode="auto">
                    <a:xfrm>
                      <a:off x="0" y="0"/>
                      <a:ext cx="1652905" cy="2540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-1071245</wp:posOffset>
            </wp:positionV>
            <wp:extent cx="165290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5">
                      <a:extLst>
                        <a:ext uri="{28A0092B-C50C-407E-A947-70E740481C1C}"/>
                      </a:extLst>
                    </a:blip>
                    <a:srcRect/>
                    <a:stretch>
                      <a:fillRect/>
                    </a:stretch>
                  </pic:blipFill>
                  <pic:spPr bwMode="auto">
                    <a:xfrm>
                      <a:off x="0" y="0"/>
                      <a:ext cx="1652905" cy="2540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-505460</wp:posOffset>
            </wp:positionV>
            <wp:extent cx="165290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6">
                      <a:extLst>
                        <a:ext uri="{28A0092B-C50C-407E-A947-70E740481C1C}"/>
                      </a:extLst>
                    </a:blip>
                    <a:srcRect/>
                    <a:stretch>
                      <a:fillRect/>
                    </a:stretch>
                  </pic:blipFill>
                  <pic:spPr bwMode="auto">
                    <a:xfrm>
                      <a:off x="0" y="0"/>
                      <a:ext cx="1652905" cy="2540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-316865</wp:posOffset>
            </wp:positionV>
            <wp:extent cx="165290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7">
                      <a:extLst>
                        <a:ext uri="{28A0092B-C50C-407E-A947-70E740481C1C}"/>
                      </a:extLst>
                    </a:blip>
                    <a:srcRect/>
                    <a:stretch>
                      <a:fillRect/>
                    </a:stretch>
                  </pic:blipFill>
                  <pic:spPr bwMode="auto">
                    <a:xfrm>
                      <a:off x="0" y="0"/>
                      <a:ext cx="1652905" cy="2540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-140970</wp:posOffset>
            </wp:positionV>
            <wp:extent cx="3164840" cy="508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8">
                      <a:extLst>
                        <a:ext uri="{28A0092B-C50C-407E-A947-70E740481C1C}"/>
                      </a:extLst>
                    </a:blip>
                    <a:srcRect/>
                    <a:stretch>
                      <a:fillRect/>
                    </a:stretch>
                  </pic:blipFill>
                  <pic:spPr bwMode="auto">
                    <a:xfrm>
                      <a:off x="0" y="0"/>
                      <a:ext cx="3164840" cy="50800"/>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65" w:lineRule="auto"/>
        <w:tabs>
          <w:tab w:leader="none" w:pos="365" w:val="left"/>
        </w:tabs>
        <w:numPr>
          <w:ilvl w:val="0"/>
          <w:numId w:val="81"/>
        </w:numPr>
        <w:rPr>
          <w:rFonts w:ascii="Arial" w:cs="Arial" w:eastAsia="Arial" w:hAnsi="Arial"/>
          <w:sz w:val="13"/>
          <w:szCs w:val="13"/>
          <w:color w:val="00162F"/>
        </w:rPr>
      </w:pPr>
      <w:r>
        <w:rPr>
          <w:rFonts w:ascii="Arial" w:cs="Arial" w:eastAsia="Arial" w:hAnsi="Arial"/>
          <w:sz w:val="20"/>
          <w:szCs w:val="20"/>
          <w:color w:val="00162F"/>
        </w:rPr>
        <w:t>Relates principally to pension, retiree medical and other postretirement benefits obligations that will not be recognized in net income until the obligations are fully extinguished. Amounts reclassified from AOCI are recognized within the income tax provision on American’s consolidated statements of operations.</w:t>
      </w:r>
    </w:p>
    <w:p>
      <w:pPr>
        <w:spacing w:after="0" w:line="129"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Reclassifications out of AOCI for the years ended December 31, 2025 and 2024 are as follows (in millions):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560" w:type="dxa"/>
            <w:vAlign w:val="bottom"/>
            <w:tcBorders>
              <w:bottom w:val="single" w:sz="8" w:color="00162F"/>
            </w:tcBorders>
            <w:gridSpan w:val="5"/>
          </w:tcPr>
          <w:p>
            <w:pPr>
              <w:ind w:left="60"/>
              <w:spacing w:after="0"/>
              <w:rPr>
                <w:sz w:val="20"/>
                <w:szCs w:val="20"/>
                <w:color w:val="auto"/>
              </w:rPr>
            </w:pPr>
            <w:r>
              <w:rPr>
                <w:rFonts w:ascii="Arial" w:cs="Arial" w:eastAsia="Arial" w:hAnsi="Arial"/>
                <w:sz w:val="16"/>
                <w:szCs w:val="16"/>
                <w:b w:val="1"/>
                <w:bCs w:val="1"/>
                <w:color w:val="00162F"/>
              </w:rPr>
              <w:t>Amounts reclassified from AOCI</w:t>
            </w:r>
          </w:p>
        </w:tc>
        <w:tc>
          <w:tcPr>
            <w:tcW w:w="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60" w:type="dxa"/>
            <w:vAlign w:val="bottom"/>
            <w:tcBorders>
              <w:bottom w:val="single" w:sz="8" w:color="00162F"/>
            </w:tcBorders>
            <w:gridSpan w:val="4"/>
          </w:tcPr>
          <w:p>
            <w:pPr>
              <w:ind w:left="300"/>
              <w:spacing w:after="0"/>
              <w:rPr>
                <w:sz w:val="20"/>
                <w:szCs w:val="20"/>
                <w:color w:val="auto"/>
              </w:rPr>
            </w:pPr>
            <w:r>
              <w:rPr>
                <w:rFonts w:ascii="Arial" w:cs="Arial" w:eastAsia="Arial" w:hAnsi="Arial"/>
                <w:sz w:val="16"/>
                <w:szCs w:val="16"/>
                <w:b w:val="1"/>
                <w:bCs w:val="1"/>
                <w:color w:val="00162F"/>
                <w:w w:val="98"/>
              </w:rPr>
              <w:t>Year Ended December 31,</w:t>
            </w:r>
          </w:p>
        </w:tc>
        <w:tc>
          <w:tcPr>
            <w:tcW w:w="300" w:type="dxa"/>
            <w:vAlign w:val="bottom"/>
            <w:tcBorders>
              <w:bottom w:val="single" w:sz="8" w:color="00162F"/>
            </w:tcBorders>
          </w:tcPr>
          <w:p>
            <w:pPr>
              <w:spacing w:after="0"/>
              <w:rPr>
                <w:sz w:val="20"/>
                <w:szCs w:val="20"/>
                <w:color w:val="auto"/>
              </w:rPr>
            </w:pPr>
          </w:p>
        </w:tc>
        <w:tc>
          <w:tcPr>
            <w:tcW w:w="80" w:type="dxa"/>
            <w:vAlign w:val="bottom"/>
          </w:tcPr>
          <w:p>
            <w:pPr>
              <w:spacing w:after="0"/>
              <w:rPr>
                <w:sz w:val="20"/>
                <w:szCs w:val="20"/>
                <w:color w:val="auto"/>
              </w:rPr>
            </w:pPr>
          </w:p>
        </w:tc>
        <w:tc>
          <w:tcPr>
            <w:tcW w:w="3820" w:type="dxa"/>
            <w:vAlign w:val="bottom"/>
            <w:vMerge w:val="restart"/>
          </w:tcPr>
          <w:p>
            <w:pPr>
              <w:jc w:val="center"/>
              <w:spacing w:after="0"/>
              <w:rPr>
                <w:sz w:val="20"/>
                <w:szCs w:val="20"/>
                <w:color w:val="auto"/>
              </w:rPr>
            </w:pPr>
            <w:r>
              <w:rPr>
                <w:rFonts w:ascii="Arial" w:cs="Arial" w:eastAsia="Arial" w:hAnsi="Arial"/>
                <w:sz w:val="16"/>
                <w:szCs w:val="16"/>
                <w:b w:val="1"/>
                <w:bCs w:val="1"/>
                <w:color w:val="00162F"/>
                <w:w w:val="99"/>
              </w:rPr>
              <w:t>Affected line items on the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gridSpan w:val="2"/>
            <w:vMerge w:val="restart"/>
          </w:tcPr>
          <w:p>
            <w:pPr>
              <w:spacing w:after="0"/>
              <w:rPr>
                <w:sz w:val="20"/>
                <w:szCs w:val="20"/>
                <w:color w:val="auto"/>
              </w:rPr>
            </w:pPr>
            <w:r>
              <w:rPr>
                <w:rFonts w:ascii="Arial" w:cs="Arial" w:eastAsia="Arial" w:hAnsi="Arial"/>
                <w:sz w:val="16"/>
                <w:szCs w:val="16"/>
                <w:b w:val="1"/>
                <w:bCs w:val="1"/>
                <w:color w:val="00162F"/>
              </w:rPr>
              <w:t>AOCI Components</w:t>
            </w:r>
          </w:p>
        </w:tc>
        <w:tc>
          <w:tcPr>
            <w:tcW w:w="860" w:type="dxa"/>
            <w:vAlign w:val="bottom"/>
            <w:vMerge w:val="restart"/>
          </w:tcPr>
          <w:p>
            <w:pPr>
              <w:ind w:left="440"/>
              <w:spacing w:after="0"/>
              <w:rPr>
                <w:sz w:val="20"/>
                <w:szCs w:val="20"/>
                <w:color w:val="auto"/>
              </w:rPr>
            </w:pPr>
            <w:r>
              <w:rPr>
                <w:rFonts w:ascii="Arial" w:cs="Arial" w:eastAsia="Arial" w:hAnsi="Arial"/>
                <w:sz w:val="16"/>
                <w:szCs w:val="16"/>
                <w:b w:val="1"/>
                <w:bCs w:val="1"/>
                <w:color w:val="00162F"/>
              </w:rPr>
              <w:t>2025</w:t>
            </w:r>
          </w:p>
        </w:tc>
        <w:tc>
          <w:tcPr>
            <w:tcW w:w="380" w:type="dxa"/>
            <w:vAlign w:val="bottom"/>
          </w:tcPr>
          <w:p>
            <w:pPr>
              <w:spacing w:after="0" w:line="20" w:lineRule="exact"/>
              <w:rPr>
                <w:sz w:val="1"/>
                <w:szCs w:val="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00162F"/>
              </w:rPr>
              <w:t>2024</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418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20" w:type="dxa"/>
            <w:vAlign w:val="bottom"/>
          </w:tcPr>
          <w:p>
            <w:pPr>
              <w:jc w:val="center"/>
              <w:spacing w:after="0" w:line="171" w:lineRule="exact"/>
              <w:rPr>
                <w:sz w:val="20"/>
                <w:szCs w:val="20"/>
                <w:color w:val="auto"/>
              </w:rPr>
            </w:pPr>
            <w:r>
              <w:rPr>
                <w:rFonts w:ascii="Arial" w:cs="Arial" w:eastAsia="Arial" w:hAnsi="Arial"/>
                <w:sz w:val="16"/>
                <w:szCs w:val="16"/>
                <w:b w:val="1"/>
                <w:bCs w:val="1"/>
                <w:color w:val="00162F"/>
                <w:w w:val="98"/>
              </w:rPr>
              <w:t>consolidated statements of operations</w:t>
            </w:r>
          </w:p>
        </w:tc>
        <w:tc>
          <w:tcPr>
            <w:tcW w:w="0" w:type="dxa"/>
            <w:vAlign w:val="bottom"/>
          </w:tcPr>
          <w:p>
            <w:pPr>
              <w:spacing w:after="0"/>
              <w:rPr>
                <w:sz w:val="1"/>
                <w:szCs w:val="1"/>
                <w:color w:val="auto"/>
              </w:rPr>
            </w:pPr>
          </w:p>
        </w:tc>
      </w:tr>
      <w:tr>
        <w:trPr>
          <w:trHeight w:val="20"/>
        </w:trPr>
        <w:tc>
          <w:tcPr>
            <w:tcW w:w="40" w:type="dxa"/>
            <w:vAlign w:val="bottom"/>
            <w:tcBorders>
              <w:bottom w:val="single" w:sz="8" w:color="EDEDED"/>
            </w:tcBorders>
          </w:tcPr>
          <w:p>
            <w:pPr>
              <w:spacing w:after="0" w:line="20" w:lineRule="exact"/>
              <w:rPr>
                <w:sz w:val="1"/>
                <w:szCs w:val="1"/>
                <w:color w:val="auto"/>
              </w:rPr>
            </w:pPr>
          </w:p>
        </w:tc>
        <w:tc>
          <w:tcPr>
            <w:tcW w:w="1420" w:type="dxa"/>
            <w:vAlign w:val="bottom"/>
            <w:tcBorders>
              <w:top w:val="single" w:sz="8" w:color="00162F"/>
              <w:bottom w:val="single" w:sz="8" w:color="EDEDED"/>
            </w:tcBorders>
          </w:tcPr>
          <w:p>
            <w:pPr>
              <w:spacing w:after="0" w:line="20" w:lineRule="exact"/>
              <w:rPr>
                <w:sz w:val="1"/>
                <w:szCs w:val="1"/>
                <w:color w:val="auto"/>
              </w:rPr>
            </w:pPr>
          </w:p>
        </w:tc>
        <w:tc>
          <w:tcPr>
            <w:tcW w:w="2760" w:type="dxa"/>
            <w:vAlign w:val="bottom"/>
            <w:tcBorders>
              <w:bottom w:val="single" w:sz="8" w:color="EDEDED"/>
            </w:tcBorders>
          </w:tcPr>
          <w:p>
            <w:pPr>
              <w:spacing w:after="0" w:line="20" w:lineRule="exact"/>
              <w:rPr>
                <w:sz w:val="1"/>
                <w:szCs w:val="1"/>
                <w:color w:val="auto"/>
              </w:rPr>
            </w:pPr>
          </w:p>
        </w:tc>
        <w:tc>
          <w:tcPr>
            <w:tcW w:w="860" w:type="dxa"/>
            <w:vAlign w:val="bottom"/>
            <w:tcBorders>
              <w:bottom w:val="single" w:sz="8" w:color="00162F"/>
            </w:tcBorders>
          </w:tcPr>
          <w:p>
            <w:pPr>
              <w:spacing w:after="0" w:line="20" w:lineRule="exact"/>
              <w:rPr>
                <w:sz w:val="1"/>
                <w:szCs w:val="1"/>
                <w:color w:val="auto"/>
              </w:rPr>
            </w:pPr>
          </w:p>
        </w:tc>
        <w:tc>
          <w:tcPr>
            <w:tcW w:w="380" w:type="dxa"/>
            <w:vAlign w:val="bottom"/>
            <w:tcBorders>
              <w:bottom w:val="single" w:sz="8" w:color="00162F"/>
            </w:tcBorders>
          </w:tcPr>
          <w:p>
            <w:pPr>
              <w:spacing w:after="0" w:line="20" w:lineRule="exact"/>
              <w:rPr>
                <w:sz w:val="1"/>
                <w:szCs w:val="1"/>
                <w:color w:val="auto"/>
              </w:rPr>
            </w:pPr>
          </w:p>
        </w:tc>
        <w:tc>
          <w:tcPr>
            <w:tcW w:w="80" w:type="dxa"/>
            <w:vAlign w:val="bottom"/>
            <w:tcBorders>
              <w:bottom w:val="single" w:sz="8" w:color="EDEDED"/>
            </w:tcBorders>
          </w:tcPr>
          <w:p>
            <w:pPr>
              <w:spacing w:after="0" w:line="20" w:lineRule="exact"/>
              <w:rPr>
                <w:sz w:val="1"/>
                <w:szCs w:val="1"/>
                <w:color w:val="auto"/>
              </w:rPr>
            </w:pPr>
          </w:p>
        </w:tc>
        <w:tc>
          <w:tcPr>
            <w:tcW w:w="940" w:type="dxa"/>
            <w:vAlign w:val="bottom"/>
            <w:tcBorders>
              <w:bottom w:val="single" w:sz="8" w:color="00162F"/>
            </w:tcBorders>
          </w:tcPr>
          <w:p>
            <w:pPr>
              <w:spacing w:after="0" w:line="20" w:lineRule="exact"/>
              <w:rPr>
                <w:sz w:val="1"/>
                <w:szCs w:val="1"/>
                <w:color w:val="auto"/>
              </w:rPr>
            </w:pPr>
          </w:p>
        </w:tc>
        <w:tc>
          <w:tcPr>
            <w:tcW w:w="300" w:type="dxa"/>
            <w:vAlign w:val="bottom"/>
            <w:tcBorders>
              <w:bottom w:val="single" w:sz="8" w:color="00162F"/>
            </w:tcBorders>
          </w:tcPr>
          <w:p>
            <w:pPr>
              <w:spacing w:after="0" w:line="20" w:lineRule="exact"/>
              <w:rPr>
                <w:sz w:val="1"/>
                <w:szCs w:val="1"/>
                <w:color w:val="auto"/>
              </w:rPr>
            </w:pPr>
          </w:p>
        </w:tc>
        <w:tc>
          <w:tcPr>
            <w:tcW w:w="80" w:type="dxa"/>
            <w:vAlign w:val="bottom"/>
            <w:tcBorders>
              <w:bottom w:val="single" w:sz="8" w:color="EDEDED"/>
            </w:tcBorders>
          </w:tcPr>
          <w:p>
            <w:pPr>
              <w:spacing w:after="0" w:line="20" w:lineRule="exact"/>
              <w:rPr>
                <w:sz w:val="1"/>
                <w:szCs w:val="1"/>
                <w:color w:val="auto"/>
              </w:rPr>
            </w:pPr>
          </w:p>
        </w:tc>
        <w:tc>
          <w:tcPr>
            <w:tcW w:w="3820" w:type="dxa"/>
            <w:vAlign w:val="bottom"/>
            <w:tcBorders>
              <w:bottom w:val="single" w:sz="8" w:color="00162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EDEDED"/>
          </w:tcPr>
          <w:p>
            <w:pPr>
              <w:spacing w:after="0"/>
              <w:rPr>
                <w:sz w:val="18"/>
                <w:szCs w:val="18"/>
                <w:color w:val="auto"/>
              </w:rPr>
            </w:pPr>
          </w:p>
        </w:tc>
        <w:tc>
          <w:tcPr>
            <w:tcW w:w="4180" w:type="dxa"/>
            <w:vAlign w:val="bottom"/>
            <w:gridSpan w:val="2"/>
            <w:shd w:val="clear" w:color="auto" w:fill="EDEDED"/>
          </w:tcPr>
          <w:p>
            <w:pPr>
              <w:spacing w:after="0" w:line="210" w:lineRule="exact"/>
              <w:rPr>
                <w:sz w:val="20"/>
                <w:szCs w:val="20"/>
                <w:color w:val="auto"/>
              </w:rPr>
            </w:pPr>
            <w:r>
              <w:rPr>
                <w:rFonts w:ascii="Arial" w:cs="Arial" w:eastAsia="Arial" w:hAnsi="Arial"/>
                <w:sz w:val="20"/>
                <w:szCs w:val="20"/>
                <w:color w:val="00162F"/>
              </w:rPr>
              <w:t>Amortization of pension, retiree medical and</w:t>
            </w:r>
          </w:p>
        </w:tc>
        <w:tc>
          <w:tcPr>
            <w:tcW w:w="860" w:type="dxa"/>
            <w:vAlign w:val="bottom"/>
            <w:shd w:val="clear" w:color="auto" w:fill="EDEDED"/>
          </w:tcPr>
          <w:p>
            <w:pPr>
              <w:spacing w:after="0"/>
              <w:rPr>
                <w:sz w:val="18"/>
                <w:szCs w:val="18"/>
                <w:color w:val="auto"/>
              </w:rPr>
            </w:pPr>
          </w:p>
        </w:tc>
        <w:tc>
          <w:tcPr>
            <w:tcW w:w="380" w:type="dxa"/>
            <w:vAlign w:val="bottom"/>
            <w:shd w:val="clear" w:color="auto" w:fill="EDEDED"/>
          </w:tcPr>
          <w:p>
            <w:pPr>
              <w:spacing w:after="0"/>
              <w:rPr>
                <w:sz w:val="18"/>
                <w:szCs w:val="18"/>
                <w:color w:val="auto"/>
              </w:rPr>
            </w:pPr>
          </w:p>
        </w:tc>
        <w:tc>
          <w:tcPr>
            <w:tcW w:w="80" w:type="dxa"/>
            <w:vAlign w:val="bottom"/>
            <w:shd w:val="clear" w:color="auto" w:fill="EDEDED"/>
          </w:tcPr>
          <w:p>
            <w:pPr>
              <w:spacing w:after="0"/>
              <w:rPr>
                <w:sz w:val="18"/>
                <w:szCs w:val="18"/>
                <w:color w:val="auto"/>
              </w:rPr>
            </w:pPr>
          </w:p>
        </w:tc>
        <w:tc>
          <w:tcPr>
            <w:tcW w:w="940" w:type="dxa"/>
            <w:vAlign w:val="bottom"/>
            <w:shd w:val="clear" w:color="auto" w:fill="EDEDED"/>
          </w:tcPr>
          <w:p>
            <w:pPr>
              <w:spacing w:after="0"/>
              <w:rPr>
                <w:sz w:val="18"/>
                <w:szCs w:val="18"/>
                <w:color w:val="auto"/>
              </w:rPr>
            </w:pPr>
          </w:p>
        </w:tc>
        <w:tc>
          <w:tcPr>
            <w:tcW w:w="300" w:type="dxa"/>
            <w:vAlign w:val="bottom"/>
            <w:shd w:val="clear" w:color="auto" w:fill="EDEDED"/>
          </w:tcPr>
          <w:p>
            <w:pPr>
              <w:spacing w:after="0"/>
              <w:rPr>
                <w:sz w:val="18"/>
                <w:szCs w:val="18"/>
                <w:color w:val="auto"/>
              </w:rPr>
            </w:pPr>
          </w:p>
        </w:tc>
        <w:tc>
          <w:tcPr>
            <w:tcW w:w="80" w:type="dxa"/>
            <w:vAlign w:val="bottom"/>
            <w:shd w:val="clear" w:color="auto" w:fill="EDEDED"/>
          </w:tcPr>
          <w:p>
            <w:pPr>
              <w:spacing w:after="0"/>
              <w:rPr>
                <w:sz w:val="18"/>
                <w:szCs w:val="18"/>
                <w:color w:val="auto"/>
              </w:rPr>
            </w:pPr>
          </w:p>
        </w:tc>
        <w:tc>
          <w:tcPr>
            <w:tcW w:w="382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0" w:type="dxa"/>
            <w:vAlign w:val="bottom"/>
            <w:shd w:val="clear" w:color="auto" w:fill="EDEDED"/>
          </w:tcPr>
          <w:p>
            <w:pPr>
              <w:spacing w:after="0"/>
              <w:rPr>
                <w:sz w:val="23"/>
                <w:szCs w:val="23"/>
                <w:color w:val="auto"/>
              </w:rPr>
            </w:pPr>
          </w:p>
        </w:tc>
        <w:tc>
          <w:tcPr>
            <w:tcW w:w="4180" w:type="dxa"/>
            <w:vAlign w:val="bottom"/>
            <w:gridSpan w:val="2"/>
            <w:shd w:val="clear" w:color="auto" w:fill="EDEDED"/>
          </w:tcPr>
          <w:p>
            <w:pPr>
              <w:ind w:left="180"/>
              <w:spacing w:after="0"/>
              <w:rPr>
                <w:sz w:val="20"/>
                <w:szCs w:val="20"/>
                <w:color w:val="auto"/>
              </w:rPr>
            </w:pPr>
            <w:r>
              <w:rPr>
                <w:rFonts w:ascii="Arial" w:cs="Arial" w:eastAsia="Arial" w:hAnsi="Arial"/>
                <w:sz w:val="20"/>
                <w:szCs w:val="20"/>
                <w:color w:val="00162F"/>
              </w:rPr>
              <w:t>other postretirement benefits:</w:t>
            </w:r>
          </w:p>
        </w:tc>
        <w:tc>
          <w:tcPr>
            <w:tcW w:w="860" w:type="dxa"/>
            <w:vAlign w:val="bottom"/>
            <w:shd w:val="clear" w:color="auto" w:fill="EDEDED"/>
          </w:tcPr>
          <w:p>
            <w:pPr>
              <w:spacing w:after="0"/>
              <w:rPr>
                <w:sz w:val="23"/>
                <w:szCs w:val="23"/>
                <w:color w:val="auto"/>
              </w:rPr>
            </w:pPr>
          </w:p>
        </w:tc>
        <w:tc>
          <w:tcPr>
            <w:tcW w:w="38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94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382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180" w:type="dxa"/>
            <w:vAlign w:val="bottom"/>
            <w:gridSpan w:val="2"/>
          </w:tcPr>
          <w:p>
            <w:pPr>
              <w:ind w:left="220"/>
              <w:spacing w:after="0"/>
              <w:rPr>
                <w:sz w:val="20"/>
                <w:szCs w:val="20"/>
                <w:color w:val="auto"/>
              </w:rPr>
            </w:pPr>
            <w:r>
              <w:rPr>
                <w:rFonts w:ascii="Arial" w:cs="Arial" w:eastAsia="Arial" w:hAnsi="Arial"/>
                <w:sz w:val="20"/>
                <w:szCs w:val="20"/>
                <w:color w:val="00162F"/>
              </w:rPr>
              <w:t>Prior service cost</w:t>
            </w:r>
          </w:p>
        </w:tc>
        <w:tc>
          <w:tcPr>
            <w:tcW w:w="860" w:type="dxa"/>
            <w:vAlign w:val="bottom"/>
          </w:tcPr>
          <w:p>
            <w:pPr>
              <w:ind w:left="40"/>
              <w:spacing w:after="0"/>
              <w:rPr>
                <w:sz w:val="20"/>
                <w:szCs w:val="20"/>
                <w:color w:val="auto"/>
              </w:rPr>
            </w:pPr>
            <w:r>
              <w:rPr>
                <w:rFonts w:ascii="Arial" w:cs="Arial" w:eastAsia="Arial" w:hAnsi="Arial"/>
                <w:sz w:val="20"/>
                <w:szCs w:val="20"/>
                <w:color w:val="00162F"/>
              </w:rPr>
              <w:t>$</w:t>
            </w:r>
          </w:p>
        </w:tc>
        <w:tc>
          <w:tcPr>
            <w:tcW w:w="380" w:type="dxa"/>
            <w:vAlign w:val="bottom"/>
          </w:tcPr>
          <w:p>
            <w:pPr>
              <w:jc w:val="right"/>
              <w:spacing w:after="0"/>
              <w:rPr>
                <w:sz w:val="20"/>
                <w:szCs w:val="20"/>
                <w:color w:val="auto"/>
              </w:rPr>
            </w:pPr>
            <w:r>
              <w:rPr>
                <w:rFonts w:ascii="Arial" w:cs="Arial" w:eastAsia="Arial" w:hAnsi="Arial"/>
                <w:sz w:val="20"/>
                <w:szCs w:val="20"/>
                <w:color w:val="00162F"/>
              </w:rPr>
              <w:t>14</w:t>
            </w:r>
          </w:p>
        </w:tc>
        <w:tc>
          <w:tcPr>
            <w:tcW w:w="1020" w:type="dxa"/>
            <w:vAlign w:val="bottom"/>
            <w:gridSpan w:val="2"/>
          </w:tcPr>
          <w:p>
            <w:pPr>
              <w:jc w:val="right"/>
              <w:ind w:right="780"/>
              <w:spacing w:after="0"/>
              <w:rPr>
                <w:sz w:val="20"/>
                <w:szCs w:val="20"/>
                <w:color w:val="auto"/>
              </w:rPr>
            </w:pPr>
            <w:r>
              <w:rPr>
                <w:rFonts w:ascii="Arial" w:cs="Arial" w:eastAsia="Arial" w:hAnsi="Arial"/>
                <w:sz w:val="20"/>
                <w:szCs w:val="20"/>
                <w:color w:val="00162F"/>
              </w:rPr>
              <w:t>$</w:t>
            </w:r>
          </w:p>
        </w:tc>
        <w:tc>
          <w:tcPr>
            <w:tcW w:w="300" w:type="dxa"/>
            <w:vAlign w:val="bottom"/>
          </w:tcPr>
          <w:p>
            <w:pPr>
              <w:jc w:val="right"/>
              <w:spacing w:after="0"/>
              <w:rPr>
                <w:sz w:val="20"/>
                <w:szCs w:val="20"/>
                <w:color w:val="auto"/>
              </w:rPr>
            </w:pPr>
            <w:r>
              <w:rPr>
                <w:rFonts w:ascii="Arial" w:cs="Arial" w:eastAsia="Arial" w:hAnsi="Arial"/>
                <w:sz w:val="20"/>
                <w:szCs w:val="20"/>
                <w:color w:val="00162F"/>
                <w:w w:val="89"/>
              </w:rPr>
              <w:t>11</w:t>
            </w:r>
          </w:p>
        </w:tc>
        <w:tc>
          <w:tcPr>
            <w:tcW w:w="8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20"/>
                <w:szCs w:val="20"/>
                <w:color w:val="00162F"/>
                <w:w w:val="99"/>
              </w:rPr>
              <w:t>Nonoperating other income (expense), net</w:t>
            </w:r>
          </w:p>
        </w:tc>
        <w:tc>
          <w:tcPr>
            <w:tcW w:w="0" w:type="dxa"/>
            <w:vAlign w:val="bottom"/>
          </w:tcPr>
          <w:p>
            <w:pPr>
              <w:spacing w:after="0"/>
              <w:rPr>
                <w:sz w:val="1"/>
                <w:szCs w:val="1"/>
                <w:color w:val="auto"/>
              </w:rPr>
            </w:pPr>
          </w:p>
        </w:tc>
      </w:tr>
      <w:tr>
        <w:trPr>
          <w:trHeight w:val="276"/>
        </w:trPr>
        <w:tc>
          <w:tcPr>
            <w:tcW w:w="40" w:type="dxa"/>
            <w:vAlign w:val="bottom"/>
            <w:tcBorders>
              <w:bottom w:val="single" w:sz="8" w:color="EDEDED"/>
            </w:tcBorders>
            <w:shd w:val="clear" w:color="auto" w:fill="EDEDED"/>
          </w:tcPr>
          <w:p>
            <w:pPr>
              <w:spacing w:after="0"/>
              <w:rPr>
                <w:sz w:val="23"/>
                <w:szCs w:val="23"/>
                <w:color w:val="auto"/>
              </w:rPr>
            </w:pPr>
          </w:p>
        </w:tc>
        <w:tc>
          <w:tcPr>
            <w:tcW w:w="4180" w:type="dxa"/>
            <w:vAlign w:val="bottom"/>
            <w:tcBorders>
              <w:bottom w:val="single" w:sz="8" w:color="EDEDED"/>
            </w:tcBorders>
            <w:gridSpan w:val="2"/>
            <w:shd w:val="clear" w:color="auto" w:fill="EDEDED"/>
          </w:tcPr>
          <w:p>
            <w:pPr>
              <w:ind w:left="220"/>
              <w:spacing w:after="0"/>
              <w:rPr>
                <w:sz w:val="20"/>
                <w:szCs w:val="20"/>
                <w:color w:val="auto"/>
              </w:rPr>
            </w:pPr>
            <w:r>
              <w:rPr>
                <w:rFonts w:ascii="Arial" w:cs="Arial" w:eastAsia="Arial" w:hAnsi="Arial"/>
                <w:sz w:val="20"/>
                <w:szCs w:val="20"/>
                <w:color w:val="00162F"/>
              </w:rPr>
              <w:t>Actuarial loss</w:t>
            </w:r>
          </w:p>
        </w:tc>
        <w:tc>
          <w:tcPr>
            <w:tcW w:w="860" w:type="dxa"/>
            <w:vAlign w:val="bottom"/>
            <w:tcBorders>
              <w:bottom w:val="single" w:sz="8" w:color="00162F"/>
            </w:tcBorders>
            <w:shd w:val="clear" w:color="auto" w:fill="EDEDED"/>
          </w:tcPr>
          <w:p>
            <w:pPr>
              <w:spacing w:after="0"/>
              <w:rPr>
                <w:sz w:val="23"/>
                <w:szCs w:val="23"/>
                <w:color w:val="auto"/>
              </w:rPr>
            </w:pPr>
          </w:p>
        </w:tc>
        <w:tc>
          <w:tcPr>
            <w:tcW w:w="38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50</w:t>
            </w:r>
          </w:p>
        </w:tc>
        <w:tc>
          <w:tcPr>
            <w:tcW w:w="80" w:type="dxa"/>
            <w:vAlign w:val="bottom"/>
            <w:tcBorders>
              <w:bottom w:val="single" w:sz="8" w:color="EDEDED"/>
            </w:tcBorders>
            <w:shd w:val="clear" w:color="auto" w:fill="EDEDED"/>
          </w:tcPr>
          <w:p>
            <w:pPr>
              <w:spacing w:after="0"/>
              <w:rPr>
                <w:sz w:val="23"/>
                <w:szCs w:val="23"/>
                <w:color w:val="auto"/>
              </w:rPr>
            </w:pPr>
          </w:p>
        </w:tc>
        <w:tc>
          <w:tcPr>
            <w:tcW w:w="940" w:type="dxa"/>
            <w:vAlign w:val="bottom"/>
            <w:tcBorders>
              <w:bottom w:val="single" w:sz="8" w:color="00162F"/>
            </w:tcBorders>
            <w:shd w:val="clear" w:color="auto" w:fill="EDEDED"/>
          </w:tcPr>
          <w:p>
            <w:pPr>
              <w:spacing w:after="0"/>
              <w:rPr>
                <w:sz w:val="23"/>
                <w:szCs w:val="23"/>
                <w:color w:val="auto"/>
              </w:rPr>
            </w:pPr>
          </w:p>
        </w:tc>
        <w:tc>
          <w:tcPr>
            <w:tcW w:w="30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w w:val="89"/>
              </w:rPr>
              <w:t>57</w:t>
            </w:r>
          </w:p>
        </w:tc>
        <w:tc>
          <w:tcPr>
            <w:tcW w:w="80" w:type="dxa"/>
            <w:vAlign w:val="bottom"/>
            <w:tcBorders>
              <w:bottom w:val="single" w:sz="8" w:color="EDEDED"/>
            </w:tcBorders>
            <w:shd w:val="clear" w:color="auto" w:fill="EDEDED"/>
          </w:tcPr>
          <w:p>
            <w:pPr>
              <w:spacing w:after="0"/>
              <w:rPr>
                <w:sz w:val="23"/>
                <w:szCs w:val="23"/>
                <w:color w:val="auto"/>
              </w:rPr>
            </w:pPr>
          </w:p>
        </w:tc>
        <w:tc>
          <w:tcPr>
            <w:tcW w:w="38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20"/>
                <w:szCs w:val="20"/>
                <w:color w:val="00162F"/>
                <w:w w:val="99"/>
              </w:rPr>
              <w:t>Nonoperating other income (expense), net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180" w:type="dxa"/>
            <w:vAlign w:val="bottom"/>
            <w:gridSpan w:val="2"/>
          </w:tcPr>
          <w:p>
            <w:pPr>
              <w:spacing w:after="0"/>
              <w:rPr>
                <w:sz w:val="20"/>
                <w:szCs w:val="20"/>
                <w:color w:val="auto"/>
              </w:rPr>
            </w:pPr>
            <w:r>
              <w:rPr>
                <w:rFonts w:ascii="Arial" w:cs="Arial" w:eastAsia="Arial" w:hAnsi="Arial"/>
                <w:sz w:val="20"/>
                <w:szCs w:val="20"/>
                <w:color w:val="00162F"/>
              </w:rPr>
              <w:t>Total reclassifications for the period, net of tax</w:t>
            </w:r>
          </w:p>
        </w:tc>
        <w:tc>
          <w:tcPr>
            <w:tcW w:w="860" w:type="dxa"/>
            <w:vAlign w:val="bottom"/>
          </w:tcPr>
          <w:p>
            <w:pPr>
              <w:ind w:left="40"/>
              <w:spacing w:after="0"/>
              <w:rPr>
                <w:sz w:val="20"/>
                <w:szCs w:val="20"/>
                <w:color w:val="auto"/>
              </w:rPr>
            </w:pPr>
            <w:r>
              <w:rPr>
                <w:rFonts w:ascii="Arial" w:cs="Arial" w:eastAsia="Arial" w:hAnsi="Arial"/>
                <w:sz w:val="20"/>
                <w:szCs w:val="20"/>
                <w:color w:val="00162F"/>
              </w:rPr>
              <w:t>$</w:t>
            </w:r>
          </w:p>
        </w:tc>
        <w:tc>
          <w:tcPr>
            <w:tcW w:w="380" w:type="dxa"/>
            <w:vAlign w:val="bottom"/>
          </w:tcPr>
          <w:p>
            <w:pPr>
              <w:jc w:val="right"/>
              <w:spacing w:after="0"/>
              <w:rPr>
                <w:sz w:val="20"/>
                <w:szCs w:val="20"/>
                <w:color w:val="auto"/>
              </w:rPr>
            </w:pPr>
            <w:r>
              <w:rPr>
                <w:rFonts w:ascii="Arial" w:cs="Arial" w:eastAsia="Arial" w:hAnsi="Arial"/>
                <w:sz w:val="20"/>
                <w:szCs w:val="20"/>
                <w:color w:val="00162F"/>
              </w:rPr>
              <w:t>64</w:t>
            </w:r>
          </w:p>
        </w:tc>
        <w:tc>
          <w:tcPr>
            <w:tcW w:w="1020" w:type="dxa"/>
            <w:vAlign w:val="bottom"/>
            <w:gridSpan w:val="2"/>
          </w:tcPr>
          <w:p>
            <w:pPr>
              <w:jc w:val="right"/>
              <w:ind w:right="780"/>
              <w:spacing w:after="0"/>
              <w:rPr>
                <w:sz w:val="20"/>
                <w:szCs w:val="20"/>
                <w:color w:val="auto"/>
              </w:rPr>
            </w:pPr>
            <w:r>
              <w:rPr>
                <w:rFonts w:ascii="Arial" w:cs="Arial" w:eastAsia="Arial" w:hAnsi="Arial"/>
                <w:sz w:val="20"/>
                <w:szCs w:val="20"/>
                <w:color w:val="00162F"/>
              </w:rPr>
              <w:t>$</w:t>
            </w:r>
          </w:p>
        </w:tc>
        <w:tc>
          <w:tcPr>
            <w:tcW w:w="300" w:type="dxa"/>
            <w:vAlign w:val="bottom"/>
          </w:tcPr>
          <w:p>
            <w:pPr>
              <w:jc w:val="right"/>
              <w:spacing w:after="0"/>
              <w:rPr>
                <w:sz w:val="20"/>
                <w:szCs w:val="20"/>
                <w:color w:val="auto"/>
              </w:rPr>
            </w:pPr>
            <w:r>
              <w:rPr>
                <w:rFonts w:ascii="Arial" w:cs="Arial" w:eastAsia="Arial" w:hAnsi="Arial"/>
                <w:sz w:val="20"/>
                <w:szCs w:val="20"/>
                <w:color w:val="00162F"/>
                <w:w w:val="89"/>
              </w:rPr>
              <w:t>68</w:t>
            </w:r>
          </w:p>
        </w:tc>
        <w:tc>
          <w:tcPr>
            <w:tcW w:w="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00162F"/>
              <w:bottom w:val="single" w:sz="8" w:color="00162F"/>
            </w:tcBorders>
          </w:tcPr>
          <w:p>
            <w:pPr>
              <w:spacing w:after="0" w:line="20" w:lineRule="exact"/>
              <w:rPr>
                <w:sz w:val="1"/>
                <w:szCs w:val="1"/>
                <w:color w:val="auto"/>
              </w:rPr>
            </w:pPr>
          </w:p>
        </w:tc>
        <w:tc>
          <w:tcPr>
            <w:tcW w:w="38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00162F"/>
              <w:bottom w:val="single" w:sz="8" w:color="00162F"/>
            </w:tcBorders>
          </w:tcPr>
          <w:p>
            <w:pPr>
              <w:spacing w:after="0" w:line="20" w:lineRule="exact"/>
              <w:rPr>
                <w:sz w:val="1"/>
                <w:szCs w:val="1"/>
                <w:color w:val="auto"/>
              </w:rPr>
            </w:pPr>
          </w:p>
        </w:tc>
        <w:tc>
          <w:tcPr>
            <w:tcW w:w="300" w:type="dxa"/>
            <w:vAlign w:val="bottom"/>
            <w:tcBorders>
              <w:top w:val="single" w:sz="8" w:color="00162F"/>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2652395</wp:posOffset>
            </wp:positionH>
            <wp:positionV relativeFrom="paragraph">
              <wp:posOffset>-901065</wp:posOffset>
            </wp:positionV>
            <wp:extent cx="4161155" cy="501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9">
                      <a:extLst>
                        <a:ext uri="{28A0092B-C50C-407E-A947-70E740481C1C}"/>
                      </a:extLst>
                    </a:blip>
                    <a:srcRect/>
                    <a:stretch>
                      <a:fillRect/>
                    </a:stretch>
                  </pic:blipFill>
                  <pic:spPr bwMode="auto">
                    <a:xfrm>
                      <a:off x="0" y="0"/>
                      <a:ext cx="4161155" cy="5016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-231775</wp:posOffset>
            </wp:positionV>
            <wp:extent cx="1681480" cy="501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0">
                      <a:extLst>
                        <a:ext uri="{28A0092B-C50C-407E-A947-70E740481C1C}"/>
                      </a:extLst>
                    </a:blip>
                    <a:srcRect/>
                    <a:stretch>
                      <a:fillRect/>
                    </a:stretch>
                  </pic:blipFill>
                  <pic:spPr bwMode="auto">
                    <a:xfrm>
                      <a:off x="0" y="0"/>
                      <a:ext cx="1681480" cy="5016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-55880</wp:posOffset>
            </wp:positionV>
            <wp:extent cx="842645" cy="755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1">
                      <a:extLst>
                        <a:ext uri="{28A0092B-C50C-407E-A947-70E740481C1C}"/>
                      </a:extLst>
                    </a:blip>
                    <a:srcRect/>
                    <a:stretch>
                      <a:fillRect/>
                    </a:stretch>
                  </pic:blipFill>
                  <pic:spPr bwMode="auto">
                    <a:xfrm>
                      <a:off x="0" y="0"/>
                      <a:ext cx="842645" cy="75565"/>
                    </a:xfrm>
                    <a:prstGeom prst="rect">
                      <a:avLst/>
                    </a:prstGeom>
                    <a:noFill/>
                  </pic:spPr>
                </pic:pic>
              </a:graphicData>
            </a:graphic>
          </wp:anchor>
        </w:drawing>
      </w:r>
    </w:p>
    <w:p>
      <w:pPr>
        <w:spacing w:after="0" w:line="261" w:lineRule="exact"/>
        <w:rPr>
          <w:sz w:val="20"/>
          <w:szCs w:val="20"/>
          <w:color w:val="auto"/>
        </w:rPr>
      </w:pPr>
    </w:p>
    <w:p>
      <w:pPr>
        <w:ind w:left="325" w:hanging="325"/>
        <w:spacing w:after="0"/>
        <w:tabs>
          <w:tab w:leader="none" w:pos="325" w:val="left"/>
        </w:tabs>
        <w:numPr>
          <w:ilvl w:val="0"/>
          <w:numId w:val="82"/>
        </w:numPr>
        <w:rPr>
          <w:rFonts w:ascii="Arial" w:cs="Arial" w:eastAsia="Arial" w:hAnsi="Arial"/>
          <w:sz w:val="20"/>
          <w:szCs w:val="20"/>
          <w:b w:val="1"/>
          <w:bCs w:val="1"/>
          <w:color w:val="00162F"/>
        </w:rPr>
      </w:pPr>
      <w:r>
        <w:rPr>
          <w:rFonts w:ascii="Arial" w:cs="Arial" w:eastAsia="Arial" w:hAnsi="Arial"/>
          <w:sz w:val="20"/>
          <w:szCs w:val="20"/>
          <w:b w:val="1"/>
          <w:bCs w:val="1"/>
          <w:color w:val="00162F"/>
        </w:rPr>
        <w:t>Commitments, Contingencies and Guarantees</w:t>
      </w:r>
    </w:p>
    <w:p>
      <w:pPr>
        <w:spacing w:after="0" w:line="98" w:lineRule="exact"/>
        <w:rPr>
          <w:rFonts w:ascii="Arial" w:cs="Arial" w:eastAsia="Arial" w:hAnsi="Arial"/>
          <w:sz w:val="20"/>
          <w:szCs w:val="20"/>
          <w:b w:val="1"/>
          <w:bCs w:val="1"/>
          <w:color w:val="00162F"/>
        </w:rPr>
      </w:pPr>
    </w:p>
    <w:p>
      <w:pPr>
        <w:ind w:left="565" w:hanging="298"/>
        <w:spacing w:after="0"/>
        <w:tabs>
          <w:tab w:leader="none" w:pos="565" w:val="left"/>
        </w:tabs>
        <w:numPr>
          <w:ilvl w:val="1"/>
          <w:numId w:val="82"/>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Aircraft, Engine and Other Purchase Commitments</w:t>
      </w:r>
    </w:p>
    <w:p>
      <w:pPr>
        <w:spacing w:after="0" w:line="95" w:lineRule="exact"/>
        <w:rPr>
          <w:sz w:val="20"/>
          <w:szCs w:val="20"/>
          <w:color w:val="auto"/>
        </w:rPr>
      </w:pPr>
    </w:p>
    <w:p>
      <w:pPr>
        <w:ind w:left="5" w:firstLine="267"/>
        <w:spacing w:after="0" w:line="282" w:lineRule="auto"/>
        <w:rPr>
          <w:sz w:val="20"/>
          <w:szCs w:val="20"/>
          <w:color w:val="auto"/>
        </w:rPr>
      </w:pPr>
      <w:r>
        <w:rPr>
          <w:rFonts w:ascii="Arial" w:cs="Arial" w:eastAsia="Arial" w:hAnsi="Arial"/>
          <w:sz w:val="20"/>
          <w:szCs w:val="20"/>
          <w:color w:val="00162F"/>
        </w:rPr>
        <w:t>Under all of American’s aircraft and engine purchase agreements, its total future commitments as of December 31, 2025 are expected to be as follows (approximately, in millions):</w:t>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00162F"/>
              </w:rPr>
              <w:t>2026</w:t>
            </w:r>
          </w:p>
        </w:tc>
        <w:tc>
          <w:tcPr>
            <w:tcW w:w="60" w:type="dxa"/>
            <w:vAlign w:val="bottom"/>
            <w:vMerge w:val="restart"/>
          </w:tcPr>
          <w:p>
            <w:pPr>
              <w:spacing w:after="0"/>
              <w:rPr>
                <w:sz w:val="16"/>
                <w:szCs w:val="16"/>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00162F"/>
              </w:rPr>
              <w:t>2027</w:t>
            </w:r>
          </w:p>
        </w:tc>
        <w:tc>
          <w:tcPr>
            <w:tcW w:w="80" w:type="dxa"/>
            <w:vAlign w:val="bottom"/>
            <w:vMerge w:val="restart"/>
          </w:tcPr>
          <w:p>
            <w:pPr>
              <w:spacing w:after="0"/>
              <w:rPr>
                <w:sz w:val="16"/>
                <w:szCs w:val="16"/>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00162F"/>
              </w:rPr>
              <w:t>2028</w:t>
            </w:r>
          </w:p>
        </w:tc>
        <w:tc>
          <w:tcPr>
            <w:tcW w:w="60" w:type="dxa"/>
            <w:vAlign w:val="bottom"/>
            <w:vMerge w:val="restart"/>
          </w:tcPr>
          <w:p>
            <w:pPr>
              <w:spacing w:after="0"/>
              <w:rPr>
                <w:sz w:val="16"/>
                <w:szCs w:val="16"/>
                <w:color w:val="auto"/>
              </w:rPr>
            </w:pPr>
          </w:p>
        </w:tc>
        <w:tc>
          <w:tcPr>
            <w:tcW w:w="82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00162F"/>
              </w:rPr>
              <w:t>2029</w:t>
            </w:r>
          </w:p>
        </w:tc>
        <w:tc>
          <w:tcPr>
            <w:tcW w:w="80" w:type="dxa"/>
            <w:vAlign w:val="bottom"/>
            <w:vMerge w:val="restart"/>
          </w:tcPr>
          <w:p>
            <w:pPr>
              <w:spacing w:after="0"/>
              <w:rPr>
                <w:sz w:val="16"/>
                <w:szCs w:val="16"/>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00162F"/>
              </w:rPr>
              <w:t>2030</w:t>
            </w:r>
          </w:p>
        </w:tc>
        <w:tc>
          <w:tcPr>
            <w:tcW w:w="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00162F"/>
                <w:w w:val="99"/>
              </w:rPr>
              <w:t>2031 and</w:t>
            </w:r>
          </w:p>
        </w:tc>
        <w:tc>
          <w:tcPr>
            <w:tcW w:w="6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00162F"/>
                <w:w w:val="99"/>
              </w:rPr>
              <w:t>Total</w:t>
            </w:r>
          </w:p>
        </w:tc>
        <w:tc>
          <w:tcPr>
            <w:tcW w:w="0" w:type="dxa"/>
            <w:vAlign w:val="bottom"/>
          </w:tcPr>
          <w:p>
            <w:pPr>
              <w:spacing w:after="0"/>
              <w:rPr>
                <w:sz w:val="1"/>
                <w:szCs w:val="1"/>
                <w:color w:val="auto"/>
              </w:rPr>
            </w:pPr>
          </w:p>
        </w:tc>
      </w:tr>
      <w:tr>
        <w:trPr>
          <w:trHeight w:val="211"/>
        </w:trPr>
        <w:tc>
          <w:tcPr>
            <w:tcW w:w="4440" w:type="dxa"/>
            <w:vAlign w:val="bottom"/>
            <w:tcBorders>
              <w:bottom w:val="single" w:sz="8" w:color="EDEDED"/>
            </w:tcBorders>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920" w:type="dxa"/>
            <w:vAlign w:val="bottom"/>
            <w:tcBorders>
              <w:bottom w:val="single" w:sz="8" w:color="00162F"/>
            </w:tcBorders>
          </w:tcPr>
          <w:p>
            <w:pPr>
              <w:jc w:val="center"/>
              <w:spacing w:after="0"/>
              <w:rPr>
                <w:sz w:val="20"/>
                <w:szCs w:val="20"/>
                <w:color w:val="auto"/>
              </w:rPr>
            </w:pPr>
            <w:r>
              <w:rPr>
                <w:rFonts w:ascii="Arial" w:cs="Arial" w:eastAsia="Arial" w:hAnsi="Arial"/>
                <w:sz w:val="16"/>
                <w:szCs w:val="16"/>
                <w:b w:val="1"/>
                <w:bCs w:val="1"/>
                <w:color w:val="00162F"/>
                <w:w w:val="97"/>
              </w:rPr>
              <w:t>Thereafter</w:t>
            </w:r>
          </w:p>
        </w:tc>
        <w:tc>
          <w:tcPr>
            <w:tcW w:w="60" w:type="dxa"/>
            <w:vAlign w:val="bottom"/>
            <w:tcBorders>
              <w:bottom w:val="single" w:sz="8" w:color="EDEDED"/>
            </w:tcBorders>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440" w:type="dxa"/>
            <w:vAlign w:val="bottom"/>
            <w:shd w:val="clear" w:color="auto" w:fill="EDEDED"/>
          </w:tcPr>
          <w:p>
            <w:pPr>
              <w:ind w:left="40"/>
              <w:spacing w:after="0"/>
              <w:rPr>
                <w:sz w:val="20"/>
                <w:szCs w:val="20"/>
                <w:color w:val="auto"/>
              </w:rPr>
            </w:pPr>
            <w:r>
              <w:rPr>
                <w:rFonts w:ascii="Arial" w:cs="Arial" w:eastAsia="Arial" w:hAnsi="Arial"/>
                <w:sz w:val="20"/>
                <w:szCs w:val="20"/>
                <w:color w:val="00162F"/>
                <w:shd w:val="clear" w:color="auto" w:fill="EDEDED"/>
              </w:rPr>
              <w:t xml:space="preserve">Payments for aircraft and engine commitments </w:t>
            </w:r>
            <w:r>
              <w:rPr>
                <w:rFonts w:ascii="Arial" w:cs="Arial" w:eastAsia="Arial" w:hAnsi="Arial"/>
                <w:sz w:val="12"/>
                <w:szCs w:val="12"/>
                <w:color w:val="00162F"/>
                <w:shd w:val="clear" w:color="auto" w:fill="EDEDED"/>
              </w:rPr>
              <w:t>(1)</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shd w:val="clear" w:color="auto" w:fill="EDEDED"/>
              </w:rPr>
              <w:t>$ 2,931</w:t>
            </w:r>
          </w:p>
        </w:tc>
        <w:tc>
          <w:tcPr>
            <w:tcW w:w="8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shd w:val="clear" w:color="auto" w:fill="EDEDED"/>
              </w:rPr>
              <w:t>$ 2,468</w:t>
            </w:r>
          </w:p>
        </w:tc>
        <w:tc>
          <w:tcPr>
            <w:tcW w:w="90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shd w:val="clear" w:color="auto" w:fill="EDEDED"/>
              </w:rPr>
              <w:t>$ 4,021</w:t>
            </w:r>
          </w:p>
        </w:tc>
        <w:tc>
          <w:tcPr>
            <w:tcW w:w="8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shd w:val="clear" w:color="auto" w:fill="EDEDED"/>
              </w:rPr>
              <w:t>$ 4,921</w:t>
            </w:r>
          </w:p>
        </w:tc>
        <w:tc>
          <w:tcPr>
            <w:tcW w:w="90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shd w:val="clear" w:color="auto" w:fill="EDEDED"/>
              </w:rPr>
              <w:t>$ 3,151</w:t>
            </w:r>
          </w:p>
        </w:tc>
        <w:tc>
          <w:tcPr>
            <w:tcW w:w="980" w:type="dxa"/>
            <w:vAlign w:val="bottom"/>
            <w:gridSpan w:val="2"/>
            <w:shd w:val="clear" w:color="auto" w:fill="EDEDED"/>
          </w:tcPr>
          <w:p>
            <w:pPr>
              <w:jc w:val="center"/>
              <w:spacing w:after="0"/>
              <w:rPr>
                <w:sz w:val="20"/>
                <w:szCs w:val="20"/>
                <w:color w:val="auto"/>
              </w:rPr>
            </w:pPr>
            <w:r>
              <w:rPr>
                <w:rFonts w:ascii="Arial" w:cs="Arial" w:eastAsia="Arial" w:hAnsi="Arial"/>
                <w:sz w:val="20"/>
                <w:szCs w:val="20"/>
                <w:color w:val="00162F"/>
                <w:shd w:val="clear" w:color="auto" w:fill="EDEDED"/>
              </w:rPr>
              <w:t>$  6,696</w:t>
            </w:r>
          </w:p>
        </w:tc>
        <w:tc>
          <w:tcPr>
            <w:tcW w:w="88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shd w:val="clear" w:color="auto" w:fill="EDEDED"/>
              </w:rPr>
              <w:t>$24,188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2794000</wp:posOffset>
            </wp:positionH>
            <wp:positionV relativeFrom="paragraph">
              <wp:posOffset>-203835</wp:posOffset>
            </wp:positionV>
            <wp:extent cx="4019550" cy="501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2">
                      <a:extLst>
                        <a:ext uri="{28A0092B-C50C-407E-A947-70E740481C1C}"/>
                      </a:extLst>
                    </a:blip>
                    <a:srcRect/>
                    <a:stretch>
                      <a:fillRect/>
                    </a:stretch>
                  </pic:blipFill>
                  <pic:spPr bwMode="auto">
                    <a:xfrm>
                      <a:off x="0" y="0"/>
                      <a:ext cx="4019550" cy="501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103505</wp:posOffset>
            </wp:positionV>
            <wp:extent cx="1254125" cy="127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3">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197" w:lineRule="exact"/>
        <w:rPr>
          <w:sz w:val="20"/>
          <w:szCs w:val="20"/>
          <w:color w:val="auto"/>
        </w:rPr>
      </w:pPr>
    </w:p>
    <w:p>
      <w:pPr>
        <w:jc w:val="both"/>
        <w:ind w:left="365" w:hanging="365"/>
        <w:spacing w:after="0" w:line="265" w:lineRule="auto"/>
        <w:tabs>
          <w:tab w:leader="none" w:pos="365" w:val="left"/>
        </w:tabs>
        <w:numPr>
          <w:ilvl w:val="0"/>
          <w:numId w:val="83"/>
        </w:numPr>
        <w:rPr>
          <w:rFonts w:ascii="Arial" w:cs="Arial" w:eastAsia="Arial" w:hAnsi="Arial"/>
          <w:sz w:val="13"/>
          <w:szCs w:val="13"/>
          <w:color w:val="00162F"/>
        </w:rPr>
      </w:pPr>
      <w:r>
        <w:rPr>
          <w:rFonts w:ascii="Arial" w:cs="Arial" w:eastAsia="Arial" w:hAnsi="Arial"/>
          <w:sz w:val="20"/>
          <w:szCs w:val="20"/>
          <w:color w:val="00162F"/>
        </w:rPr>
        <w:t>These amounts are net of purchase deposits currently held by the equipment manufacturers. American’s purchase deposits held by such manufacturers totaled $656 million and $1.0 billion as of December 31, 2025 and 2024, respectively.</w:t>
      </w:r>
    </w:p>
    <w:p>
      <w:pPr>
        <w:spacing w:after="0" w:line="129" w:lineRule="exact"/>
        <w:rPr>
          <w:sz w:val="20"/>
          <w:szCs w:val="20"/>
          <w:color w:val="auto"/>
        </w:rPr>
      </w:pPr>
    </w:p>
    <w:p>
      <w:pPr>
        <w:jc w:val="both"/>
        <w:ind w:left="365"/>
        <w:spacing w:after="0" w:line="256" w:lineRule="auto"/>
        <w:rPr>
          <w:sz w:val="20"/>
          <w:szCs w:val="20"/>
          <w:color w:val="auto"/>
        </w:rPr>
      </w:pPr>
      <w:r>
        <w:rPr>
          <w:rFonts w:ascii="Arial" w:cs="Arial" w:eastAsia="Arial" w:hAnsi="Arial"/>
          <w:sz w:val="20"/>
          <w:szCs w:val="20"/>
          <w:color w:val="00162F"/>
        </w:rPr>
        <w:t>Due to uncertainty surrounding the timing of delivery of certain aircraft, the amounts in the table represent American’s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equipment manufacturers and regulatory concerns.</w:t>
      </w:r>
    </w:p>
    <w:p>
      <w:pPr>
        <w:spacing w:after="0" w:line="139" w:lineRule="exact"/>
        <w:rPr>
          <w:sz w:val="20"/>
          <w:szCs w:val="20"/>
          <w:color w:val="auto"/>
        </w:rPr>
      </w:pPr>
    </w:p>
    <w:p>
      <w:pPr>
        <w:jc w:val="both"/>
        <w:ind w:left="5" w:firstLine="267"/>
        <w:spacing w:after="0" w:line="285" w:lineRule="auto"/>
        <w:rPr>
          <w:sz w:val="20"/>
          <w:szCs w:val="20"/>
          <w:color w:val="auto"/>
        </w:rPr>
      </w:pPr>
      <w:r>
        <w:rPr>
          <w:rFonts w:ascii="Arial" w:cs="Arial" w:eastAsia="Arial" w:hAnsi="Arial"/>
          <w:sz w:val="19"/>
          <w:szCs w:val="19"/>
          <w:color w:val="00162F"/>
        </w:rPr>
        <w:t>Additionally, American has other purchase commitments primarily related to aircraft fuel, flight equipment maintenance and information technology support as follows (approximately): $4.1 billion in 2026, $1.8 billion in 2027, $1.6 billion in 2028, $493 million in 2029, $615 million in 2030 and $3.7 billion in 2031 and thereafter. These amounts exclude</w:t>
      </w:r>
    </w:p>
    <w:p>
      <w:pPr>
        <w:sectPr>
          <w:pgSz w:w="11880" w:h="15480" w:orient="portrait"/>
          <w:cols w:equalWidth="0" w:num="1">
            <w:col w:w="10685"/>
          </w:cols>
          <w:pgMar w:left="595" w:top="249" w:right="600" w:bottom="0" w:gutter="0" w:footer="0" w:header="0"/>
        </w:sectPr>
      </w:pPr>
    </w:p>
    <w:p>
      <w:pPr>
        <w:spacing w:after="0" w:line="382"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161</w:t>
      </w:r>
    </w:p>
    <w:p>
      <w:pPr>
        <w:sectPr>
          <w:pgSz w:w="11880" w:h="15480" w:orient="portrait"/>
          <w:cols w:equalWidth="0" w:num="1">
            <w:col w:w="10685"/>
          </w:cols>
          <w:pgMar w:left="595" w:top="249" w:right="600" w:bottom="0" w:gutter="0" w:footer="0" w:header="0"/>
          <w:type w:val="continuous"/>
        </w:sectPr>
      </w:pPr>
    </w:p>
    <w:bookmarkStart w:id="162" w:name="page163"/>
    <w:bookmarkEnd w:id="162"/>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ind w:left="5"/>
        <w:spacing w:after="0" w:line="282" w:lineRule="auto"/>
        <w:rPr>
          <w:sz w:val="20"/>
          <w:szCs w:val="20"/>
          <w:color w:val="auto"/>
        </w:rPr>
      </w:pPr>
      <w:r>
        <w:rPr>
          <w:rFonts w:ascii="Arial" w:cs="Arial" w:eastAsia="Arial" w:hAnsi="Arial"/>
          <w:sz w:val="20"/>
          <w:szCs w:val="20"/>
          <w:color w:val="00162F"/>
        </w:rPr>
        <w:t>obligations under certain fuel offtake agreements or other agreements for which the timing of the related expenditure is uncertain, or which are subject to material contingencies, such as the construction of a production facility.</w:t>
      </w:r>
    </w:p>
    <w:p>
      <w:pPr>
        <w:spacing w:after="0" w:line="203"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(b) Capacity Purchase Agreements with Third-Party Regional Carriers</w:t>
      </w:r>
    </w:p>
    <w:p>
      <w:pPr>
        <w:spacing w:after="0" w:line="95" w:lineRule="exact"/>
        <w:rPr>
          <w:sz w:val="20"/>
          <w:szCs w:val="20"/>
          <w:color w:val="auto"/>
        </w:rPr>
      </w:pPr>
    </w:p>
    <w:p>
      <w:pPr>
        <w:jc w:val="both"/>
        <w:ind w:left="5" w:firstLine="267"/>
        <w:spacing w:after="0" w:line="254" w:lineRule="auto"/>
        <w:rPr>
          <w:sz w:val="20"/>
          <w:szCs w:val="20"/>
          <w:color w:val="auto"/>
        </w:rPr>
      </w:pPr>
      <w:r>
        <w:rPr>
          <w:rFonts w:ascii="Arial" w:cs="Arial" w:eastAsia="Arial" w:hAnsi="Arial"/>
          <w:sz w:val="20"/>
          <w:szCs w:val="20"/>
          <w:color w:val="00162F"/>
        </w:rPr>
        <w:t>American has capacity purchase agreements with third-party regional carriers. The capacity purchase agreements provide that all revenues, including passenger, in-flight, ancillary, mail and freight revenues, go to American. American controls marketing, scheduling, ticketing, pricing and seat inventories.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w:t>
      </w:r>
    </w:p>
    <w:p>
      <w:pPr>
        <w:spacing w:after="0" w:line="143"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As of December 31, 2025, American’s capacity purchase agreements with third-party regional carriers had expiration dates ranging from 2032 to 2033, with rights of American to extend the respective terms of certain agreements.</w:t>
      </w:r>
    </w:p>
    <w:p>
      <w:pPr>
        <w:spacing w:after="0" w:line="113" w:lineRule="exact"/>
        <w:rPr>
          <w:sz w:val="20"/>
          <w:szCs w:val="20"/>
          <w:color w:val="auto"/>
        </w:rPr>
      </w:pPr>
    </w:p>
    <w:p>
      <w:pPr>
        <w:jc w:val="both"/>
        <w:ind w:left="5" w:firstLine="267"/>
        <w:spacing w:after="0" w:line="282" w:lineRule="auto"/>
        <w:rPr>
          <w:sz w:val="20"/>
          <w:szCs w:val="20"/>
          <w:color w:val="auto"/>
        </w:rPr>
      </w:pPr>
      <w:r>
        <w:rPr>
          <w:rFonts w:ascii="Arial" w:cs="Arial" w:eastAsia="Arial" w:hAnsi="Arial"/>
          <w:sz w:val="20"/>
          <w:szCs w:val="20"/>
          <w:color w:val="00162F"/>
        </w:rPr>
        <w:t>As of December 31, 2025, American’s commitments under its capacity purchase agreements with third-party regional carriers are expected to be as follows (approximately, in millions):</w:t>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00162F"/>
              </w:rPr>
              <w:t>2026</w:t>
            </w:r>
          </w:p>
        </w:tc>
        <w:tc>
          <w:tcPr>
            <w:tcW w:w="60" w:type="dxa"/>
            <w:vAlign w:val="bottom"/>
            <w:vMerge w:val="restart"/>
          </w:tcPr>
          <w:p>
            <w:pPr>
              <w:spacing w:after="0"/>
              <w:rPr>
                <w:sz w:val="16"/>
                <w:szCs w:val="16"/>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00162F"/>
              </w:rPr>
              <w:t>2027</w:t>
            </w:r>
          </w:p>
        </w:tc>
        <w:tc>
          <w:tcPr>
            <w:tcW w:w="80" w:type="dxa"/>
            <w:vAlign w:val="bottom"/>
            <w:vMerge w:val="restart"/>
          </w:tcPr>
          <w:p>
            <w:pPr>
              <w:spacing w:after="0"/>
              <w:rPr>
                <w:sz w:val="16"/>
                <w:szCs w:val="16"/>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00162F"/>
              </w:rPr>
              <w:t>2028</w:t>
            </w:r>
          </w:p>
        </w:tc>
        <w:tc>
          <w:tcPr>
            <w:tcW w:w="60" w:type="dxa"/>
            <w:vAlign w:val="bottom"/>
            <w:vMerge w:val="restart"/>
          </w:tcPr>
          <w:p>
            <w:pPr>
              <w:spacing w:after="0"/>
              <w:rPr>
                <w:sz w:val="16"/>
                <w:szCs w:val="16"/>
                <w:color w:val="auto"/>
              </w:rPr>
            </w:pPr>
          </w:p>
        </w:tc>
        <w:tc>
          <w:tcPr>
            <w:tcW w:w="82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00162F"/>
              </w:rPr>
              <w:t>2029</w:t>
            </w:r>
          </w:p>
        </w:tc>
        <w:tc>
          <w:tcPr>
            <w:tcW w:w="80" w:type="dxa"/>
            <w:vAlign w:val="bottom"/>
            <w:vMerge w:val="restart"/>
          </w:tcPr>
          <w:p>
            <w:pPr>
              <w:spacing w:after="0"/>
              <w:rPr>
                <w:sz w:val="16"/>
                <w:szCs w:val="16"/>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00162F"/>
              </w:rPr>
              <w:t>2030</w:t>
            </w:r>
          </w:p>
        </w:tc>
        <w:tc>
          <w:tcPr>
            <w:tcW w:w="6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00162F"/>
              </w:rPr>
              <w:t>2031 and</w:t>
            </w:r>
          </w:p>
        </w:tc>
        <w:tc>
          <w:tcPr>
            <w:tcW w:w="6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00162F"/>
                <w:w w:val="99"/>
              </w:rPr>
              <w:t>Total</w:t>
            </w:r>
          </w:p>
        </w:tc>
        <w:tc>
          <w:tcPr>
            <w:tcW w:w="0" w:type="dxa"/>
            <w:vAlign w:val="bottom"/>
          </w:tcPr>
          <w:p>
            <w:pPr>
              <w:spacing w:after="0"/>
              <w:rPr>
                <w:sz w:val="1"/>
                <w:szCs w:val="1"/>
                <w:color w:val="auto"/>
              </w:rPr>
            </w:pPr>
          </w:p>
        </w:tc>
      </w:tr>
      <w:tr>
        <w:trPr>
          <w:trHeight w:val="211"/>
        </w:trPr>
        <w:tc>
          <w:tcPr>
            <w:tcW w:w="4440" w:type="dxa"/>
            <w:vAlign w:val="bottom"/>
            <w:tcBorders>
              <w:bottom w:val="single" w:sz="8" w:color="EDEDED"/>
            </w:tcBorders>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80" w:type="dxa"/>
            <w:vAlign w:val="bottom"/>
            <w:tcBorders>
              <w:bottom w:val="single" w:sz="8" w:color="EDEDED"/>
            </w:tcBorders>
            <w:vMerge w:val="continue"/>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60" w:type="dxa"/>
            <w:vAlign w:val="bottom"/>
            <w:tcBorders>
              <w:bottom w:val="single" w:sz="8" w:color="EDEDED"/>
            </w:tcBorders>
          </w:tcPr>
          <w:p>
            <w:pPr>
              <w:spacing w:after="0"/>
              <w:rPr>
                <w:sz w:val="18"/>
                <w:szCs w:val="18"/>
                <w:color w:val="auto"/>
              </w:rPr>
            </w:pPr>
          </w:p>
        </w:tc>
        <w:tc>
          <w:tcPr>
            <w:tcW w:w="920" w:type="dxa"/>
            <w:vAlign w:val="bottom"/>
            <w:tcBorders>
              <w:bottom w:val="single" w:sz="8" w:color="00162F"/>
            </w:tcBorders>
            <w:gridSpan w:val="2"/>
          </w:tcPr>
          <w:p>
            <w:pPr>
              <w:ind w:left="80"/>
              <w:spacing w:after="0"/>
              <w:rPr>
                <w:sz w:val="20"/>
                <w:szCs w:val="20"/>
                <w:color w:val="auto"/>
              </w:rPr>
            </w:pPr>
            <w:r>
              <w:rPr>
                <w:rFonts w:ascii="Arial" w:cs="Arial" w:eastAsia="Arial" w:hAnsi="Arial"/>
                <w:sz w:val="16"/>
                <w:szCs w:val="16"/>
                <w:b w:val="1"/>
                <w:bCs w:val="1"/>
                <w:color w:val="00162F"/>
              </w:rPr>
              <w:t>Thereafter</w:t>
            </w:r>
          </w:p>
        </w:tc>
        <w:tc>
          <w:tcPr>
            <w:tcW w:w="60" w:type="dxa"/>
            <w:vAlign w:val="bottom"/>
            <w:tcBorders>
              <w:bottom w:val="single" w:sz="8" w:color="EDEDED"/>
            </w:tcBorders>
          </w:tcPr>
          <w:p>
            <w:pPr>
              <w:spacing w:after="0"/>
              <w:rPr>
                <w:sz w:val="18"/>
                <w:szCs w:val="18"/>
                <w:color w:val="auto"/>
              </w:rPr>
            </w:pPr>
          </w:p>
        </w:tc>
        <w:tc>
          <w:tcPr>
            <w:tcW w:w="820" w:type="dxa"/>
            <w:vAlign w:val="bottom"/>
            <w:tcBorders>
              <w:bottom w:val="single" w:sz="8" w:color="00162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44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 xml:space="preserve">Regional capacity purchase agreements </w:t>
            </w:r>
            <w:r>
              <w:rPr>
                <w:rFonts w:ascii="Arial" w:cs="Arial" w:eastAsia="Arial" w:hAnsi="Arial"/>
                <w:sz w:val="12"/>
                <w:szCs w:val="12"/>
                <w:color w:val="00162F"/>
              </w:rPr>
              <w:t>(1)</w:t>
            </w:r>
          </w:p>
        </w:tc>
        <w:tc>
          <w:tcPr>
            <w:tcW w:w="8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$ 1,159</w:t>
            </w:r>
          </w:p>
        </w:tc>
        <w:tc>
          <w:tcPr>
            <w:tcW w:w="8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$ 1,156</w:t>
            </w:r>
          </w:p>
        </w:tc>
        <w:tc>
          <w:tcPr>
            <w:tcW w:w="90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$ 1,082</w:t>
            </w:r>
          </w:p>
        </w:tc>
        <w:tc>
          <w:tcPr>
            <w:tcW w:w="8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900</w:t>
            </w:r>
          </w:p>
        </w:tc>
        <w:tc>
          <w:tcPr>
            <w:tcW w:w="90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457</w:t>
            </w:r>
          </w:p>
        </w:tc>
        <w:tc>
          <w:tcPr>
            <w:tcW w:w="400" w:type="dxa"/>
            <w:vAlign w:val="bottom"/>
            <w:gridSpan w:val="2"/>
            <w:shd w:val="clear" w:color="auto" w:fill="EDEDED"/>
          </w:tcPr>
          <w:p>
            <w:pPr>
              <w:ind w:left="120"/>
              <w:spacing w:after="0"/>
              <w:rPr>
                <w:sz w:val="20"/>
                <w:szCs w:val="20"/>
                <w:color w:val="auto"/>
              </w:rPr>
            </w:pPr>
            <w:r>
              <w:rPr>
                <w:rFonts w:ascii="Arial" w:cs="Arial" w:eastAsia="Arial" w:hAnsi="Arial"/>
                <w:sz w:val="20"/>
                <w:szCs w:val="20"/>
                <w:color w:val="00162F"/>
              </w:rPr>
              <w:t>$</w:t>
            </w:r>
          </w:p>
        </w:tc>
        <w:tc>
          <w:tcPr>
            <w:tcW w:w="5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399</w:t>
            </w:r>
          </w:p>
        </w:tc>
        <w:tc>
          <w:tcPr>
            <w:tcW w:w="880" w:type="dxa"/>
            <w:vAlign w:val="bottom"/>
            <w:gridSpan w:val="2"/>
            <w:shd w:val="clear" w:color="auto" w:fill="EDEDED"/>
          </w:tcPr>
          <w:p>
            <w:pPr>
              <w:jc w:val="right"/>
              <w:ind w:right="1"/>
              <w:spacing w:after="0"/>
              <w:rPr>
                <w:sz w:val="20"/>
                <w:szCs w:val="20"/>
                <w:color w:val="auto"/>
              </w:rPr>
            </w:pPr>
            <w:r>
              <w:rPr>
                <w:rFonts w:ascii="Arial" w:cs="Arial" w:eastAsia="Arial" w:hAnsi="Arial"/>
                <w:sz w:val="20"/>
                <w:szCs w:val="20"/>
                <w:color w:val="00162F"/>
              </w:rPr>
              <w:t>$ 5,153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-200660</wp:posOffset>
            </wp:positionV>
            <wp:extent cx="399478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4">
                      <a:extLst>
                        <a:ext uri="{28A0092B-C50C-407E-A947-70E740481C1C}"/>
                      </a:extLst>
                    </a:blip>
                    <a:srcRect/>
                    <a:stretch>
                      <a:fillRect/>
                    </a:stretch>
                  </pic:blipFill>
                  <pic:spPr bwMode="auto">
                    <a:xfrm>
                      <a:off x="0" y="0"/>
                      <a:ext cx="399478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103505</wp:posOffset>
            </wp:positionV>
            <wp:extent cx="1254125" cy="127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5">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pacing w:after="0" w:line="197" w:lineRule="exact"/>
        <w:rPr>
          <w:sz w:val="20"/>
          <w:szCs w:val="20"/>
          <w:color w:val="auto"/>
        </w:rPr>
      </w:pPr>
    </w:p>
    <w:p>
      <w:pPr>
        <w:ind w:left="365" w:hanging="365"/>
        <w:spacing w:after="0" w:line="282" w:lineRule="auto"/>
        <w:tabs>
          <w:tab w:leader="none" w:pos="365" w:val="left"/>
        </w:tabs>
        <w:numPr>
          <w:ilvl w:val="0"/>
          <w:numId w:val="84"/>
        </w:numPr>
        <w:rPr>
          <w:rFonts w:ascii="Arial" w:cs="Arial" w:eastAsia="Arial" w:hAnsi="Arial"/>
          <w:sz w:val="13"/>
          <w:szCs w:val="13"/>
          <w:color w:val="00162F"/>
        </w:rPr>
      </w:pPr>
      <w:r>
        <w:rPr>
          <w:rFonts w:ascii="Arial" w:cs="Arial" w:eastAsia="Arial" w:hAnsi="Arial"/>
          <w:sz w:val="20"/>
          <w:szCs w:val="20"/>
          <w:color w:val="00162F"/>
        </w:rPr>
        <w:t>These commitments are estimates of costs based on assumed minimum levels of flying under the capacity purchase agreements and American’s actual payments could differ materially.</w:t>
      </w:r>
    </w:p>
    <w:p>
      <w:pPr>
        <w:spacing w:after="0" w:line="203"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(c) Construction Projects</w:t>
      </w:r>
    </w:p>
    <w:p>
      <w:pPr>
        <w:spacing w:after="0" w:line="97" w:lineRule="exact"/>
        <w:rPr>
          <w:sz w:val="20"/>
          <w:szCs w:val="20"/>
          <w:color w:val="auto"/>
        </w:rPr>
      </w:pPr>
    </w:p>
    <w:p>
      <w:pPr>
        <w:ind w:left="265"/>
        <w:spacing w:after="0"/>
        <w:rPr>
          <w:sz w:val="20"/>
          <w:szCs w:val="20"/>
          <w:color w:val="auto"/>
        </w:rPr>
      </w:pPr>
      <w:r>
        <w:rPr>
          <w:rFonts w:ascii="Arial" w:cs="Arial" w:eastAsia="Arial" w:hAnsi="Arial"/>
          <w:sz w:val="20"/>
          <w:szCs w:val="20"/>
          <w:i w:val="1"/>
          <w:iCs w:val="1"/>
          <w:u w:val="single" w:color="auto"/>
          <w:color w:val="00162F"/>
        </w:rPr>
        <w:t>Los Angeles International Airport (LAX)</w:t>
      </w:r>
    </w:p>
    <w:p>
      <w:pPr>
        <w:spacing w:after="0" w:line="95" w:lineRule="exact"/>
        <w:rPr>
          <w:sz w:val="20"/>
          <w:szCs w:val="20"/>
          <w:color w:val="auto"/>
        </w:rPr>
      </w:pPr>
    </w:p>
    <w:p>
      <w:pPr>
        <w:jc w:val="both"/>
        <w:ind w:left="5" w:firstLine="267"/>
        <w:spacing w:after="0" w:line="250" w:lineRule="auto"/>
        <w:rPr>
          <w:sz w:val="20"/>
          <w:szCs w:val="20"/>
          <w:color w:val="auto"/>
        </w:rPr>
      </w:pPr>
      <w:r>
        <w:rPr>
          <w:rFonts w:ascii="Arial" w:cs="Arial" w:eastAsia="Arial" w:hAnsi="Arial"/>
          <w:sz w:val="20"/>
          <w:szCs w:val="20"/>
          <w:color w:val="00162F"/>
        </w:rPr>
        <w:t>In 2018, American executed a lease agreement with Los Angeles World Airports (LAWA), which owns and operates LAX, in connection with a $1.6 billion modernization project related to LAX Terminals 4 and 5. Construction started in October 2018 and is expected to be completed in 2028 in a phased approach. Under the lease agreement and subsequent project component approvals, the City of Los Angeles Board of Airport Commissioners has appropriated approximately $1.6 billion to purchase completed project assets, representing the maximum allowable reimbursement by LAWA. In September 2024, American executed an agreement to where a substantial majority of the non-proprietary project costs will be funded through the Regional Airports Improvement Corporation (RAIC), a quasigovernmental special purpose entity that acts as a conduit borrower under a syndicated credit facility provided by a group of lenders in the form of a $250 million revolving credit facility. Loans made under the credit facility are being repaid with the proceeds from LAWA’s purchase of completed project assets. American guarantees the obligation of the RAIC under the credit facility associated with the Terminals 4 and 5 lease. As of December 31, 2025, American’s outstanding guaranteed obligation under the credit facility for the Terminals 4 and 5 project was $135 million. Additionally, American has recovered $1.3 billion since project inception through the end of 2025 and expects to receive approximately $292 million in additional reimbursements by the end of 2028.</w:t>
      </w:r>
    </w:p>
    <w:p>
      <w:pPr>
        <w:spacing w:after="0" w:line="150" w:lineRule="exact"/>
        <w:rPr>
          <w:sz w:val="20"/>
          <w:szCs w:val="20"/>
          <w:color w:val="auto"/>
        </w:rPr>
      </w:pPr>
    </w:p>
    <w:p>
      <w:pPr>
        <w:jc w:val="both"/>
        <w:ind w:left="5" w:firstLine="267"/>
        <w:spacing w:after="0" w:line="252" w:lineRule="auto"/>
        <w:rPr>
          <w:sz w:val="20"/>
          <w:szCs w:val="20"/>
          <w:color w:val="auto"/>
        </w:rPr>
      </w:pPr>
      <w:r>
        <w:rPr>
          <w:rFonts w:ascii="Arial" w:cs="Arial" w:eastAsia="Arial" w:hAnsi="Arial"/>
          <w:sz w:val="20"/>
          <w:szCs w:val="20"/>
          <w:color w:val="00162F"/>
        </w:rPr>
        <w:t>As American controls the assets during construction, they are recognized on its consolidated balance sheets within operating property and equipment until the assets are sold and transferred. For the years ended December 31, 2025, 2024 and 2023, American has sold and transferred $163 million, $588 million and $170 million of non-proprietary improvements, respectively, which are included within proceeds from sale-leaseback transactions and sale of property and equipment on American’s consolidated statements of cash flows. For the years ended December 31, 2025, 2024 and 2023, American incurred $107 million, $187 million and $283 million, respectively, of non-proprietary improvement costs relating to the LAX modernization project. Cash payments related to these improvements are included within other investing activities on American’s consolidated statements of cash flows.</w:t>
      </w:r>
    </w:p>
    <w:p>
      <w:pPr>
        <w:spacing w:after="0" w:line="237" w:lineRule="exact"/>
        <w:rPr>
          <w:sz w:val="20"/>
          <w:szCs w:val="20"/>
          <w:color w:val="auto"/>
        </w:rPr>
      </w:pPr>
    </w:p>
    <w:p>
      <w:pPr>
        <w:ind w:left="265"/>
        <w:spacing w:after="0"/>
        <w:rPr>
          <w:sz w:val="20"/>
          <w:szCs w:val="20"/>
          <w:color w:val="auto"/>
        </w:rPr>
      </w:pPr>
      <w:r>
        <w:rPr>
          <w:rFonts w:ascii="Arial" w:cs="Arial" w:eastAsia="Arial" w:hAnsi="Arial"/>
          <w:sz w:val="20"/>
          <w:szCs w:val="20"/>
          <w:i w:val="1"/>
          <w:iCs w:val="1"/>
          <w:u w:val="single" w:color="auto"/>
          <w:color w:val="00162F"/>
        </w:rPr>
        <w:t>Tulsa Maintenance Base</w:t>
      </w:r>
    </w:p>
    <w:p>
      <w:pPr>
        <w:spacing w:after="0" w:line="95"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Improvements to the Tulsa Maintenance Base include the design, construction and renovation of various facilities therein. The Tulsa Maintenance Base is American’s largest maintenance facility and is an integral part of operating its mainline fleet. American has concluded that it does not control the underlying assets being constructed, and therefore, it recognizes operating lease liabilities with corresponding ROU assets on the consolidated balance sheet as individual project stages are completed and leases commence.</w:t>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162</w:t>
      </w:r>
    </w:p>
    <w:p>
      <w:pPr>
        <w:sectPr>
          <w:pgSz w:w="11880" w:h="15480" w:orient="portrait"/>
          <w:cols w:equalWidth="0" w:num="1">
            <w:col w:w="10685"/>
          </w:cols>
          <w:pgMar w:left="595" w:top="249" w:right="600" w:bottom="0"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ind w:firstLine="267"/>
        <w:spacing w:after="0" w:line="267" w:lineRule="auto"/>
        <w:rPr>
          <w:sz w:val="20"/>
          <w:szCs w:val="20"/>
          <w:color w:val="auto"/>
        </w:rPr>
      </w:pPr>
      <w:r>
        <w:rPr>
          <w:rFonts w:ascii="Arial" w:cs="Arial" w:eastAsia="Arial" w:hAnsi="Arial"/>
          <w:sz w:val="19"/>
          <w:szCs w:val="19"/>
          <w:color w:val="00162F"/>
        </w:rPr>
        <w:t>In May 2025, the Tulsa Municipal Airport Trust (TMAT) issued $400 million aggregate principal amount of special facility revenue bonds on behalf of American, with $300 million maturing on December 1, 2035 and $100 million maturing on December 1, 2040 (collectively, the 2025 TMAT Bonds). The 2025 TMAT Bond due December 1, 2035 was priced at 109% of par value and the 2025 TMAT Bond due December 1, 2040 was priced at 107% of par value. The gross proceeds from the issuance of the 2025 TMAT Bonds were approximately $432 million. Of this amount, $104 million was used to fund the redemption of the aggregate principal amount of TMAT’s outstanding 2015 special facility revenue bonds (the 2015 TMAT Bonds), and the remaining $328 million will be used to finance the cost of improvements at the Tulsa Maintenance Base, which are expected to be completed in 2028. The net proceeds received from the 2025 TMAT Bonds, offset by related project spend, are reflected within other investing activities in the consolidated statement of cash flows.</w:t>
      </w:r>
    </w:p>
    <w:p>
      <w:pPr>
        <w:spacing w:after="0" w:line="129"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The 2025 TMAT Bonds bear interest at 6.25% per annum commencing on May 8, 2025, until the day preceding the applicable maturity date, on which date the bonds will be subject to mandatory tender for purchase by American. American is required to pay rent equal to the annual principal and interest requirement on the 2025 TMAT Bonds through payments under a sublease agreement with TMAT (as amended), and AAG guarantees the 2025 TMAT Bonds. American’s obligations under both the sublease agreement with TMAT and the 2025 TMAT Bonds are secured by a leasehold mortgage on American’s lease of the Tulsa Maintenance Base.</w:t>
      </w:r>
    </w:p>
    <w:p>
      <w:pPr>
        <w:spacing w:after="0" w:line="233" w:lineRule="exact"/>
        <w:rPr>
          <w:sz w:val="20"/>
          <w:szCs w:val="20"/>
          <w:color w:val="auto"/>
        </w:rPr>
      </w:pPr>
    </w:p>
    <w:p>
      <w:pPr>
        <w:ind w:left="260" w:right="7020" w:firstLine="2"/>
        <w:spacing w:after="0" w:line="340" w:lineRule="auto"/>
        <w:tabs>
          <w:tab w:leader="none" w:pos="567" w:val="left"/>
        </w:tabs>
        <w:numPr>
          <w:ilvl w:val="0"/>
          <w:numId w:val="85"/>
        </w:numPr>
        <w:rPr>
          <w:rFonts w:ascii="Arial" w:cs="Arial" w:eastAsia="Arial" w:hAnsi="Arial"/>
          <w:sz w:val="20"/>
          <w:szCs w:val="20"/>
          <w:b w:val="1"/>
          <w:bCs w:val="1"/>
          <w:i w:val="1"/>
          <w:iCs w:val="1"/>
          <w:color w:val="00162F"/>
        </w:rPr>
      </w:pPr>
      <w:r>
        <w:rPr>
          <w:rFonts w:ascii="Arial" w:cs="Arial" w:eastAsia="Arial" w:hAnsi="Arial"/>
          <w:sz w:val="20"/>
          <w:szCs w:val="20"/>
          <w:b w:val="1"/>
          <w:bCs w:val="1"/>
          <w:i w:val="1"/>
          <w:iCs w:val="1"/>
          <w:color w:val="00162F"/>
        </w:rPr>
        <w:t xml:space="preserve">Off-Balance Sheet Arrangements </w:t>
      </w:r>
      <w:r>
        <w:rPr>
          <w:rFonts w:ascii="Arial" w:cs="Arial" w:eastAsia="Arial" w:hAnsi="Arial"/>
          <w:sz w:val="20"/>
          <w:szCs w:val="20"/>
          <w:i w:val="1"/>
          <w:iCs w:val="1"/>
          <w:u w:val="single" w:color="auto"/>
          <w:color w:val="00162F"/>
        </w:rPr>
        <w:t>Pass-Through Trusts</w:t>
      </w:r>
    </w:p>
    <w:p>
      <w:pPr>
        <w:jc w:val="both"/>
        <w:ind w:firstLine="267"/>
        <w:spacing w:after="0" w:line="251" w:lineRule="auto"/>
        <w:rPr>
          <w:sz w:val="20"/>
          <w:szCs w:val="20"/>
          <w:color w:val="auto"/>
        </w:rPr>
      </w:pPr>
      <w:r>
        <w:rPr>
          <w:rFonts w:ascii="Arial" w:cs="Arial" w:eastAsia="Arial" w:hAnsi="Arial"/>
          <w:sz w:val="20"/>
          <w:szCs w:val="20"/>
          <w:color w:val="00162F"/>
        </w:rPr>
        <w:t>American currently has 280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48"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from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2025, $6.9 billion associated with these mortgage financings is reflected as debt in the accompanying consolidated balance sheet.</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Letters of Credit and Other</w:t>
      </w:r>
    </w:p>
    <w:p>
      <w:pPr>
        <w:spacing w:after="0" w:line="95"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American provides financial assurance, such as letters of credit and surety bonds, primarily to support projected workers’ compensation obligations and airport commitments. As of December 31, 2025, American had $412 million of letters of credit and surety bonds securing various obligations, of which $97 million is collateralized with American’s restricted cash. The letters of credit and surety bonds that are subject to expiration will expire on various dates through 2037.</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(e) Legal Proceedings</w:t>
      </w:r>
    </w:p>
    <w:p>
      <w:pPr>
        <w:spacing w:after="0" w:line="95" w:lineRule="exact"/>
        <w:rPr>
          <w:sz w:val="20"/>
          <w:szCs w:val="20"/>
          <w:color w:val="auto"/>
        </w:rPr>
      </w:pPr>
    </w:p>
    <w:p>
      <w:pPr>
        <w:jc w:val="both"/>
        <w:ind w:firstLine="267"/>
        <w:spacing w:after="0" w:line="269" w:lineRule="auto"/>
        <w:rPr>
          <w:sz w:val="20"/>
          <w:szCs w:val="20"/>
          <w:color w:val="auto"/>
        </w:rPr>
      </w:pPr>
      <w:r>
        <w:rPr>
          <w:rFonts w:ascii="Arial" w:cs="Arial" w:eastAsia="Arial" w:hAnsi="Arial"/>
          <w:sz w:val="19"/>
          <w:szCs w:val="19"/>
          <w:i w:val="1"/>
          <w:iCs w:val="1"/>
          <w:color w:val="00162F"/>
        </w:rPr>
        <w:t xml:space="preserve">Private Party Antitrust Actions Related to the Northeast Alliance (NEA). </w:t>
      </w:r>
      <w:r>
        <w:rPr>
          <w:rFonts w:ascii="Arial" w:cs="Arial" w:eastAsia="Arial" w:hAnsi="Arial"/>
          <w:sz w:val="19"/>
          <w:szCs w:val="19"/>
          <w:color w:val="00162F"/>
        </w:rPr>
        <w:t>On December 5, 2022 and December 7, 2022,</w:t>
      </w:r>
      <w:r>
        <w:rPr>
          <w:rFonts w:ascii="Arial" w:cs="Arial" w:eastAsia="Arial" w:hAnsi="Arial"/>
          <w:sz w:val="19"/>
          <w:szCs w:val="19"/>
          <w:i w:val="1"/>
          <w:iCs w:val="1"/>
          <w:color w:val="00162F"/>
        </w:rPr>
        <w:t xml:space="preserve"> </w:t>
      </w:r>
      <w:r>
        <w:rPr>
          <w:rFonts w:ascii="Arial" w:cs="Arial" w:eastAsia="Arial" w:hAnsi="Arial"/>
          <w:sz w:val="19"/>
          <w:szCs w:val="19"/>
          <w:color w:val="00162F"/>
        </w:rPr>
        <w:t>two private party plaintiffs filed putative class action antitrust complaints against AAG and JetBlue Airways Corporation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w:t>
      </w:r>
    </w:p>
    <w:p>
      <w:pPr>
        <w:sectPr>
          <w:pgSz w:w="11880" w:h="15480" w:orient="portrait"/>
          <w:cols w:equalWidth="0" w:num="1">
            <w:col w:w="10680"/>
          </w:cols>
          <w:pgMar w:left="600" w:top="249" w:right="600" w:bottom="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163</w:t>
      </w:r>
    </w:p>
    <w:p>
      <w:pPr>
        <w:sectPr>
          <w:pgSz w:w="11880" w:h="15480" w:orient="portrait"/>
          <w:cols w:equalWidth="0" w:num="1">
            <w:col w:w="10680"/>
          </w:cols>
          <w:pgMar w:left="600" w:top="249" w:right="600" w:bottom="0"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00162F"/>
        </w:rPr>
        <w:t>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AAG believes these lawsuits are without merit and is defending against them vigorously.</w:t>
      </w:r>
    </w:p>
    <w:p>
      <w:pPr>
        <w:spacing w:after="0" w:line="147"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i w:val="1"/>
          <w:iCs w:val="1"/>
          <w:color w:val="00162F"/>
        </w:rPr>
        <w:t xml:space="preserve">Securities and Stockholder Derivative Litigation. </w:t>
      </w:r>
      <w:r>
        <w:rPr>
          <w:rFonts w:ascii="Arial" w:cs="Arial" w:eastAsia="Arial" w:hAnsi="Arial"/>
          <w:sz w:val="20"/>
          <w:szCs w:val="20"/>
          <w:color w:val="00162F"/>
        </w:rPr>
        <w:t>On July 18, 2024, AAG and certain of its current and former officers</w:t>
      </w:r>
      <w:r>
        <w:rPr>
          <w:rFonts w:ascii="Arial" w:cs="Arial" w:eastAsia="Arial" w:hAnsi="Arial"/>
          <w:sz w:val="20"/>
          <w:szCs w:val="20"/>
          <w:i w:val="1"/>
          <w:iCs w:val="1"/>
          <w:color w:val="00162F"/>
        </w:rPr>
        <w:t xml:space="preserve"> </w:t>
      </w:r>
      <w:r>
        <w:rPr>
          <w:rFonts w:ascii="Arial" w:cs="Arial" w:eastAsia="Arial" w:hAnsi="Arial"/>
          <w:sz w:val="20"/>
          <w:szCs w:val="20"/>
          <w:color w:val="00162F"/>
        </w:rPr>
        <w:t xml:space="preserve">were named as defendants in a putative class action lawsuit filed in the U.S. District Court for the Northern District of Texas, captioned </w:t>
      </w:r>
      <w:r>
        <w:rPr>
          <w:rFonts w:ascii="Arial" w:cs="Arial" w:eastAsia="Arial" w:hAnsi="Arial"/>
          <w:sz w:val="20"/>
          <w:szCs w:val="20"/>
          <w:i w:val="1"/>
          <w:iCs w:val="1"/>
          <w:color w:val="00162F"/>
        </w:rPr>
        <w:t>Qawasmi v. American Airlines Group Inc., et al</w:t>
      </w:r>
      <w:r>
        <w:rPr>
          <w:rFonts w:ascii="Arial" w:cs="Arial" w:eastAsia="Arial" w:hAnsi="Arial"/>
          <w:sz w:val="20"/>
          <w:szCs w:val="20"/>
          <w:color w:val="00162F"/>
        </w:rPr>
        <w:t xml:space="preserve">. The </w:t>
      </w:r>
      <w:r>
        <w:rPr>
          <w:rFonts w:ascii="Arial" w:cs="Arial" w:eastAsia="Arial" w:hAnsi="Arial"/>
          <w:sz w:val="20"/>
          <w:szCs w:val="20"/>
          <w:i w:val="1"/>
          <w:iCs w:val="1"/>
          <w:color w:val="00162F"/>
        </w:rPr>
        <w:t>Qawasmi</w:t>
      </w:r>
      <w:r>
        <w:rPr>
          <w:rFonts w:ascii="Arial" w:cs="Arial" w:eastAsia="Arial" w:hAnsi="Arial"/>
          <w:sz w:val="20"/>
          <w:szCs w:val="20"/>
          <w:color w:val="00162F"/>
        </w:rPr>
        <w:t xml:space="preserve"> plaintiff purported to represent investors who acquired AAG securities between January 25, 2024 and May 28, 2024. On August 28, 2024, AAG and certain of its current and former officers were named as defendants in a second putative class action lawsuit filed in the same court, captioned </w:t>
      </w:r>
      <w:r>
        <w:rPr>
          <w:rFonts w:ascii="Arial" w:cs="Arial" w:eastAsia="Arial" w:hAnsi="Arial"/>
          <w:sz w:val="20"/>
          <w:szCs w:val="20"/>
          <w:i w:val="1"/>
          <w:iCs w:val="1"/>
          <w:color w:val="00162F"/>
        </w:rPr>
        <w:t>Thornburg v. American Airlines Group Inc., et al</w:t>
      </w:r>
      <w:r>
        <w:rPr>
          <w:rFonts w:ascii="Arial" w:cs="Arial" w:eastAsia="Arial" w:hAnsi="Arial"/>
          <w:sz w:val="20"/>
          <w:szCs w:val="20"/>
          <w:color w:val="00162F"/>
        </w:rPr>
        <w:t xml:space="preserve">. The </w:t>
      </w:r>
      <w:r>
        <w:rPr>
          <w:rFonts w:ascii="Arial" w:cs="Arial" w:eastAsia="Arial" w:hAnsi="Arial"/>
          <w:sz w:val="20"/>
          <w:szCs w:val="20"/>
          <w:i w:val="1"/>
          <w:iCs w:val="1"/>
          <w:color w:val="00162F"/>
        </w:rPr>
        <w:t>Thornburg</w:t>
      </w:r>
      <w:r>
        <w:rPr>
          <w:rFonts w:ascii="Arial" w:cs="Arial" w:eastAsia="Arial" w:hAnsi="Arial"/>
          <w:sz w:val="20"/>
          <w:szCs w:val="20"/>
          <w:color w:val="00162F"/>
        </w:rPr>
        <w:t xml:space="preserve"> plaintiff purported to represent investors who acquired AAG securities between July 20, 2023 and May 28, 2024. Both the </w:t>
      </w:r>
      <w:r>
        <w:rPr>
          <w:rFonts w:ascii="Arial" w:cs="Arial" w:eastAsia="Arial" w:hAnsi="Arial"/>
          <w:sz w:val="20"/>
          <w:szCs w:val="20"/>
          <w:i w:val="1"/>
          <w:iCs w:val="1"/>
          <w:color w:val="00162F"/>
        </w:rPr>
        <w:t>Qawasmi</w:t>
      </w:r>
      <w:r>
        <w:rPr>
          <w:rFonts w:ascii="Arial" w:cs="Arial" w:eastAsia="Arial" w:hAnsi="Arial"/>
          <w:sz w:val="20"/>
          <w:szCs w:val="20"/>
          <w:color w:val="00162F"/>
        </w:rPr>
        <w:t xml:space="preserve"> and </w:t>
      </w:r>
      <w:r>
        <w:rPr>
          <w:rFonts w:ascii="Arial" w:cs="Arial" w:eastAsia="Arial" w:hAnsi="Arial"/>
          <w:sz w:val="20"/>
          <w:szCs w:val="20"/>
          <w:i w:val="1"/>
          <w:iCs w:val="1"/>
          <w:color w:val="00162F"/>
        </w:rPr>
        <w:t>Thornburg</w:t>
      </w:r>
      <w:r>
        <w:rPr>
          <w:rFonts w:ascii="Arial" w:cs="Arial" w:eastAsia="Arial" w:hAnsi="Arial"/>
          <w:sz w:val="20"/>
          <w:szCs w:val="20"/>
          <w:color w:val="00162F"/>
        </w:rPr>
        <w:t xml:space="preserve"> complaints asserted violations of Sections 10(b) and 20(a) of the Exchange Act based on allegations that, during the relevant periods, AAG misrepresented and/or omitted material facts related to its financial outlook and certain commercial initiatives. On November 22, 2024, the </w:t>
      </w:r>
      <w:r>
        <w:rPr>
          <w:rFonts w:ascii="Arial" w:cs="Arial" w:eastAsia="Arial" w:hAnsi="Arial"/>
          <w:sz w:val="20"/>
          <w:szCs w:val="20"/>
          <w:i w:val="1"/>
          <w:iCs w:val="1"/>
          <w:color w:val="00162F"/>
        </w:rPr>
        <w:t>Qawasmi</w:t>
      </w:r>
      <w:r>
        <w:rPr>
          <w:rFonts w:ascii="Arial" w:cs="Arial" w:eastAsia="Arial" w:hAnsi="Arial"/>
          <w:sz w:val="20"/>
          <w:szCs w:val="20"/>
          <w:color w:val="00162F"/>
        </w:rPr>
        <w:t xml:space="preserve"> and </w:t>
      </w:r>
      <w:r>
        <w:rPr>
          <w:rFonts w:ascii="Arial" w:cs="Arial" w:eastAsia="Arial" w:hAnsi="Arial"/>
          <w:sz w:val="20"/>
          <w:szCs w:val="20"/>
          <w:i w:val="1"/>
          <w:iCs w:val="1"/>
          <w:color w:val="00162F"/>
        </w:rPr>
        <w:t>Thornburg</w:t>
      </w:r>
      <w:r>
        <w:rPr>
          <w:rFonts w:ascii="Arial" w:cs="Arial" w:eastAsia="Arial" w:hAnsi="Arial"/>
          <w:sz w:val="20"/>
          <w:szCs w:val="20"/>
          <w:color w:val="00162F"/>
        </w:rPr>
        <w:t xml:space="preserve"> complaints were consolidated into a single action bearing the caption </w:t>
      </w:r>
      <w:r>
        <w:rPr>
          <w:rFonts w:ascii="Arial" w:cs="Arial" w:eastAsia="Arial" w:hAnsi="Arial"/>
          <w:sz w:val="20"/>
          <w:szCs w:val="20"/>
          <w:i w:val="1"/>
          <w:iCs w:val="1"/>
          <w:color w:val="00162F"/>
        </w:rPr>
        <w:t>In</w:t>
      </w:r>
      <w:r>
        <w:rPr>
          <w:rFonts w:ascii="Arial" w:cs="Arial" w:eastAsia="Arial" w:hAnsi="Arial"/>
          <w:sz w:val="20"/>
          <w:szCs w:val="20"/>
          <w:color w:val="00162F"/>
        </w:rPr>
        <w:t xml:space="preserve"> </w:t>
      </w:r>
      <w:r>
        <w:rPr>
          <w:rFonts w:ascii="Arial" w:cs="Arial" w:eastAsia="Arial" w:hAnsi="Arial"/>
          <w:sz w:val="20"/>
          <w:szCs w:val="20"/>
          <w:i w:val="1"/>
          <w:iCs w:val="1"/>
          <w:color w:val="00162F"/>
        </w:rPr>
        <w:t>re American Airlines Group Inc. Securities Litigation</w:t>
      </w:r>
      <w:r>
        <w:rPr>
          <w:rFonts w:ascii="Arial" w:cs="Arial" w:eastAsia="Arial" w:hAnsi="Arial"/>
          <w:sz w:val="20"/>
          <w:szCs w:val="20"/>
          <w:color w:val="00162F"/>
        </w:rPr>
        <w:t>. The court also appointed co-lead plaintiffs and lead counsel to</w:t>
      </w:r>
      <w:r>
        <w:rPr>
          <w:rFonts w:ascii="Arial" w:cs="Arial" w:eastAsia="Arial" w:hAnsi="Arial"/>
          <w:sz w:val="20"/>
          <w:szCs w:val="20"/>
          <w:i w:val="1"/>
          <w:iCs w:val="1"/>
          <w:color w:val="00162F"/>
        </w:rPr>
        <w:t xml:space="preserve"> </w:t>
      </w:r>
      <w:r>
        <w:rPr>
          <w:rFonts w:ascii="Arial" w:cs="Arial" w:eastAsia="Arial" w:hAnsi="Arial"/>
          <w:sz w:val="20"/>
          <w:szCs w:val="20"/>
          <w:color w:val="00162F"/>
        </w:rPr>
        <w:t>represent the putative class in the consolidated action. Plaintiffs filed a consolidated complaint on January 21, 2025, and an amended consolidated complaint on March 19, 2025. The consolidated complaint made similar factual allegations to the prior complaints regarding AAG’s financial outlook and certain commercial initiatives. AAG and the individual defendants filed a joint motion to dismiss on March 21, 2025. On November 15, 2025, the court granted AAG’s motion in full, dismissing the complaint with prejudice. The court entered final judgment in favor of defendants on November 18, 2025. Plaintiffs did not appeal the order, and the case is closed.</w:t>
      </w:r>
    </w:p>
    <w:p>
      <w:pPr>
        <w:spacing w:after="0" w:line="144"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 xml:space="preserve">Additionally, on September 19, 2024, certain of AAG’s current and former directors and officers were named as defendants in a shareholder derivative lawsuit (in which AAG is a nominal defendant) filed in the U.S. District Court for the Northern District of Texas, captioned </w:t>
      </w:r>
      <w:r>
        <w:rPr>
          <w:rFonts w:ascii="Arial" w:cs="Arial" w:eastAsia="Arial" w:hAnsi="Arial"/>
          <w:sz w:val="20"/>
          <w:szCs w:val="20"/>
          <w:i w:val="1"/>
          <w:iCs w:val="1"/>
          <w:color w:val="00162F"/>
        </w:rPr>
        <w:t>Hollin v. Isom, et al.</w:t>
      </w:r>
      <w:r>
        <w:rPr>
          <w:rFonts w:ascii="Arial" w:cs="Arial" w:eastAsia="Arial" w:hAnsi="Arial"/>
          <w:sz w:val="20"/>
          <w:szCs w:val="20"/>
          <w:color w:val="00162F"/>
        </w:rPr>
        <w:t xml:space="preserve"> The </w:t>
      </w:r>
      <w:r>
        <w:rPr>
          <w:rFonts w:ascii="Arial" w:cs="Arial" w:eastAsia="Arial" w:hAnsi="Arial"/>
          <w:sz w:val="20"/>
          <w:szCs w:val="20"/>
          <w:i w:val="1"/>
          <w:iCs w:val="1"/>
          <w:color w:val="00162F"/>
        </w:rPr>
        <w:t>Hollin</w:t>
      </w:r>
      <w:r>
        <w:rPr>
          <w:rFonts w:ascii="Arial" w:cs="Arial" w:eastAsia="Arial" w:hAnsi="Arial"/>
          <w:sz w:val="20"/>
          <w:szCs w:val="20"/>
          <w:color w:val="00162F"/>
        </w:rPr>
        <w:t xml:space="preserve"> complaint asserted violations of Section 10(b) of the Exchange Act, breach of fiduciary duty, and claims for unjust enrichment and corporate waste. On September 26, 2024, a second derivative complaint was filed in the same court, similarly naming certain of AAG’s current and former directors and officers (as well as AAG as a nominal defendant), captioned </w:t>
      </w:r>
      <w:r>
        <w:rPr>
          <w:rFonts w:ascii="Arial" w:cs="Arial" w:eastAsia="Arial" w:hAnsi="Arial"/>
          <w:sz w:val="20"/>
          <w:szCs w:val="20"/>
          <w:i w:val="1"/>
          <w:iCs w:val="1"/>
          <w:color w:val="00162F"/>
        </w:rPr>
        <w:t>Leon v. Isom, et al</w:t>
      </w:r>
      <w:r>
        <w:rPr>
          <w:rFonts w:ascii="Arial" w:cs="Arial" w:eastAsia="Arial" w:hAnsi="Arial"/>
          <w:sz w:val="20"/>
          <w:szCs w:val="20"/>
          <w:color w:val="00162F"/>
        </w:rPr>
        <w:t xml:space="preserve">. The </w:t>
      </w:r>
      <w:r>
        <w:rPr>
          <w:rFonts w:ascii="Arial" w:cs="Arial" w:eastAsia="Arial" w:hAnsi="Arial"/>
          <w:sz w:val="20"/>
          <w:szCs w:val="20"/>
          <w:i w:val="1"/>
          <w:iCs w:val="1"/>
          <w:color w:val="00162F"/>
        </w:rPr>
        <w:t>Leon</w:t>
      </w:r>
      <w:r>
        <w:rPr>
          <w:rFonts w:ascii="Arial" w:cs="Arial" w:eastAsia="Arial" w:hAnsi="Arial"/>
          <w:sz w:val="20"/>
          <w:szCs w:val="20"/>
          <w:color w:val="00162F"/>
        </w:rPr>
        <w:t xml:space="preserve"> complaint asserted violations of Section 14(a) of the Exchange Act, breaches of fiduciary duty, claims of unjust enrichment, abuse of control, gross mismanagement, waste of corporate assets, and a claim for contribution. The </w:t>
      </w:r>
      <w:r>
        <w:rPr>
          <w:rFonts w:ascii="Arial" w:cs="Arial" w:eastAsia="Arial" w:hAnsi="Arial"/>
          <w:sz w:val="20"/>
          <w:szCs w:val="20"/>
          <w:i w:val="1"/>
          <w:iCs w:val="1"/>
          <w:color w:val="00162F"/>
        </w:rPr>
        <w:t>Hollin</w:t>
      </w:r>
      <w:r>
        <w:rPr>
          <w:rFonts w:ascii="Arial" w:cs="Arial" w:eastAsia="Arial" w:hAnsi="Arial"/>
          <w:sz w:val="20"/>
          <w:szCs w:val="20"/>
          <w:color w:val="00162F"/>
        </w:rPr>
        <w:t xml:space="preserve"> and </w:t>
      </w:r>
      <w:r>
        <w:rPr>
          <w:rFonts w:ascii="Arial" w:cs="Arial" w:eastAsia="Arial" w:hAnsi="Arial"/>
          <w:sz w:val="20"/>
          <w:szCs w:val="20"/>
          <w:i w:val="1"/>
          <w:iCs w:val="1"/>
          <w:color w:val="00162F"/>
        </w:rPr>
        <w:t>Leon</w:t>
      </w:r>
      <w:r>
        <w:rPr>
          <w:rFonts w:ascii="Arial" w:cs="Arial" w:eastAsia="Arial" w:hAnsi="Arial"/>
          <w:sz w:val="20"/>
          <w:szCs w:val="20"/>
          <w:color w:val="00162F"/>
        </w:rPr>
        <w:t xml:space="preserve"> complaints generally alleged the same purported misconduct as alleged in the securities class action. On November 25, 2024, the </w:t>
      </w:r>
      <w:r>
        <w:rPr>
          <w:rFonts w:ascii="Arial" w:cs="Arial" w:eastAsia="Arial" w:hAnsi="Arial"/>
          <w:sz w:val="20"/>
          <w:szCs w:val="20"/>
          <w:i w:val="1"/>
          <w:iCs w:val="1"/>
          <w:color w:val="00162F"/>
        </w:rPr>
        <w:t>Hollin</w:t>
      </w:r>
      <w:r>
        <w:rPr>
          <w:rFonts w:ascii="Arial" w:cs="Arial" w:eastAsia="Arial" w:hAnsi="Arial"/>
          <w:sz w:val="20"/>
          <w:szCs w:val="20"/>
          <w:color w:val="00162F"/>
        </w:rPr>
        <w:t xml:space="preserve"> and </w:t>
      </w:r>
      <w:r>
        <w:rPr>
          <w:rFonts w:ascii="Arial" w:cs="Arial" w:eastAsia="Arial" w:hAnsi="Arial"/>
          <w:sz w:val="20"/>
          <w:szCs w:val="20"/>
          <w:i w:val="1"/>
          <w:iCs w:val="1"/>
          <w:color w:val="00162F"/>
        </w:rPr>
        <w:t xml:space="preserve">Leon </w:t>
      </w:r>
      <w:r>
        <w:rPr>
          <w:rFonts w:ascii="Arial" w:cs="Arial" w:eastAsia="Arial" w:hAnsi="Arial"/>
          <w:sz w:val="20"/>
          <w:szCs w:val="20"/>
          <w:color w:val="00162F"/>
        </w:rPr>
        <w:t>complaints were consolidated into a single action bearing the caption</w:t>
      </w:r>
      <w:r>
        <w:rPr>
          <w:rFonts w:ascii="Arial" w:cs="Arial" w:eastAsia="Arial" w:hAnsi="Arial"/>
          <w:sz w:val="20"/>
          <w:szCs w:val="20"/>
          <w:i w:val="1"/>
          <w:iCs w:val="1"/>
          <w:color w:val="00162F"/>
        </w:rPr>
        <w:t xml:space="preserve"> In re American Airlines Group Inc. Stockholder Derivative Litigation</w:t>
      </w:r>
      <w:r>
        <w:rPr>
          <w:rFonts w:ascii="Arial" w:cs="Arial" w:eastAsia="Arial" w:hAnsi="Arial"/>
          <w:sz w:val="20"/>
          <w:szCs w:val="20"/>
          <w:color w:val="00162F"/>
        </w:rPr>
        <w:t>. Plaintiffs and AAG filed a joint motion to voluntarily dismiss the consolidated derivative action without</w:t>
      </w:r>
      <w:r>
        <w:rPr>
          <w:rFonts w:ascii="Arial" w:cs="Arial" w:eastAsia="Arial" w:hAnsi="Arial"/>
          <w:sz w:val="20"/>
          <w:szCs w:val="20"/>
          <w:i w:val="1"/>
          <w:iCs w:val="1"/>
          <w:color w:val="00162F"/>
        </w:rPr>
        <w:t xml:space="preserve"> </w:t>
      </w:r>
      <w:r>
        <w:rPr>
          <w:rFonts w:ascii="Arial" w:cs="Arial" w:eastAsia="Arial" w:hAnsi="Arial"/>
          <w:sz w:val="20"/>
          <w:szCs w:val="20"/>
          <w:color w:val="00162F"/>
        </w:rPr>
        <w:t>prejudice on February 5, 2026, and on February 6, 2026, the court granted AAG’s motion in full, dismissing all claims in the matter without prejudice and entering final judgment in favor of defendants.</w:t>
      </w:r>
    </w:p>
    <w:p>
      <w:pPr>
        <w:spacing w:after="0" w:line="152"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i w:val="1"/>
          <w:iCs w:val="1"/>
          <w:color w:val="00162F"/>
        </w:rPr>
        <w:t xml:space="preserve">American Eagle Flight 5342 Accident Litigation. </w:t>
      </w:r>
      <w:r>
        <w:rPr>
          <w:rFonts w:ascii="Arial" w:cs="Arial" w:eastAsia="Arial" w:hAnsi="Arial"/>
          <w:sz w:val="20"/>
          <w:szCs w:val="20"/>
          <w:color w:val="00162F"/>
        </w:rPr>
        <w:t>On January 29, 2025, American Eagle flight 5342 was involved in a</w:t>
      </w:r>
      <w:r>
        <w:rPr>
          <w:rFonts w:ascii="Arial" w:cs="Arial" w:eastAsia="Arial" w:hAnsi="Arial"/>
          <w:sz w:val="20"/>
          <w:szCs w:val="20"/>
          <w:i w:val="1"/>
          <w:iCs w:val="1"/>
          <w:color w:val="00162F"/>
        </w:rPr>
        <w:t xml:space="preserve"> </w:t>
      </w:r>
      <w:r>
        <w:rPr>
          <w:rFonts w:ascii="Arial" w:cs="Arial" w:eastAsia="Arial" w:hAnsi="Arial"/>
          <w:sz w:val="20"/>
          <w:szCs w:val="20"/>
          <w:color w:val="00162F"/>
        </w:rPr>
        <w:t>fatal accident in Washington, D.C. The Bombardier CRJ700 aircraft operated by PSA Airlines, Inc. (PSA) was en route to Washington, D.C. from Wichita, Kansas when it was involved in a midair collision near Ronald Reagan Washington National Airport. Beginning on September 24, 2025, multiple wrongful death and survival actions have been filed in the U.S. District Court for the District of Columbia related to the accident. AAG expects additional actions will continue to be filed. All cases have been assigned to the same judge and are subject to streamlined pleading and discovery procedures. The court required plaintiffs to file a single consolidated Master Complaint (MC), with later joining plaintiffs to file short form complaints adopting the MC and adding any plaintiff-specific information. The MC alleges that the U.S. Government, American and PSA negligently caused or contributed to the accident. In December 2025, American and PSA filed motions to dismiss asserting several defenses. Briefing on the motions to dismiss is ongoing, with a hearing set for February 27, 2026. Discovery is ongoing pursuant to an expedited 18-month discovery and pre-trial calendar, which sets the trial date for April 12, 2027. AAG believes these lawsuits are without merit as to American and PSA and is defending against them vigorously.</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164</w:t>
      </w:r>
    </w:p>
    <w:p>
      <w:pPr>
        <w:sectPr>
          <w:pgSz w:w="11880" w:h="15480" w:orient="portrait"/>
          <w:cols w:equalWidth="0" w:num="1">
            <w:col w:w="10680"/>
          </w:cols>
          <w:pgMar w:left="600" w:top="249" w:right="600" w:bottom="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i w:val="1"/>
          <w:iCs w:val="1"/>
          <w:color w:val="00162F"/>
        </w:rPr>
        <w:t xml:space="preserve">General. </w:t>
      </w:r>
      <w:r>
        <w:rPr>
          <w:rFonts w:ascii="Arial" w:cs="Arial" w:eastAsia="Arial" w:hAnsi="Arial"/>
          <w:sz w:val="20"/>
          <w:szCs w:val="20"/>
          <w:color w:val="00162F"/>
        </w:rPr>
        <w:t>In addition to the specifically identified legal proceedings, American and its subsidiaries are also engaged in</w:t>
      </w:r>
      <w:r>
        <w:rPr>
          <w:rFonts w:ascii="Arial" w:cs="Arial" w:eastAsia="Arial" w:hAnsi="Arial"/>
          <w:sz w:val="20"/>
          <w:szCs w:val="20"/>
          <w:i w:val="1"/>
          <w:iCs w:val="1"/>
          <w:color w:val="00162F"/>
        </w:rPr>
        <w:t xml:space="preserve"> </w:t>
      </w:r>
      <w:r>
        <w:rPr>
          <w:rFonts w:ascii="Arial" w:cs="Arial" w:eastAsia="Arial" w:hAnsi="Arial"/>
          <w:sz w:val="20"/>
          <w:szCs w:val="20"/>
          <w:color w:val="00162F"/>
        </w:rPr>
        <w:t>other legal 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(f) Guarantees and Indemnifications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American is a party to many routine contracts in which it provides general indemnities in the normal course of business to third parties for various risks. American is not able to estimate the potential amount of any liability resulting from the indemnities. These indemnities are discussed in the following paragraphs.</w:t>
      </w:r>
    </w:p>
    <w:p>
      <w:pPr>
        <w:spacing w:after="0" w:line="12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In its aircraft financing agreements, American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36"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American’s loan agreements and certain other financing transactions may obligate American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American’s loan agreements and other financing arrangements typically contain a withholding tax provision that requires American to pay additional amounts to the applicable lender or other financing party, generally if withholding taxes are imposed on such lender or other financing party as a result of a change in the applicable tax law.</w:t>
      </w:r>
    </w:p>
    <w:p>
      <w:pPr>
        <w:spacing w:after="0" w:line="144"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In certain transactions, including certain aircraft financing leases and loans, the lessors, lenders and/or other parties have rights to terminate the transaction based on changes in foreign tax law, illegality or certain other events or circumstances. In such a case, American may be required to make a lump sum payment to terminate the relevant transaction.</w:t>
      </w:r>
    </w:p>
    <w:p>
      <w:pPr>
        <w:spacing w:after="0" w:line="136"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American has general indemnity clauses in many of its airport and other real estate leases where American as lessee indemnifies the lessor (and related parties) against liabilities related to American’s use of the leased property. Generally, these indemnifications cover liabilities resulting from the negligence of the indemnified parties, but not liabilities resulting from the gross negligence or willful misconduct of the indemnified parties. In addition, American provides environmental indemnities in many of these leases for contamination related to American’s use of the leased property.</w:t>
      </w:r>
    </w:p>
    <w:p>
      <w:pPr>
        <w:spacing w:after="0" w:line="13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Under certain contracts with third parties, American indemnifies the third-party against legal liability arising out of an action by the third-party, or certain other parties. The terms of these contracts vary and the potential exposure under these indemnities cannot be determined. American has liability insurance protecting American from some of the obligations it has undertaken under these indemnities.</w:t>
      </w:r>
    </w:p>
    <w:p>
      <w:pPr>
        <w:spacing w:after="0" w:line="136"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American. As of December 31, 2025, the remaining lease payments through 2040 guaranteeing the principal and interest on these bonds are $703 million and the current carrying amount of the associated operating lease liability in the accompanying consolidated balance sheet is $427 million.</w:t>
      </w:r>
    </w:p>
    <w:p>
      <w:pPr>
        <w:spacing w:after="0" w:line="14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As of December 31, 2025, American had issued guarantees covering AAG’s $1.8 billion aggregate principal amount of the PSP1 Promissory Note due April 2030, $1.0 billion aggregate principal amount of the PSP2 Promissory Note due January 2031 and $959 million aggregate principal amount of the PSP3 Promissory Note due April 2031.</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165</w:t>
      </w:r>
    </w:p>
    <w:p>
      <w:pPr>
        <w:sectPr>
          <w:pgSz w:w="11880" w:h="15480" w:orient="portrait"/>
          <w:cols w:equalWidth="0" w:num="1">
            <w:col w:w="10680"/>
          </w:cols>
          <w:pgMar w:left="600" w:top="249" w:right="600" w:bottom="0" w:gutter="0" w:footer="0" w:header="0"/>
          <w:type w:val="continuous"/>
        </w:sectPr>
      </w:pPr>
    </w:p>
    <w:bookmarkStart w:id="166" w:name="page167"/>
    <w:bookmarkEnd w:id="166"/>
    <w:p>
      <w:pPr>
        <w:jc w:val="center"/>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(g) Credit Card Processing Agreements</w:t>
      </w:r>
    </w:p>
    <w:p>
      <w:pPr>
        <w:spacing w:after="0" w:line="95"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American has agreements with companies that process customer credit card transactions for the sale of air travel and other services. American’s agreements allow these credit card processing companies, under certain conditions, to hold an amount of its cash (referred to as a holdback) equal to all or a portion of advance ticket sales that have been processed by that company, but for which American has not yet provided the air transportation. These holdback requirements can be implemented at the discretion of the credit card processing companies upon the occurrence of specific events, including material adverse changes in American’s financial condition or the triggering of a liquidity covenant. The imposition of holdback requirements would reduce American’s liquidity.</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00162F"/>
        </w:rPr>
        <w:t>(h) Labor Contracts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As of December 31, 2025, American employed approximately 106,000 active full-time equivalent (FTE) employees. Of the total active FTE employees, 87% are covered by CBAs with various labor unions and 1% are covered by CBAs that are currently amendable or that will become amendable within one year.</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11. Supplemental Cash Flow Information</w:t>
      </w:r>
    </w:p>
    <w:p>
      <w:pPr>
        <w:spacing w:after="0" w:line="97"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Supplemental disclosure of cash flow information and non-cash investing and financing activities are as follows (in millions):</w:t>
      </w:r>
    </w:p>
    <w:p>
      <w:pPr>
        <w:spacing w:after="0" w:line="118"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00162F"/>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20" w:type="dxa"/>
            <w:vAlign w:val="bottom"/>
            <w:tcBorders>
              <w:bottom w:val="single" w:sz="8" w:color="EDEDED"/>
            </w:tcBorders>
          </w:tcPr>
          <w:p>
            <w:pPr>
              <w:spacing w:after="0"/>
              <w:rPr>
                <w:sz w:val="20"/>
                <w:szCs w:val="20"/>
                <w:color w:val="auto"/>
              </w:rPr>
            </w:pPr>
          </w:p>
        </w:tc>
        <w:tc>
          <w:tcPr>
            <w:tcW w:w="340" w:type="dxa"/>
            <w:vAlign w:val="bottom"/>
            <w:tcBorders>
              <w:top w:val="single" w:sz="8" w:color="00162F"/>
              <w:bottom w:val="single" w:sz="8" w:color="00162F"/>
            </w:tcBorders>
          </w:tcPr>
          <w:p>
            <w:pPr>
              <w:spacing w:after="0"/>
              <w:rPr>
                <w:sz w:val="20"/>
                <w:szCs w:val="20"/>
                <w:color w:val="auto"/>
              </w:rPr>
            </w:pPr>
          </w:p>
        </w:tc>
        <w:tc>
          <w:tcPr>
            <w:tcW w:w="1100" w:type="dxa"/>
            <w:vAlign w:val="bottom"/>
            <w:tcBorders>
              <w:top w:val="single" w:sz="8" w:color="00162F"/>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2025</w:t>
            </w:r>
          </w:p>
        </w:tc>
        <w:tc>
          <w:tcPr>
            <w:tcW w:w="80" w:type="dxa"/>
            <w:vAlign w:val="bottom"/>
            <w:tcBorders>
              <w:top w:val="single" w:sz="8" w:color="00162F"/>
              <w:bottom w:val="single" w:sz="8" w:color="EDEDED"/>
            </w:tcBorders>
          </w:tcPr>
          <w:p>
            <w:pPr>
              <w:spacing w:after="0"/>
              <w:rPr>
                <w:sz w:val="20"/>
                <w:szCs w:val="20"/>
                <w:color w:val="auto"/>
              </w:rPr>
            </w:pPr>
          </w:p>
        </w:tc>
        <w:tc>
          <w:tcPr>
            <w:tcW w:w="340" w:type="dxa"/>
            <w:vAlign w:val="bottom"/>
            <w:tcBorders>
              <w:top w:val="single" w:sz="8" w:color="00162F"/>
              <w:bottom w:val="single" w:sz="8" w:color="00162F"/>
            </w:tcBorders>
          </w:tcPr>
          <w:p>
            <w:pPr>
              <w:spacing w:after="0"/>
              <w:rPr>
                <w:sz w:val="20"/>
                <w:szCs w:val="20"/>
                <w:color w:val="auto"/>
              </w:rPr>
            </w:pPr>
          </w:p>
        </w:tc>
        <w:tc>
          <w:tcPr>
            <w:tcW w:w="1100" w:type="dxa"/>
            <w:vAlign w:val="bottom"/>
            <w:tcBorders>
              <w:top w:val="single" w:sz="8" w:color="00162F"/>
              <w:bottom w:val="single" w:sz="8" w:color="00162F"/>
            </w:tcBorders>
          </w:tcPr>
          <w:p>
            <w:pPr>
              <w:jc w:val="right"/>
              <w:ind w:right="464"/>
              <w:spacing w:after="0"/>
              <w:rPr>
                <w:sz w:val="20"/>
                <w:szCs w:val="20"/>
                <w:color w:val="auto"/>
              </w:rPr>
            </w:pPr>
            <w:r>
              <w:rPr>
                <w:rFonts w:ascii="Arial" w:cs="Arial" w:eastAsia="Arial" w:hAnsi="Arial"/>
                <w:sz w:val="16"/>
                <w:szCs w:val="16"/>
                <w:b w:val="1"/>
                <w:bCs w:val="1"/>
                <w:color w:val="00162F"/>
              </w:rPr>
              <w:t>2024</w:t>
            </w:r>
          </w:p>
        </w:tc>
        <w:tc>
          <w:tcPr>
            <w:tcW w:w="60" w:type="dxa"/>
            <w:vAlign w:val="bottom"/>
            <w:tcBorders>
              <w:top w:val="single" w:sz="8" w:color="00162F"/>
              <w:bottom w:val="single" w:sz="8" w:color="EDEDED"/>
            </w:tcBorders>
          </w:tcPr>
          <w:p>
            <w:pPr>
              <w:spacing w:after="0"/>
              <w:rPr>
                <w:sz w:val="20"/>
                <w:szCs w:val="20"/>
                <w:color w:val="auto"/>
              </w:rPr>
            </w:pPr>
          </w:p>
        </w:tc>
        <w:tc>
          <w:tcPr>
            <w:tcW w:w="360" w:type="dxa"/>
            <w:vAlign w:val="bottom"/>
            <w:tcBorders>
              <w:top w:val="single" w:sz="8" w:color="00162F"/>
              <w:bottom w:val="single" w:sz="8" w:color="00162F"/>
            </w:tcBorders>
          </w:tcPr>
          <w:p>
            <w:pPr>
              <w:spacing w:after="0"/>
              <w:rPr>
                <w:sz w:val="20"/>
                <w:szCs w:val="20"/>
                <w:color w:val="auto"/>
              </w:rPr>
            </w:pPr>
          </w:p>
        </w:tc>
        <w:tc>
          <w:tcPr>
            <w:tcW w:w="1080" w:type="dxa"/>
            <w:vAlign w:val="bottom"/>
            <w:tcBorders>
              <w:top w:val="single" w:sz="8" w:color="00162F"/>
              <w:bottom w:val="single" w:sz="8" w:color="00162F"/>
            </w:tcBorders>
          </w:tcPr>
          <w:p>
            <w:pPr>
              <w:jc w:val="right"/>
              <w:ind w:right="444"/>
              <w:spacing w:after="0"/>
              <w:rPr>
                <w:sz w:val="20"/>
                <w:szCs w:val="20"/>
                <w:color w:val="auto"/>
              </w:rPr>
            </w:pPr>
            <w:r>
              <w:rPr>
                <w:rFonts w:ascii="Arial" w:cs="Arial" w:eastAsia="Arial" w:hAnsi="Arial"/>
                <w:sz w:val="16"/>
                <w:szCs w:val="16"/>
                <w:b w:val="1"/>
                <w:bCs w:val="1"/>
                <w:color w:val="00162F"/>
              </w:rPr>
              <w:t>2023</w:t>
            </w:r>
          </w:p>
        </w:tc>
        <w:tc>
          <w:tcPr>
            <w:tcW w:w="0" w:type="dxa"/>
            <w:vAlign w:val="bottom"/>
          </w:tcPr>
          <w:p>
            <w:pPr>
              <w:spacing w:after="0"/>
              <w:rPr>
                <w:sz w:val="1"/>
                <w:szCs w:val="1"/>
                <w:color w:val="auto"/>
              </w:rPr>
            </w:pPr>
          </w:p>
        </w:tc>
      </w:tr>
      <w:tr>
        <w:trPr>
          <w:trHeight w:val="287"/>
        </w:trPr>
        <w:tc>
          <w:tcPr>
            <w:tcW w:w="6220" w:type="dxa"/>
            <w:vAlign w:val="bottom"/>
            <w:shd w:val="clear" w:color="auto" w:fill="EDEDED"/>
          </w:tcPr>
          <w:p>
            <w:pPr>
              <w:ind w:left="40"/>
              <w:spacing w:after="0"/>
              <w:rPr>
                <w:sz w:val="20"/>
                <w:szCs w:val="20"/>
                <w:color w:val="auto"/>
              </w:rPr>
            </w:pPr>
            <w:r>
              <w:rPr>
                <w:rFonts w:ascii="Arial" w:cs="Arial" w:eastAsia="Arial" w:hAnsi="Arial"/>
                <w:sz w:val="20"/>
                <w:szCs w:val="20"/>
                <w:color w:val="00162F"/>
              </w:rPr>
              <w:t>Non-cash investing and financing activities: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20" w:type="dxa"/>
            <w:vAlign w:val="bottom"/>
          </w:tcPr>
          <w:p>
            <w:pPr>
              <w:ind w:left="260"/>
              <w:spacing w:after="0"/>
              <w:rPr>
                <w:sz w:val="20"/>
                <w:szCs w:val="20"/>
                <w:color w:val="auto"/>
              </w:rPr>
            </w:pPr>
            <w:r>
              <w:rPr>
                <w:rFonts w:ascii="Arial" w:cs="Arial" w:eastAsia="Arial" w:hAnsi="Arial"/>
                <w:sz w:val="20"/>
                <w:szCs w:val="20"/>
                <w:color w:val="00162F"/>
              </w:rPr>
              <w:t>ROU assets acquired through operating leases</w:t>
            </w:r>
          </w:p>
        </w:tc>
        <w:tc>
          <w:tcPr>
            <w:tcW w:w="340" w:type="dxa"/>
            <w:vAlign w:val="bottom"/>
          </w:tcPr>
          <w:p>
            <w:pPr>
              <w:jc w:val="right"/>
              <w:ind w:right="81"/>
              <w:spacing w:after="0"/>
              <w:rPr>
                <w:sz w:val="20"/>
                <w:szCs w:val="20"/>
                <w:color w:val="auto"/>
              </w:rPr>
            </w:pPr>
            <w:r>
              <w:rPr>
                <w:rFonts w:ascii="Arial" w:cs="Arial" w:eastAsia="Arial" w:hAnsi="Arial"/>
                <w:sz w:val="20"/>
                <w:szCs w:val="20"/>
                <w:color w:val="00162F"/>
              </w:rPr>
              <w:t>$</w:t>
            </w:r>
          </w:p>
        </w:tc>
        <w:tc>
          <w:tcPr>
            <w:tcW w:w="1100" w:type="dxa"/>
            <w:vAlign w:val="bottom"/>
          </w:tcPr>
          <w:p>
            <w:pPr>
              <w:jc w:val="right"/>
              <w:spacing w:after="0"/>
              <w:rPr>
                <w:sz w:val="20"/>
                <w:szCs w:val="20"/>
                <w:color w:val="auto"/>
              </w:rPr>
            </w:pPr>
            <w:r>
              <w:rPr>
                <w:rFonts w:ascii="Arial" w:cs="Arial" w:eastAsia="Arial" w:hAnsi="Arial"/>
                <w:sz w:val="20"/>
                <w:szCs w:val="20"/>
                <w:color w:val="00162F"/>
              </w:rPr>
              <w:t>884</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00162F"/>
              </w:rPr>
              <w:t>$</w:t>
            </w: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614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00162F"/>
              </w:rPr>
              <w:t>$</w:t>
            </w:r>
          </w:p>
        </w:tc>
        <w:tc>
          <w:tcPr>
            <w:tcW w:w="1080" w:type="dxa"/>
            <w:vAlign w:val="bottom"/>
          </w:tcPr>
          <w:p>
            <w:pPr>
              <w:jc w:val="right"/>
              <w:spacing w:after="0"/>
              <w:rPr>
                <w:sz w:val="20"/>
                <w:szCs w:val="20"/>
                <w:color w:val="auto"/>
              </w:rPr>
            </w:pPr>
            <w:r>
              <w:rPr>
                <w:rFonts w:ascii="Arial" w:cs="Arial" w:eastAsia="Arial" w:hAnsi="Arial"/>
                <w:sz w:val="20"/>
                <w:szCs w:val="20"/>
                <w:color w:val="00162F"/>
              </w:rPr>
              <w:t>1,172</w:t>
            </w:r>
          </w:p>
        </w:tc>
        <w:tc>
          <w:tcPr>
            <w:tcW w:w="0" w:type="dxa"/>
            <w:vAlign w:val="bottom"/>
          </w:tcPr>
          <w:p>
            <w:pPr>
              <w:spacing w:after="0"/>
              <w:rPr>
                <w:sz w:val="1"/>
                <w:szCs w:val="1"/>
                <w:color w:val="auto"/>
              </w:rPr>
            </w:pPr>
          </w:p>
        </w:tc>
      </w:tr>
      <w:tr>
        <w:trPr>
          <w:trHeight w:val="301"/>
        </w:trPr>
        <w:tc>
          <w:tcPr>
            <w:tcW w:w="6220" w:type="dxa"/>
            <w:vAlign w:val="bottom"/>
            <w:shd w:val="clear" w:color="auto" w:fill="EDEDED"/>
          </w:tcPr>
          <w:p>
            <w:pPr>
              <w:ind w:left="260"/>
              <w:spacing w:after="0"/>
              <w:rPr>
                <w:sz w:val="20"/>
                <w:szCs w:val="20"/>
                <w:color w:val="auto"/>
              </w:rPr>
            </w:pPr>
            <w:r>
              <w:rPr>
                <w:rFonts w:ascii="Arial" w:cs="Arial" w:eastAsia="Arial" w:hAnsi="Arial"/>
                <w:sz w:val="20"/>
                <w:szCs w:val="20"/>
                <w:color w:val="00162F"/>
              </w:rPr>
              <w:t>Operating leases converted to finance leases</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269</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293</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w:t>
            </w:r>
          </w:p>
        </w:tc>
        <w:tc>
          <w:tcPr>
            <w:tcW w:w="0" w:type="dxa"/>
            <w:vAlign w:val="bottom"/>
          </w:tcPr>
          <w:p>
            <w:pPr>
              <w:spacing w:after="0"/>
              <w:rPr>
                <w:sz w:val="1"/>
                <w:szCs w:val="1"/>
                <w:color w:val="auto"/>
              </w:rPr>
            </w:pPr>
          </w:p>
        </w:tc>
      </w:tr>
      <w:tr>
        <w:trPr>
          <w:trHeight w:val="293"/>
        </w:trPr>
        <w:tc>
          <w:tcPr>
            <w:tcW w:w="6220" w:type="dxa"/>
            <w:vAlign w:val="bottom"/>
          </w:tcPr>
          <w:p>
            <w:pPr>
              <w:ind w:left="260"/>
              <w:spacing w:after="0"/>
              <w:rPr>
                <w:sz w:val="20"/>
                <w:szCs w:val="20"/>
                <w:color w:val="auto"/>
              </w:rPr>
            </w:pPr>
            <w:r>
              <w:rPr>
                <w:rFonts w:ascii="Arial" w:cs="Arial" w:eastAsia="Arial" w:hAnsi="Arial"/>
                <w:sz w:val="20"/>
                <w:szCs w:val="20"/>
                <w:color w:val="00162F"/>
              </w:rPr>
              <w:t>Finance leases converted to operating leases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00162F"/>
              </w:rPr>
              <w:t>127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20"/>
                <w:szCs w:val="20"/>
                <w:color w:val="00162F"/>
              </w:rPr>
              <w:t>50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0162F"/>
              </w:rPr>
              <w:t>42</w:t>
            </w:r>
          </w:p>
        </w:tc>
        <w:tc>
          <w:tcPr>
            <w:tcW w:w="0" w:type="dxa"/>
            <w:vAlign w:val="bottom"/>
          </w:tcPr>
          <w:p>
            <w:pPr>
              <w:spacing w:after="0"/>
              <w:rPr>
                <w:sz w:val="1"/>
                <w:szCs w:val="1"/>
                <w:color w:val="auto"/>
              </w:rPr>
            </w:pPr>
          </w:p>
        </w:tc>
      </w:tr>
      <w:tr>
        <w:trPr>
          <w:trHeight w:val="210"/>
        </w:trPr>
        <w:tc>
          <w:tcPr>
            <w:tcW w:w="6220" w:type="dxa"/>
            <w:vAlign w:val="bottom"/>
            <w:shd w:val="clear" w:color="auto" w:fill="EDEDED"/>
          </w:tcPr>
          <w:p>
            <w:pPr>
              <w:ind w:left="260"/>
              <w:spacing w:after="0" w:line="209" w:lineRule="exact"/>
              <w:rPr>
                <w:sz w:val="20"/>
                <w:szCs w:val="20"/>
                <w:color w:val="auto"/>
              </w:rPr>
            </w:pPr>
            <w:r>
              <w:rPr>
                <w:rFonts w:ascii="Arial" w:cs="Arial" w:eastAsia="Arial" w:hAnsi="Arial"/>
                <w:sz w:val="20"/>
                <w:szCs w:val="20"/>
                <w:color w:val="00162F"/>
              </w:rPr>
              <w:t>Property and equipment acquired through debt, finance leases and</w:t>
            </w:r>
          </w:p>
        </w:tc>
        <w:tc>
          <w:tcPr>
            <w:tcW w:w="340" w:type="dxa"/>
            <w:vAlign w:val="bottom"/>
            <w:shd w:val="clear" w:color="auto" w:fill="EDEDED"/>
          </w:tcPr>
          <w:p>
            <w:pPr>
              <w:spacing w:after="0"/>
              <w:rPr>
                <w:sz w:val="18"/>
                <w:szCs w:val="18"/>
                <w:color w:val="auto"/>
              </w:rPr>
            </w:pPr>
          </w:p>
        </w:tc>
        <w:tc>
          <w:tcPr>
            <w:tcW w:w="110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70</w:t>
            </w:r>
          </w:p>
        </w:tc>
        <w:tc>
          <w:tcPr>
            <w:tcW w:w="80" w:type="dxa"/>
            <w:vAlign w:val="bottom"/>
            <w:shd w:val="clear" w:color="auto" w:fill="EDEDED"/>
          </w:tcPr>
          <w:p>
            <w:pPr>
              <w:spacing w:after="0"/>
              <w:rPr>
                <w:sz w:val="18"/>
                <w:szCs w:val="18"/>
                <w:color w:val="auto"/>
              </w:rPr>
            </w:pPr>
          </w:p>
        </w:tc>
        <w:tc>
          <w:tcPr>
            <w:tcW w:w="340" w:type="dxa"/>
            <w:vAlign w:val="bottom"/>
            <w:shd w:val="clear" w:color="auto" w:fill="EDEDED"/>
          </w:tcPr>
          <w:p>
            <w:pPr>
              <w:spacing w:after="0"/>
              <w:rPr>
                <w:sz w:val="18"/>
                <w:szCs w:val="18"/>
                <w:color w:val="auto"/>
              </w:rPr>
            </w:pPr>
          </w:p>
        </w:tc>
        <w:tc>
          <w:tcPr>
            <w:tcW w:w="1100" w:type="dxa"/>
            <w:vAlign w:val="bottom"/>
            <w:vMerge w:val="restart"/>
            <w:shd w:val="clear" w:color="auto" w:fill="EDEDED"/>
          </w:tcPr>
          <w:p>
            <w:pPr>
              <w:jc w:val="right"/>
              <w:ind w:right="4"/>
              <w:spacing w:after="0"/>
              <w:rPr>
                <w:sz w:val="20"/>
                <w:szCs w:val="20"/>
                <w:color w:val="auto"/>
              </w:rPr>
            </w:pPr>
            <w:r>
              <w:rPr>
                <w:rFonts w:ascii="Arial" w:cs="Arial" w:eastAsia="Arial" w:hAnsi="Arial"/>
                <w:sz w:val="20"/>
                <w:szCs w:val="20"/>
                <w:color w:val="00162F"/>
              </w:rPr>
              <w:t>151</w:t>
            </w:r>
          </w:p>
        </w:tc>
        <w:tc>
          <w:tcPr>
            <w:tcW w:w="6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1080" w:type="dxa"/>
            <w:vAlign w:val="bottom"/>
            <w:vMerge w:val="restart"/>
            <w:shd w:val="clear" w:color="auto" w:fill="EDEDED"/>
          </w:tcPr>
          <w:p>
            <w:pPr>
              <w:jc w:val="right"/>
              <w:spacing w:after="0"/>
              <w:rPr>
                <w:sz w:val="20"/>
                <w:szCs w:val="20"/>
                <w:color w:val="auto"/>
              </w:rPr>
            </w:pPr>
            <w:r>
              <w:rPr>
                <w:rFonts w:ascii="Arial" w:cs="Arial" w:eastAsia="Arial" w:hAnsi="Arial"/>
                <w:sz w:val="20"/>
                <w:szCs w:val="20"/>
                <w:color w:val="00162F"/>
              </w:rPr>
              <w:t>317</w:t>
            </w:r>
          </w:p>
        </w:tc>
        <w:tc>
          <w:tcPr>
            <w:tcW w:w="0" w:type="dxa"/>
            <w:vAlign w:val="bottom"/>
          </w:tcPr>
          <w:p>
            <w:pPr>
              <w:spacing w:after="0"/>
              <w:rPr>
                <w:sz w:val="1"/>
                <w:szCs w:val="1"/>
                <w:color w:val="auto"/>
              </w:rPr>
            </w:pPr>
          </w:p>
        </w:tc>
      </w:tr>
      <w:tr>
        <w:trPr>
          <w:trHeight w:val="269"/>
        </w:trPr>
        <w:tc>
          <w:tcPr>
            <w:tcW w:w="6220" w:type="dxa"/>
            <w:vAlign w:val="bottom"/>
            <w:shd w:val="clear" w:color="auto" w:fill="EDEDED"/>
          </w:tcPr>
          <w:p>
            <w:pPr>
              <w:ind w:left="360"/>
              <w:spacing w:after="0"/>
              <w:rPr>
                <w:sz w:val="20"/>
                <w:szCs w:val="20"/>
                <w:color w:val="auto"/>
              </w:rPr>
            </w:pPr>
            <w:r>
              <w:rPr>
                <w:rFonts w:ascii="Arial" w:cs="Arial" w:eastAsia="Arial" w:hAnsi="Arial"/>
                <w:sz w:val="20"/>
                <w:szCs w:val="20"/>
                <w:color w:val="00162F"/>
              </w:rPr>
              <w:t>other</w:t>
            </w:r>
          </w:p>
        </w:tc>
        <w:tc>
          <w:tcPr>
            <w:tcW w:w="340" w:type="dxa"/>
            <w:vAlign w:val="bottom"/>
            <w:shd w:val="clear" w:color="auto" w:fill="EDEDED"/>
          </w:tcPr>
          <w:p>
            <w:pPr>
              <w:spacing w:after="0"/>
              <w:rPr>
                <w:sz w:val="23"/>
                <w:szCs w:val="23"/>
                <w:color w:val="auto"/>
              </w:rPr>
            </w:pPr>
          </w:p>
        </w:tc>
        <w:tc>
          <w:tcPr>
            <w:tcW w:w="1100" w:type="dxa"/>
            <w:vAlign w:val="bottom"/>
            <w:vMerge w:val="continue"/>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340" w:type="dxa"/>
            <w:vAlign w:val="bottom"/>
            <w:shd w:val="clear" w:color="auto" w:fill="EDEDED"/>
          </w:tcPr>
          <w:p>
            <w:pPr>
              <w:spacing w:after="0"/>
              <w:rPr>
                <w:sz w:val="23"/>
                <w:szCs w:val="23"/>
                <w:color w:val="auto"/>
              </w:rPr>
            </w:pPr>
          </w:p>
        </w:tc>
        <w:tc>
          <w:tcPr>
            <w:tcW w:w="1100" w:type="dxa"/>
            <w:vAlign w:val="bottom"/>
            <w:vMerge w:val="continue"/>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360" w:type="dxa"/>
            <w:vAlign w:val="bottom"/>
            <w:shd w:val="clear" w:color="auto" w:fill="EDEDED"/>
          </w:tcPr>
          <w:p>
            <w:pPr>
              <w:spacing w:after="0"/>
              <w:rPr>
                <w:sz w:val="23"/>
                <w:szCs w:val="23"/>
                <w:color w:val="auto"/>
              </w:rPr>
            </w:pPr>
          </w:p>
        </w:tc>
        <w:tc>
          <w:tcPr>
            <w:tcW w:w="1080" w:type="dxa"/>
            <w:vAlign w:val="bottom"/>
            <w:vMerge w:val="continue"/>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220" w:type="dxa"/>
            <w:vAlign w:val="bottom"/>
          </w:tcPr>
          <w:p>
            <w:pPr>
              <w:ind w:left="40"/>
              <w:spacing w:after="0"/>
              <w:rPr>
                <w:sz w:val="20"/>
                <w:szCs w:val="20"/>
                <w:color w:val="auto"/>
              </w:rPr>
            </w:pPr>
            <w:r>
              <w:rPr>
                <w:rFonts w:ascii="Arial" w:cs="Arial" w:eastAsia="Arial" w:hAnsi="Arial"/>
                <w:sz w:val="20"/>
                <w:szCs w:val="20"/>
                <w:color w:val="00162F"/>
              </w:rPr>
              <w:t>Supplemental information:</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220" w:type="dxa"/>
            <w:vAlign w:val="bottom"/>
            <w:shd w:val="clear" w:color="auto" w:fill="EDEDED"/>
          </w:tcPr>
          <w:p>
            <w:pPr>
              <w:ind w:left="260"/>
              <w:spacing w:after="0"/>
              <w:rPr>
                <w:sz w:val="20"/>
                <w:szCs w:val="20"/>
                <w:color w:val="auto"/>
              </w:rPr>
            </w:pPr>
            <w:r>
              <w:rPr>
                <w:rFonts w:ascii="Arial" w:cs="Arial" w:eastAsia="Arial" w:hAnsi="Arial"/>
                <w:sz w:val="20"/>
                <w:szCs w:val="20"/>
                <w:color w:val="00162F"/>
              </w:rPr>
              <w:t>Interest paid, net</w:t>
            </w: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1,551</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20"/>
                <w:szCs w:val="20"/>
                <w:color w:val="00162F"/>
              </w:rPr>
              <w:t>1,806</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-1435735</wp:posOffset>
            </wp:positionV>
            <wp:extent cx="286321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6">
                      <a:extLst>
                        <a:ext uri="{28A0092B-C50C-407E-A947-70E740481C1C}"/>
                      </a:extLst>
                    </a:blip>
                    <a:srcRect/>
                    <a:stretch>
                      <a:fillRect/>
                    </a:stretch>
                  </pic:blipFill>
                  <pic:spPr bwMode="auto">
                    <a:xfrm>
                      <a:off x="0" y="0"/>
                      <a:ext cx="2863215" cy="2540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12. Segment Disclosures</w:t>
      </w:r>
    </w:p>
    <w:p>
      <w:pPr>
        <w:spacing w:after="0" w:line="97"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20"/>
          <w:szCs w:val="20"/>
          <w:color w:val="00162F"/>
        </w:rPr>
        <w:t>Operating segments are defined as components of an enterprise for which separate financial information is available and regularly reviewed by the chief operating decision maker (CODM) in deciding how to allocate resources and in assessing performance. American’s Chief Executive Officer is considered to be its CODM. American is managed as a single operating segment that provides scheduled air transportation for passengers and cargo, and includes American’s loyalty program. Along with its extensive domestic network, American provides international service to Canada, Mexico, the Caribbean, Central and South America, Europe, Qatar, China, Japan, Korea, India, Australia and New Zealand. See Note 1(m) for American’s passenger revenue by geographic region. Managing the business activities on a consolidated basis allows American to benefit from an integrated revenue pricing and route network that includes American and AAG’s wholly-owned and third-party regional carriers that fly under capacity purchase agreements operating as American Eagle. The flight equipment of all these carriers is combined to form one fleet that is deployed through a single route scheduling system. American’s tangible assets consist primarily of flight equipment, which are mobile across geographic markets and, therefore, have not been allocated by geographic region. The measure of segment assets is reported on the balance sheet as total consolidated assets.</w:t>
      </w:r>
    </w:p>
    <w:p>
      <w:pPr>
        <w:spacing w:after="0" w:line="152"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Financial information and operational plans and forecasts are provided to and reviewed by American’s CODM at the consolidated level and are used to monitor forecast and budget versus actual results. American’s CODM assesses performance and decides how to allocate resources based on net income which is reported on the statement of operations as consolidated net income. When making operational and resource allocation decisions, American’s CODM is indifferent to the results on a geographic region or on a mainline and regional carrier basis. The objective in making resource allocation decisions is to maximize consolidated financial results.</w:t>
      </w:r>
    </w:p>
    <w:p>
      <w:pPr>
        <w:sectPr>
          <w:pgSz w:w="11880" w:h="15480" w:orient="portrait"/>
          <w:cols w:equalWidth="0" w:num="1">
            <w:col w:w="10680"/>
          </w:cols>
          <w:pgMar w:left="600"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166</w:t>
      </w:r>
    </w:p>
    <w:p>
      <w:pPr>
        <w:sectPr>
          <w:pgSz w:w="11880" w:h="15480" w:orient="portrait"/>
          <w:cols w:equalWidth="0" w:num="1">
            <w:col w:w="10680"/>
          </w:cols>
          <w:pgMar w:left="600" w:top="249" w:right="600" w:bottom="0" w:gutter="0" w:footer="0" w:header="0"/>
          <w:type w:val="continuous"/>
        </w:sectPr>
      </w:pPr>
    </w:p>
    <w:bookmarkStart w:id="167" w:name="page168"/>
    <w:bookmarkEnd w:id="167"/>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13. Share-based Compensation</w:t>
      </w:r>
    </w:p>
    <w:p>
      <w:pPr>
        <w:spacing w:after="0" w:line="97" w:lineRule="exact"/>
        <w:rPr>
          <w:sz w:val="20"/>
          <w:szCs w:val="20"/>
          <w:color w:val="auto"/>
        </w:rPr>
      </w:pPr>
    </w:p>
    <w:p>
      <w:pPr>
        <w:jc w:val="both"/>
        <w:ind w:left="5" w:firstLine="267"/>
        <w:spacing w:after="0" w:line="254" w:lineRule="auto"/>
        <w:rPr>
          <w:sz w:val="20"/>
          <w:szCs w:val="20"/>
          <w:color w:val="auto"/>
        </w:rPr>
      </w:pPr>
      <w:r>
        <w:rPr>
          <w:rFonts w:ascii="Arial" w:cs="Arial" w:eastAsia="Arial" w:hAnsi="Arial"/>
          <w:sz w:val="20"/>
          <w:szCs w:val="20"/>
          <w:color w:val="00162F"/>
        </w:rPr>
        <w:t>In May 2023, the stockholders of AAG approved the 2023 Incentive Award Plan (the 2023 Plan). The 2023 Plan replaces and supersedes AAG’s 2013 Incentive Award Plan (the 2013 Plan). No further awards will be granted under the 2013 Plan; however, the terms and conditions of the 2013 Plan will continue to govern any outstanding awards granted thereunder. The 2023 Plan provides that an award may be in the form of a stock option, including an incentive stock option and nonqualified stock option, stock appreciation right, restricted stock, restricted stock unit, performance bonus award, performance stock unit, other stock or cash-based award and dividend equivalent to eligible individuals.</w:t>
      </w:r>
    </w:p>
    <w:p>
      <w:pPr>
        <w:spacing w:after="0" w:line="143"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The 2023 Plan authorizes the grant of awards for the issuance of 17.2 million shares less any shares granted under the 2013 Plan after March 22, 2023, the date the Board of Directors of AAG approved the 2023 Plan. Any shares underlying awards granted under the 2023 Plan or 2013 Plan that are forfeited, terminate or are settled in cash (in whole or in part) without the delivery of shares will again be available for grant under the 2023 Plan.</w:t>
      </w:r>
    </w:p>
    <w:p>
      <w:pPr>
        <w:spacing w:after="0" w:line="136"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Share-based compensation expense for American’s equity awards, including awards settled in AAG common stock or cash, was $106 million, $124 million and $97 million for the years ended December 31, 2025, 2024 and 2023, respectively, and is included in salaries, wages and benefits on its consolidated statements of operations.</w:t>
      </w:r>
    </w:p>
    <w:p>
      <w:pPr>
        <w:spacing w:after="0" w:line="129"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During 2025, 2024 and 2023, AAG withheld approximately 2.0 million, 1.6 million and 1.5 million shares of AAG common stock, respectively, and paid approximately $28 million, $27 million and $23 million, respectively, in satisfaction of certain tax withholding obligations associated with employee equity awards.</w:t>
      </w:r>
    </w:p>
    <w:p>
      <w:pPr>
        <w:spacing w:after="0" w:line="219" w:lineRule="exact"/>
        <w:rPr>
          <w:sz w:val="20"/>
          <w:szCs w:val="20"/>
          <w:color w:val="auto"/>
        </w:rPr>
      </w:pPr>
    </w:p>
    <w:p>
      <w:pPr>
        <w:ind w:left="265"/>
        <w:spacing w:after="0"/>
        <w:rPr>
          <w:sz w:val="20"/>
          <w:szCs w:val="20"/>
          <w:color w:val="auto"/>
        </w:rPr>
      </w:pPr>
      <w:r>
        <w:rPr>
          <w:rFonts w:ascii="Arial" w:cs="Arial" w:eastAsia="Arial" w:hAnsi="Arial"/>
          <w:sz w:val="20"/>
          <w:szCs w:val="20"/>
          <w:b w:val="1"/>
          <w:bCs w:val="1"/>
          <w:i w:val="1"/>
          <w:iCs w:val="1"/>
          <w:color w:val="00162F"/>
        </w:rPr>
        <w:t>Restricted Stock Unit Awards (RSUs)</w:t>
      </w:r>
    </w:p>
    <w:p>
      <w:pPr>
        <w:spacing w:after="0" w:line="95" w:lineRule="exact"/>
        <w:rPr>
          <w:sz w:val="20"/>
          <w:szCs w:val="20"/>
          <w:color w:val="auto"/>
        </w:rPr>
      </w:pPr>
    </w:p>
    <w:p>
      <w:pPr>
        <w:jc w:val="both"/>
        <w:ind w:left="5" w:firstLine="267"/>
        <w:spacing w:after="0" w:line="253" w:lineRule="auto"/>
        <w:rPr>
          <w:sz w:val="20"/>
          <w:szCs w:val="20"/>
          <w:color w:val="auto"/>
        </w:rPr>
      </w:pPr>
      <w:r>
        <w:rPr>
          <w:rFonts w:ascii="Arial" w:cs="Arial" w:eastAsia="Arial" w:hAnsi="Arial"/>
          <w:sz w:val="20"/>
          <w:szCs w:val="20"/>
          <w:color w:val="00162F"/>
        </w:rPr>
        <w:t>AAG has granted RSUs with service conditions (time vested primarily over three years) and performance conditions. The grant-date fair value of these RSUs is equal to the market price of the underlying shares of AAG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RSUs are equity-classified as the vesting results in the issuance of shares of AAG common stock. Cash-settled restricted stock unit awards (CRSUs) are liability-classified as the vesting results in payment of cash by AAG.</w:t>
      </w:r>
    </w:p>
    <w:p>
      <w:pPr>
        <w:spacing w:after="0" w:line="144"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Stock-settled RSU award activity for all plans for the years ended December 31, 2025, 2024 and 2023 is as follows:</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940" w:type="dxa"/>
            <w:vAlign w:val="bottom"/>
            <w:vMerge w:val="restart"/>
          </w:tcPr>
          <w:p>
            <w:pPr>
              <w:jc w:val="right"/>
              <w:ind w:right="183"/>
              <w:spacing w:after="0"/>
              <w:rPr>
                <w:sz w:val="20"/>
                <w:szCs w:val="20"/>
                <w:color w:val="auto"/>
              </w:rPr>
            </w:pPr>
            <w:r>
              <w:rPr>
                <w:rFonts w:ascii="Arial" w:cs="Arial" w:eastAsia="Arial" w:hAnsi="Arial"/>
                <w:sz w:val="16"/>
                <w:szCs w:val="16"/>
                <w:b w:val="1"/>
                <w:bCs w:val="1"/>
                <w:color w:val="00162F"/>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ind w:right="183"/>
              <w:spacing w:after="0"/>
              <w:rPr>
                <w:sz w:val="20"/>
                <w:szCs w:val="20"/>
                <w:color w:val="auto"/>
              </w:rPr>
            </w:pPr>
            <w:r>
              <w:rPr>
                <w:rFonts w:ascii="Arial" w:cs="Arial" w:eastAsia="Arial" w:hAnsi="Arial"/>
                <w:sz w:val="16"/>
                <w:szCs w:val="16"/>
                <w:b w:val="1"/>
                <w:bCs w:val="1"/>
                <w:color w:val="00162F"/>
              </w:rPr>
              <w:t>Weighted Average</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940" w:type="dxa"/>
            <w:vAlign w:val="bottom"/>
            <w:tcBorders>
              <w:bottom w:val="single" w:sz="8" w:color="00162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00162F"/>
            </w:tcBorders>
          </w:tcPr>
          <w:p>
            <w:pPr>
              <w:spacing w:after="0"/>
              <w:rPr>
                <w:sz w:val="18"/>
                <w:szCs w:val="18"/>
                <w:color w:val="auto"/>
              </w:rPr>
            </w:pPr>
          </w:p>
        </w:tc>
        <w:tc>
          <w:tcPr>
            <w:tcW w:w="1780" w:type="dxa"/>
            <w:vAlign w:val="bottom"/>
            <w:tcBorders>
              <w:bottom w:val="single" w:sz="8" w:color="00162F"/>
            </w:tcBorders>
          </w:tcPr>
          <w:p>
            <w:pPr>
              <w:jc w:val="right"/>
              <w:ind w:right="63"/>
              <w:spacing w:after="0"/>
              <w:rPr>
                <w:sz w:val="20"/>
                <w:szCs w:val="20"/>
                <w:color w:val="auto"/>
              </w:rPr>
            </w:pPr>
            <w:r>
              <w:rPr>
                <w:rFonts w:ascii="Arial" w:cs="Arial" w:eastAsia="Arial" w:hAnsi="Arial"/>
                <w:sz w:val="16"/>
                <w:szCs w:val="16"/>
                <w:b w:val="1"/>
                <w:bCs w:val="1"/>
                <w:color w:val="00162F"/>
                <w:w w:val="98"/>
              </w:rPr>
              <w:t>Grant Date Fair Value</w:t>
            </w: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940" w:type="dxa"/>
            <w:vAlign w:val="bottom"/>
          </w:tcPr>
          <w:p>
            <w:pPr>
              <w:jc w:val="right"/>
              <w:ind w:right="323"/>
              <w:spacing w:after="0"/>
              <w:rPr>
                <w:sz w:val="20"/>
                <w:szCs w:val="20"/>
                <w:color w:val="auto"/>
              </w:rPr>
            </w:pPr>
            <w:r>
              <w:rPr>
                <w:rFonts w:ascii="Arial" w:cs="Arial" w:eastAsia="Arial" w:hAnsi="Arial"/>
                <w:sz w:val="16"/>
                <w:szCs w:val="16"/>
                <w:b w:val="1"/>
                <w:bCs w:val="1"/>
                <w:color w:val="00162F"/>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67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Outstanding at December 31, 2022</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10,263</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17.51</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Granted</w:t>
            </w:r>
          </w:p>
        </w:tc>
        <w:tc>
          <w:tcPr>
            <w:tcW w:w="1940" w:type="dxa"/>
            <w:vAlign w:val="bottom"/>
          </w:tcPr>
          <w:p>
            <w:pPr>
              <w:jc w:val="right"/>
              <w:spacing w:after="0"/>
              <w:rPr>
                <w:sz w:val="20"/>
                <w:szCs w:val="20"/>
                <w:color w:val="auto"/>
              </w:rPr>
            </w:pPr>
            <w:r>
              <w:rPr>
                <w:rFonts w:ascii="Arial" w:cs="Arial" w:eastAsia="Arial" w:hAnsi="Arial"/>
                <w:sz w:val="20"/>
                <w:szCs w:val="20"/>
                <w:color w:val="00162F"/>
              </w:rPr>
              <w:t>9,834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00162F"/>
              </w:rPr>
              <w:t>14.54</w:t>
            </w:r>
          </w:p>
        </w:tc>
        <w:tc>
          <w:tcPr>
            <w:tcW w:w="0" w:type="dxa"/>
            <w:vAlign w:val="bottom"/>
          </w:tcPr>
          <w:p>
            <w:pPr>
              <w:spacing w:after="0"/>
              <w:rPr>
                <w:sz w:val="1"/>
                <w:szCs w:val="1"/>
                <w:color w:val="auto"/>
              </w:rPr>
            </w:pPr>
          </w:p>
        </w:tc>
      </w:tr>
      <w:tr>
        <w:trPr>
          <w:trHeight w:val="301"/>
        </w:trPr>
        <w:tc>
          <w:tcPr>
            <w:tcW w:w="67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Vested and released</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(5,161)</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17.81</w:t>
            </w:r>
          </w:p>
        </w:tc>
        <w:tc>
          <w:tcPr>
            <w:tcW w:w="0" w:type="dxa"/>
            <w:vAlign w:val="bottom"/>
          </w:tcPr>
          <w:p>
            <w:pPr>
              <w:spacing w:after="0"/>
              <w:rPr>
                <w:sz w:val="1"/>
                <w:szCs w:val="1"/>
                <w:color w:val="auto"/>
              </w:rPr>
            </w:pPr>
          </w:p>
        </w:tc>
      </w:tr>
      <w:tr>
        <w:trPr>
          <w:trHeight w:val="287"/>
        </w:trPr>
        <w:tc>
          <w:tcPr>
            <w:tcW w:w="6720" w:type="dxa"/>
            <w:vAlign w:val="bottom"/>
            <w:tcBorders>
              <w:bottom w:val="single" w:sz="8" w:color="EDEDED"/>
            </w:tcBorders>
            <w:gridSpan w:val="2"/>
          </w:tcPr>
          <w:p>
            <w:pPr>
              <w:ind w:left="260"/>
              <w:spacing w:after="0"/>
              <w:rPr>
                <w:sz w:val="20"/>
                <w:szCs w:val="20"/>
                <w:color w:val="auto"/>
              </w:rPr>
            </w:pPr>
            <w:r>
              <w:rPr>
                <w:rFonts w:ascii="Arial" w:cs="Arial" w:eastAsia="Arial" w:hAnsi="Arial"/>
                <w:sz w:val="20"/>
                <w:szCs w:val="20"/>
                <w:color w:val="00162F"/>
              </w:rPr>
              <w:t>Forfeited</w:t>
            </w:r>
          </w:p>
        </w:tc>
        <w:tc>
          <w:tcPr>
            <w:tcW w:w="1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(701)</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EDEDED"/>
            </w:tcBorders>
          </w:tcPr>
          <w:p>
            <w:pPr>
              <w:spacing w:after="0"/>
              <w:rPr>
                <w:sz w:val="24"/>
                <w:szCs w:val="24"/>
                <w:color w:val="auto"/>
              </w:rPr>
            </w:pPr>
          </w:p>
        </w:tc>
        <w:tc>
          <w:tcPr>
            <w:tcW w:w="1780" w:type="dxa"/>
            <w:vAlign w:val="bottom"/>
            <w:tcBorders>
              <w:bottom w:val="single" w:sz="8" w:color="EDEDED"/>
            </w:tcBorders>
          </w:tcPr>
          <w:p>
            <w:pPr>
              <w:jc w:val="right"/>
              <w:spacing w:after="0"/>
              <w:rPr>
                <w:sz w:val="20"/>
                <w:szCs w:val="20"/>
                <w:color w:val="auto"/>
              </w:rPr>
            </w:pPr>
            <w:r>
              <w:rPr>
                <w:rFonts w:ascii="Arial" w:cs="Arial" w:eastAsia="Arial" w:hAnsi="Arial"/>
                <w:sz w:val="20"/>
                <w:szCs w:val="20"/>
                <w:color w:val="00162F"/>
              </w:rPr>
              <w:t>20.49</w:t>
            </w:r>
          </w:p>
        </w:tc>
        <w:tc>
          <w:tcPr>
            <w:tcW w:w="0" w:type="dxa"/>
            <w:vAlign w:val="bottom"/>
          </w:tcPr>
          <w:p>
            <w:pPr>
              <w:spacing w:after="0"/>
              <w:rPr>
                <w:sz w:val="1"/>
                <w:szCs w:val="1"/>
                <w:color w:val="auto"/>
              </w:rPr>
            </w:pPr>
          </w:p>
        </w:tc>
      </w:tr>
      <w:tr>
        <w:trPr>
          <w:trHeight w:val="287"/>
        </w:trPr>
        <w:tc>
          <w:tcPr>
            <w:tcW w:w="67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Outstanding at December 31, 2023</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14,235</w:t>
            </w:r>
          </w:p>
        </w:tc>
        <w:tc>
          <w:tcPr>
            <w:tcW w:w="240" w:type="dxa"/>
            <w:vAlign w:val="bottom"/>
            <w:gridSpan w:val="2"/>
            <w:shd w:val="clear" w:color="auto" w:fill="EDEDED"/>
          </w:tcPr>
          <w:p>
            <w:pPr>
              <w:jc w:val="right"/>
              <w:spacing w:after="0"/>
              <w:rPr>
                <w:sz w:val="20"/>
                <w:szCs w:val="20"/>
                <w:color w:val="auto"/>
              </w:rPr>
            </w:pPr>
            <w:r>
              <w:rPr>
                <w:rFonts w:ascii="Arial" w:cs="Arial" w:eastAsia="Arial" w:hAnsi="Arial"/>
                <w:sz w:val="20"/>
                <w:szCs w:val="20"/>
                <w:color w:val="00162F"/>
              </w:rPr>
              <w:t>$</w:t>
            </w:r>
          </w:p>
        </w:tc>
        <w:tc>
          <w:tcPr>
            <w:tcW w:w="1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15.18</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Granted</w:t>
            </w:r>
          </w:p>
        </w:tc>
        <w:tc>
          <w:tcPr>
            <w:tcW w:w="1940" w:type="dxa"/>
            <w:vAlign w:val="bottom"/>
          </w:tcPr>
          <w:p>
            <w:pPr>
              <w:jc w:val="right"/>
              <w:spacing w:after="0"/>
              <w:rPr>
                <w:sz w:val="20"/>
                <w:szCs w:val="20"/>
                <w:color w:val="auto"/>
              </w:rPr>
            </w:pPr>
            <w:r>
              <w:rPr>
                <w:rFonts w:ascii="Arial" w:cs="Arial" w:eastAsia="Arial" w:hAnsi="Arial"/>
                <w:sz w:val="20"/>
                <w:szCs w:val="20"/>
                <w:color w:val="00162F"/>
              </w:rPr>
              <w:t>2,580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00162F"/>
              </w:rPr>
              <w:t>15.76</w:t>
            </w:r>
          </w:p>
        </w:tc>
        <w:tc>
          <w:tcPr>
            <w:tcW w:w="0" w:type="dxa"/>
            <w:vAlign w:val="bottom"/>
          </w:tcPr>
          <w:p>
            <w:pPr>
              <w:spacing w:after="0"/>
              <w:rPr>
                <w:sz w:val="1"/>
                <w:szCs w:val="1"/>
                <w:color w:val="auto"/>
              </w:rPr>
            </w:pPr>
          </w:p>
        </w:tc>
      </w:tr>
      <w:tr>
        <w:trPr>
          <w:trHeight w:val="301"/>
        </w:trPr>
        <w:tc>
          <w:tcPr>
            <w:tcW w:w="67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Modified </w:t>
            </w:r>
            <w:r>
              <w:rPr>
                <w:rFonts w:ascii="Arial" w:cs="Arial" w:eastAsia="Arial" w:hAnsi="Arial"/>
                <w:sz w:val="12"/>
                <w:szCs w:val="12"/>
                <w:color w:val="00162F"/>
              </w:rPr>
              <w:t>(1)</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(2,809)</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16.18</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Vested and released</w:t>
            </w:r>
          </w:p>
        </w:tc>
        <w:tc>
          <w:tcPr>
            <w:tcW w:w="1940" w:type="dxa"/>
            <w:vAlign w:val="bottom"/>
          </w:tcPr>
          <w:p>
            <w:pPr>
              <w:jc w:val="right"/>
              <w:spacing w:after="0"/>
              <w:rPr>
                <w:sz w:val="20"/>
                <w:szCs w:val="20"/>
                <w:color w:val="auto"/>
              </w:rPr>
            </w:pPr>
            <w:r>
              <w:rPr>
                <w:rFonts w:ascii="Arial" w:cs="Arial" w:eastAsia="Arial" w:hAnsi="Arial"/>
                <w:sz w:val="20"/>
                <w:szCs w:val="20"/>
                <w:color w:val="00162F"/>
              </w:rPr>
              <w:t>(4,833)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00162F"/>
              </w:rPr>
              <w:t>15.91</w:t>
            </w:r>
          </w:p>
        </w:tc>
        <w:tc>
          <w:tcPr>
            <w:tcW w:w="0" w:type="dxa"/>
            <w:vAlign w:val="bottom"/>
          </w:tcPr>
          <w:p>
            <w:pPr>
              <w:spacing w:after="0"/>
              <w:rPr>
                <w:sz w:val="1"/>
                <w:szCs w:val="1"/>
                <w:color w:val="auto"/>
              </w:rPr>
            </w:pPr>
          </w:p>
        </w:tc>
      </w:tr>
      <w:tr>
        <w:trPr>
          <w:trHeight w:val="311"/>
        </w:trPr>
        <w:tc>
          <w:tcPr>
            <w:tcW w:w="672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Forfeited</w:t>
            </w:r>
          </w:p>
        </w:tc>
        <w:tc>
          <w:tcPr>
            <w:tcW w:w="1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(827)</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EDEDED"/>
            </w:tcBorders>
            <w:shd w:val="clear" w:color="auto" w:fill="EDEDED"/>
          </w:tcPr>
          <w:p>
            <w:pPr>
              <w:spacing w:after="0"/>
              <w:rPr>
                <w:sz w:val="24"/>
                <w:szCs w:val="24"/>
                <w:color w:val="auto"/>
              </w:rPr>
            </w:pPr>
          </w:p>
        </w:tc>
        <w:tc>
          <w:tcPr>
            <w:tcW w:w="17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15.83</w:t>
            </w:r>
          </w:p>
        </w:tc>
        <w:tc>
          <w:tcPr>
            <w:tcW w:w="0" w:type="dxa"/>
            <w:vAlign w:val="bottom"/>
          </w:tcPr>
          <w:p>
            <w:pPr>
              <w:spacing w:after="0"/>
              <w:rPr>
                <w:sz w:val="1"/>
                <w:szCs w:val="1"/>
                <w:color w:val="auto"/>
              </w:rPr>
            </w:pPr>
          </w:p>
        </w:tc>
      </w:tr>
      <w:tr>
        <w:trPr>
          <w:trHeight w:val="263"/>
        </w:trPr>
        <w:tc>
          <w:tcPr>
            <w:tcW w:w="6720" w:type="dxa"/>
            <w:vAlign w:val="bottom"/>
            <w:gridSpan w:val="2"/>
          </w:tcPr>
          <w:p>
            <w:pPr>
              <w:ind w:left="40"/>
              <w:spacing w:after="0"/>
              <w:rPr>
                <w:sz w:val="20"/>
                <w:szCs w:val="20"/>
                <w:color w:val="auto"/>
              </w:rPr>
            </w:pPr>
            <w:r>
              <w:rPr>
                <w:rFonts w:ascii="Arial" w:cs="Arial" w:eastAsia="Arial" w:hAnsi="Arial"/>
                <w:sz w:val="20"/>
                <w:szCs w:val="20"/>
                <w:color w:val="00162F"/>
              </w:rPr>
              <w:t>Outstanding at December 31, 2024</w:t>
            </w:r>
          </w:p>
        </w:tc>
        <w:tc>
          <w:tcPr>
            <w:tcW w:w="1940" w:type="dxa"/>
            <w:vAlign w:val="bottom"/>
          </w:tcPr>
          <w:p>
            <w:pPr>
              <w:jc w:val="right"/>
              <w:spacing w:after="0"/>
              <w:rPr>
                <w:sz w:val="20"/>
                <w:szCs w:val="20"/>
                <w:color w:val="auto"/>
              </w:rPr>
            </w:pPr>
            <w:r>
              <w:rPr>
                <w:rFonts w:ascii="Arial" w:cs="Arial" w:eastAsia="Arial" w:hAnsi="Arial"/>
                <w:sz w:val="20"/>
                <w:szCs w:val="20"/>
                <w:color w:val="00162F"/>
              </w:rPr>
              <w:t>8,346</w:t>
            </w:r>
          </w:p>
        </w:tc>
        <w:tc>
          <w:tcPr>
            <w:tcW w:w="24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1780" w:type="dxa"/>
            <w:vAlign w:val="bottom"/>
          </w:tcPr>
          <w:p>
            <w:pPr>
              <w:jc w:val="right"/>
              <w:spacing w:after="0"/>
              <w:rPr>
                <w:sz w:val="20"/>
                <w:szCs w:val="20"/>
                <w:color w:val="auto"/>
              </w:rPr>
            </w:pPr>
            <w:r>
              <w:rPr>
                <w:rFonts w:ascii="Arial" w:cs="Arial" w:eastAsia="Arial" w:hAnsi="Arial"/>
                <w:sz w:val="20"/>
                <w:szCs w:val="20"/>
                <w:color w:val="00162F"/>
              </w:rPr>
              <w:t>15.59</w:t>
            </w:r>
          </w:p>
        </w:tc>
        <w:tc>
          <w:tcPr>
            <w:tcW w:w="0" w:type="dxa"/>
            <w:vAlign w:val="bottom"/>
          </w:tcPr>
          <w:p>
            <w:pPr>
              <w:spacing w:after="0"/>
              <w:rPr>
                <w:sz w:val="1"/>
                <w:szCs w:val="1"/>
                <w:color w:val="auto"/>
              </w:rPr>
            </w:pPr>
          </w:p>
        </w:tc>
      </w:tr>
      <w:tr>
        <w:trPr>
          <w:trHeight w:val="301"/>
        </w:trPr>
        <w:tc>
          <w:tcPr>
            <w:tcW w:w="67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Granted</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5,073</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7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14.11</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Vested and released</w:t>
            </w:r>
          </w:p>
        </w:tc>
        <w:tc>
          <w:tcPr>
            <w:tcW w:w="1940" w:type="dxa"/>
            <w:vAlign w:val="bottom"/>
          </w:tcPr>
          <w:p>
            <w:pPr>
              <w:jc w:val="right"/>
              <w:spacing w:after="0"/>
              <w:rPr>
                <w:sz w:val="20"/>
                <w:szCs w:val="20"/>
                <w:color w:val="auto"/>
              </w:rPr>
            </w:pPr>
            <w:r>
              <w:rPr>
                <w:rFonts w:ascii="Arial" w:cs="Arial" w:eastAsia="Arial" w:hAnsi="Arial"/>
                <w:sz w:val="20"/>
                <w:szCs w:val="20"/>
                <w:color w:val="00162F"/>
              </w:rPr>
              <w:t>(3,949)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00162F"/>
              </w:rPr>
              <w:t>15.27</w:t>
            </w:r>
          </w:p>
        </w:tc>
        <w:tc>
          <w:tcPr>
            <w:tcW w:w="0" w:type="dxa"/>
            <w:vAlign w:val="bottom"/>
          </w:tcPr>
          <w:p>
            <w:pPr>
              <w:spacing w:after="0"/>
              <w:rPr>
                <w:sz w:val="1"/>
                <w:szCs w:val="1"/>
                <w:color w:val="auto"/>
              </w:rPr>
            </w:pPr>
          </w:p>
        </w:tc>
      </w:tr>
      <w:tr>
        <w:trPr>
          <w:trHeight w:val="311"/>
        </w:trPr>
        <w:tc>
          <w:tcPr>
            <w:tcW w:w="672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Forfeited</w:t>
            </w:r>
          </w:p>
        </w:tc>
        <w:tc>
          <w:tcPr>
            <w:tcW w:w="1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(2,337)</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EDEDED"/>
            </w:tcBorders>
            <w:shd w:val="clear" w:color="auto" w:fill="EDEDED"/>
          </w:tcPr>
          <w:p>
            <w:pPr>
              <w:spacing w:after="0"/>
              <w:rPr>
                <w:sz w:val="24"/>
                <w:szCs w:val="24"/>
                <w:color w:val="auto"/>
              </w:rPr>
            </w:pPr>
          </w:p>
        </w:tc>
        <w:tc>
          <w:tcPr>
            <w:tcW w:w="17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15.33</w:t>
            </w:r>
          </w:p>
        </w:tc>
        <w:tc>
          <w:tcPr>
            <w:tcW w:w="0" w:type="dxa"/>
            <w:vAlign w:val="bottom"/>
          </w:tcPr>
          <w:p>
            <w:pPr>
              <w:spacing w:after="0"/>
              <w:rPr>
                <w:sz w:val="1"/>
                <w:szCs w:val="1"/>
                <w:color w:val="auto"/>
              </w:rPr>
            </w:pPr>
          </w:p>
        </w:tc>
      </w:tr>
      <w:tr>
        <w:trPr>
          <w:trHeight w:val="237"/>
        </w:trPr>
        <w:tc>
          <w:tcPr>
            <w:tcW w:w="6720" w:type="dxa"/>
            <w:vAlign w:val="bottom"/>
            <w:gridSpan w:val="2"/>
          </w:tcPr>
          <w:p>
            <w:pPr>
              <w:ind w:left="40"/>
              <w:spacing w:after="0"/>
              <w:rPr>
                <w:sz w:val="20"/>
                <w:szCs w:val="20"/>
                <w:color w:val="auto"/>
              </w:rPr>
            </w:pPr>
            <w:r>
              <w:rPr>
                <w:rFonts w:ascii="Arial" w:cs="Arial" w:eastAsia="Arial" w:hAnsi="Arial"/>
                <w:sz w:val="20"/>
                <w:szCs w:val="20"/>
                <w:color w:val="00162F"/>
              </w:rPr>
              <w:t>Outstanding at December 31, 2025</w:t>
            </w:r>
          </w:p>
        </w:tc>
        <w:tc>
          <w:tcPr>
            <w:tcW w:w="1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7,133</w:t>
            </w:r>
          </w:p>
        </w:tc>
        <w:tc>
          <w:tcPr>
            <w:tcW w:w="240" w:type="dxa"/>
            <w:vAlign w:val="bottom"/>
            <w:gridSpan w:val="2"/>
          </w:tcPr>
          <w:p>
            <w:pPr>
              <w:jc w:val="right"/>
              <w:spacing w:after="0"/>
              <w:rPr>
                <w:sz w:val="20"/>
                <w:szCs w:val="20"/>
                <w:color w:val="auto"/>
              </w:rPr>
            </w:pPr>
            <w:r>
              <w:rPr>
                <w:rFonts w:ascii="Arial" w:cs="Arial" w:eastAsia="Arial" w:hAnsi="Arial"/>
                <w:sz w:val="20"/>
                <w:szCs w:val="20"/>
                <w:color w:val="00162F"/>
              </w:rPr>
              <w:t>$</w:t>
            </w:r>
          </w:p>
        </w:tc>
        <w:tc>
          <w:tcPr>
            <w:tcW w:w="1780" w:type="dxa"/>
            <w:vAlign w:val="bottom"/>
          </w:tcPr>
          <w:p>
            <w:pPr>
              <w:jc w:val="right"/>
              <w:spacing w:after="0"/>
              <w:rPr>
                <w:sz w:val="20"/>
                <w:szCs w:val="20"/>
                <w:color w:val="auto"/>
              </w:rPr>
            </w:pPr>
            <w:r>
              <w:rPr>
                <w:rFonts w:ascii="Arial" w:cs="Arial" w:eastAsia="Arial" w:hAnsi="Arial"/>
                <w:sz w:val="20"/>
                <w:szCs w:val="20"/>
                <w:color w:val="00162F"/>
              </w:rPr>
              <w:t>14.27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940" w:type="dxa"/>
            <w:vAlign w:val="bottom"/>
            <w:tcBorders>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4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-2014220</wp:posOffset>
            </wp:positionV>
            <wp:extent cx="126047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7">
                      <a:extLst>
                        <a:ext uri="{28A0092B-C50C-407E-A947-70E740481C1C}"/>
                      </a:extLst>
                    </a:blip>
                    <a:srcRect/>
                    <a:stretch>
                      <a:fillRect/>
                    </a:stretch>
                  </pic:blipFill>
                  <pic:spPr bwMode="auto">
                    <a:xfrm>
                      <a:off x="0" y="0"/>
                      <a:ext cx="1260475" cy="25400"/>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-1071245</wp:posOffset>
            </wp:positionV>
            <wp:extent cx="126047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8">
                      <a:extLst>
                        <a:ext uri="{28A0092B-C50C-407E-A947-70E740481C1C}"/>
                      </a:extLst>
                    </a:blip>
                    <a:srcRect/>
                    <a:stretch>
                      <a:fillRect/>
                    </a:stretch>
                  </pic:blipFill>
                  <pic:spPr bwMode="auto">
                    <a:xfrm>
                      <a:off x="0" y="0"/>
                      <a:ext cx="1260475" cy="25400"/>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-316865</wp:posOffset>
            </wp:positionV>
            <wp:extent cx="126047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9">
                      <a:extLst>
                        <a:ext uri="{28A0092B-C50C-407E-A947-70E740481C1C}"/>
                      </a:extLst>
                    </a:blip>
                    <a:srcRect/>
                    <a:stretch>
                      <a:fillRect/>
                    </a:stretch>
                  </pic:blipFill>
                  <pic:spPr bwMode="auto">
                    <a:xfrm>
                      <a:off x="0" y="0"/>
                      <a:ext cx="1260475" cy="25400"/>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56" w:lineRule="auto"/>
        <w:tabs>
          <w:tab w:leader="none" w:pos="365" w:val="left"/>
        </w:tabs>
        <w:numPr>
          <w:ilvl w:val="0"/>
          <w:numId w:val="86"/>
        </w:numPr>
        <w:rPr>
          <w:rFonts w:ascii="Arial" w:cs="Arial" w:eastAsia="Arial" w:hAnsi="Arial"/>
          <w:sz w:val="13"/>
          <w:szCs w:val="13"/>
          <w:color w:val="00162F"/>
        </w:rPr>
      </w:pPr>
      <w:r>
        <w:rPr>
          <w:rFonts w:ascii="Arial" w:cs="Arial" w:eastAsia="Arial" w:hAnsi="Arial"/>
          <w:sz w:val="20"/>
          <w:szCs w:val="20"/>
          <w:color w:val="00162F"/>
        </w:rPr>
        <w:t>In 2024, the settlement terms of 2.8 million stock-settled RSUs were modified from settlement in AAG common stock to settlement in cash. This change in award settlement method was the only modification to these awards, and the vesting, forfeiture and all other terms and conditions were unchanged. The modification resulted in a $20 million reclassification from additional paid-in capital to accrued salaries and wages on American’s consolidated balance sheet.</w:t>
      </w:r>
    </w:p>
    <w:p>
      <w:pPr>
        <w:sectPr>
          <w:pgSz w:w="11880" w:h="15480" w:orient="portrait"/>
          <w:cols w:equalWidth="0" w:num="1">
            <w:col w:w="10685"/>
          </w:cols>
          <w:pgMar w:left="595" w:top="249" w:right="600" w:bottom="0" w:gutter="0" w:footer="0" w:header="0"/>
        </w:sectPr>
      </w:pPr>
    </w:p>
    <w:p>
      <w:pPr>
        <w:spacing w:after="0" w:line="236"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167</w:t>
      </w:r>
    </w:p>
    <w:p>
      <w:pPr>
        <w:sectPr>
          <w:pgSz w:w="11880" w:h="15480" w:orient="portrait"/>
          <w:cols w:equalWidth="0" w:num="1">
            <w:col w:w="10685"/>
          </w:cols>
          <w:pgMar w:left="595" w:top="249" w:right="600" w:bottom="0" w:gutter="0" w:footer="0" w:header="0"/>
          <w:type w:val="continuous"/>
        </w:sectPr>
      </w:pPr>
    </w:p>
    <w:bookmarkStart w:id="168" w:name="page169"/>
    <w:bookmarkEnd w:id="168"/>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3"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As of December 31, 2025, there was $51 million of unrecognized compensation cost related to stock-settled RSUs. These costs are expected to be recognized over a weighted average period of one year. The total fair value of stock-settled RSUs vested during the years ended December 31, 2025, 2024 and 2023 was $57 million, $69 million and $78 million, respectively.</w:t>
      </w:r>
    </w:p>
    <w:p>
      <w:pPr>
        <w:spacing w:after="0" w:line="136"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CRSU award activity for all plans for the years ended December 31, 2025 and 2024 is as follows:</w:t>
      </w:r>
    </w:p>
    <w:p>
      <w:pPr>
        <w:spacing w:after="0" w:line="236"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940" w:type="dxa"/>
            <w:vAlign w:val="bottom"/>
            <w:vMerge w:val="restart"/>
          </w:tcPr>
          <w:p>
            <w:pPr>
              <w:jc w:val="right"/>
              <w:ind w:right="184"/>
              <w:spacing w:after="0"/>
              <w:rPr>
                <w:sz w:val="20"/>
                <w:szCs w:val="20"/>
                <w:color w:val="auto"/>
              </w:rPr>
            </w:pPr>
            <w:r>
              <w:rPr>
                <w:rFonts w:ascii="Arial" w:cs="Arial" w:eastAsia="Arial" w:hAnsi="Arial"/>
                <w:sz w:val="16"/>
                <w:szCs w:val="16"/>
                <w:b w:val="1"/>
                <w:bCs w:val="1"/>
                <w:color w:val="00162F"/>
              </w:rPr>
              <w:t>Number of Shares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184"/>
              <w:spacing w:after="0"/>
              <w:rPr>
                <w:sz w:val="20"/>
                <w:szCs w:val="20"/>
                <w:color w:val="auto"/>
              </w:rPr>
            </w:pPr>
            <w:r>
              <w:rPr>
                <w:rFonts w:ascii="Arial" w:cs="Arial" w:eastAsia="Arial" w:hAnsi="Arial"/>
                <w:sz w:val="16"/>
                <w:szCs w:val="16"/>
                <w:b w:val="1"/>
                <w:bCs w:val="1"/>
                <w:color w:val="00162F"/>
              </w:rPr>
              <w:t>Weighted Average</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940" w:type="dxa"/>
            <w:vAlign w:val="bottom"/>
            <w:tcBorders>
              <w:bottom w:val="single" w:sz="8" w:color="00162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00162F"/>
            </w:tcBorders>
          </w:tcPr>
          <w:p>
            <w:pPr>
              <w:spacing w:after="0"/>
              <w:rPr>
                <w:sz w:val="18"/>
                <w:szCs w:val="18"/>
                <w:color w:val="auto"/>
              </w:rPr>
            </w:pPr>
          </w:p>
        </w:tc>
        <w:tc>
          <w:tcPr>
            <w:tcW w:w="1720" w:type="dxa"/>
            <w:vAlign w:val="bottom"/>
            <w:tcBorders>
              <w:bottom w:val="single" w:sz="8" w:color="00162F"/>
            </w:tcBorders>
          </w:tcPr>
          <w:p>
            <w:pPr>
              <w:jc w:val="right"/>
              <w:ind w:right="484"/>
              <w:spacing w:after="0"/>
              <w:rPr>
                <w:sz w:val="20"/>
                <w:szCs w:val="20"/>
                <w:color w:val="auto"/>
              </w:rPr>
            </w:pPr>
            <w:r>
              <w:rPr>
                <w:rFonts w:ascii="Arial" w:cs="Arial" w:eastAsia="Arial" w:hAnsi="Arial"/>
                <w:sz w:val="16"/>
                <w:szCs w:val="16"/>
                <w:b w:val="1"/>
                <w:bCs w:val="1"/>
                <w:color w:val="00162F"/>
              </w:rPr>
              <w:t>Fair Value</w:t>
            </w: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940" w:type="dxa"/>
            <w:vAlign w:val="bottom"/>
          </w:tcPr>
          <w:p>
            <w:pPr>
              <w:jc w:val="right"/>
              <w:ind w:right="324"/>
              <w:spacing w:after="0"/>
              <w:rPr>
                <w:sz w:val="20"/>
                <w:szCs w:val="20"/>
                <w:color w:val="auto"/>
              </w:rPr>
            </w:pPr>
            <w:r>
              <w:rPr>
                <w:rFonts w:ascii="Arial" w:cs="Arial" w:eastAsia="Arial" w:hAnsi="Arial"/>
                <w:sz w:val="16"/>
                <w:szCs w:val="16"/>
                <w:b w:val="1"/>
                <w:bCs w:val="1"/>
                <w:color w:val="00162F"/>
              </w:rPr>
              <w:t>(In thousands)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6720" w:type="dxa"/>
            <w:vAlign w:val="bottom"/>
            <w:gridSpan w:val="2"/>
            <w:shd w:val="clear" w:color="auto" w:fill="EDEDED"/>
          </w:tcPr>
          <w:p>
            <w:pPr>
              <w:ind w:left="40"/>
              <w:spacing w:after="0"/>
              <w:rPr>
                <w:sz w:val="20"/>
                <w:szCs w:val="20"/>
                <w:color w:val="auto"/>
              </w:rPr>
            </w:pPr>
            <w:r>
              <w:rPr>
                <w:rFonts w:ascii="Arial" w:cs="Arial" w:eastAsia="Arial" w:hAnsi="Arial"/>
                <w:sz w:val="20"/>
                <w:szCs w:val="20"/>
                <w:color w:val="00162F"/>
              </w:rPr>
              <w:t>Outstanding at December 31, 2023</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37</w:t>
            </w:r>
          </w:p>
        </w:tc>
        <w:tc>
          <w:tcPr>
            <w:tcW w:w="300" w:type="dxa"/>
            <w:vAlign w:val="bottom"/>
            <w:gridSpan w:val="2"/>
            <w:shd w:val="clear" w:color="auto" w:fill="EDEDED"/>
          </w:tcPr>
          <w:p>
            <w:pPr>
              <w:jc w:val="right"/>
              <w:ind w:right="60"/>
              <w:spacing w:after="0"/>
              <w:rPr>
                <w:sz w:val="20"/>
                <w:szCs w:val="20"/>
                <w:color w:val="auto"/>
              </w:rPr>
            </w:pPr>
            <w:r>
              <w:rPr>
                <w:rFonts w:ascii="Arial" w:cs="Arial" w:eastAsia="Arial" w:hAnsi="Arial"/>
                <w:sz w:val="20"/>
                <w:szCs w:val="20"/>
                <w:color w:val="00162F"/>
              </w:rPr>
              <w:t>$</w:t>
            </w:r>
          </w:p>
        </w:tc>
        <w:tc>
          <w:tcPr>
            <w:tcW w:w="1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13.74</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Granted</w:t>
            </w:r>
          </w:p>
        </w:tc>
        <w:tc>
          <w:tcPr>
            <w:tcW w:w="1940" w:type="dxa"/>
            <w:vAlign w:val="bottom"/>
          </w:tcPr>
          <w:p>
            <w:pPr>
              <w:jc w:val="right"/>
              <w:spacing w:after="0"/>
              <w:rPr>
                <w:sz w:val="20"/>
                <w:szCs w:val="20"/>
                <w:color w:val="auto"/>
              </w:rPr>
            </w:pPr>
            <w:r>
              <w:rPr>
                <w:rFonts w:ascii="Arial" w:cs="Arial" w:eastAsia="Arial" w:hAnsi="Arial"/>
                <w:sz w:val="20"/>
                <w:szCs w:val="20"/>
                <w:color w:val="00162F"/>
              </w:rPr>
              <w:t>5,634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00162F"/>
              </w:rPr>
              <w:t>17.43</w:t>
            </w:r>
          </w:p>
        </w:tc>
        <w:tc>
          <w:tcPr>
            <w:tcW w:w="0" w:type="dxa"/>
            <w:vAlign w:val="bottom"/>
          </w:tcPr>
          <w:p>
            <w:pPr>
              <w:spacing w:after="0"/>
              <w:rPr>
                <w:sz w:val="1"/>
                <w:szCs w:val="1"/>
                <w:color w:val="auto"/>
              </w:rPr>
            </w:pPr>
          </w:p>
        </w:tc>
      </w:tr>
      <w:tr>
        <w:trPr>
          <w:trHeight w:val="301"/>
        </w:trPr>
        <w:tc>
          <w:tcPr>
            <w:tcW w:w="67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 xml:space="preserve">Modified </w:t>
            </w:r>
            <w:r>
              <w:rPr>
                <w:rFonts w:ascii="Arial" w:cs="Arial" w:eastAsia="Arial" w:hAnsi="Arial"/>
                <w:sz w:val="12"/>
                <w:szCs w:val="12"/>
                <w:color w:val="00162F"/>
              </w:rPr>
              <w:t>(1)</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2,809</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16.18</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Vested and released</w:t>
            </w:r>
          </w:p>
        </w:tc>
        <w:tc>
          <w:tcPr>
            <w:tcW w:w="1940" w:type="dxa"/>
            <w:vAlign w:val="bottom"/>
          </w:tcPr>
          <w:p>
            <w:pPr>
              <w:jc w:val="right"/>
              <w:spacing w:after="0"/>
              <w:rPr>
                <w:sz w:val="20"/>
                <w:szCs w:val="20"/>
                <w:color w:val="auto"/>
              </w:rPr>
            </w:pPr>
            <w:r>
              <w:rPr>
                <w:rFonts w:ascii="Arial" w:cs="Arial" w:eastAsia="Arial" w:hAnsi="Arial"/>
                <w:sz w:val="20"/>
                <w:szCs w:val="20"/>
                <w:color w:val="00162F"/>
              </w:rPr>
              <w:t>(1,337)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00162F"/>
              </w:rPr>
              <w:t>14.75</w:t>
            </w:r>
          </w:p>
        </w:tc>
        <w:tc>
          <w:tcPr>
            <w:tcW w:w="0" w:type="dxa"/>
            <w:vAlign w:val="bottom"/>
          </w:tcPr>
          <w:p>
            <w:pPr>
              <w:spacing w:after="0"/>
              <w:rPr>
                <w:sz w:val="1"/>
                <w:szCs w:val="1"/>
                <w:color w:val="auto"/>
              </w:rPr>
            </w:pPr>
          </w:p>
        </w:tc>
      </w:tr>
      <w:tr>
        <w:trPr>
          <w:trHeight w:val="311"/>
        </w:trPr>
        <w:tc>
          <w:tcPr>
            <w:tcW w:w="672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Forfeited</w:t>
            </w:r>
          </w:p>
        </w:tc>
        <w:tc>
          <w:tcPr>
            <w:tcW w:w="1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(136)</w:t>
            </w:r>
          </w:p>
        </w:tc>
        <w:tc>
          <w:tcPr>
            <w:tcW w:w="8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EDEDED"/>
            </w:tcBorders>
            <w:shd w:val="clear" w:color="auto" w:fill="EDEDED"/>
          </w:tcPr>
          <w:p>
            <w:pPr>
              <w:spacing w:after="0"/>
              <w:rPr>
                <w:sz w:val="24"/>
                <w:szCs w:val="24"/>
                <w:color w:val="auto"/>
              </w:rPr>
            </w:pPr>
          </w:p>
        </w:tc>
        <w:tc>
          <w:tcPr>
            <w:tcW w:w="17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17.42</w:t>
            </w:r>
          </w:p>
        </w:tc>
        <w:tc>
          <w:tcPr>
            <w:tcW w:w="0" w:type="dxa"/>
            <w:vAlign w:val="bottom"/>
          </w:tcPr>
          <w:p>
            <w:pPr>
              <w:spacing w:after="0"/>
              <w:rPr>
                <w:sz w:val="1"/>
                <w:szCs w:val="1"/>
                <w:color w:val="auto"/>
              </w:rPr>
            </w:pPr>
          </w:p>
        </w:tc>
      </w:tr>
      <w:tr>
        <w:trPr>
          <w:trHeight w:val="263"/>
        </w:trPr>
        <w:tc>
          <w:tcPr>
            <w:tcW w:w="6720" w:type="dxa"/>
            <w:vAlign w:val="bottom"/>
            <w:gridSpan w:val="2"/>
          </w:tcPr>
          <w:p>
            <w:pPr>
              <w:ind w:left="40"/>
              <w:spacing w:after="0"/>
              <w:rPr>
                <w:sz w:val="20"/>
                <w:szCs w:val="20"/>
                <w:color w:val="auto"/>
              </w:rPr>
            </w:pPr>
            <w:r>
              <w:rPr>
                <w:rFonts w:ascii="Arial" w:cs="Arial" w:eastAsia="Arial" w:hAnsi="Arial"/>
                <w:sz w:val="20"/>
                <w:szCs w:val="20"/>
                <w:color w:val="00162F"/>
              </w:rPr>
              <w:t>Outstanding at December 31, 2024</w:t>
            </w:r>
          </w:p>
        </w:tc>
        <w:tc>
          <w:tcPr>
            <w:tcW w:w="1940" w:type="dxa"/>
            <w:vAlign w:val="bottom"/>
          </w:tcPr>
          <w:p>
            <w:pPr>
              <w:jc w:val="right"/>
              <w:spacing w:after="0"/>
              <w:rPr>
                <w:sz w:val="20"/>
                <w:szCs w:val="20"/>
                <w:color w:val="auto"/>
              </w:rPr>
            </w:pPr>
            <w:r>
              <w:rPr>
                <w:rFonts w:ascii="Arial" w:cs="Arial" w:eastAsia="Arial" w:hAnsi="Arial"/>
                <w:sz w:val="20"/>
                <w:szCs w:val="20"/>
                <w:color w:val="00162F"/>
              </w:rPr>
              <w:t>7,007</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00162F"/>
              </w:rPr>
              <w:t>$</w:t>
            </w:r>
          </w:p>
        </w:tc>
        <w:tc>
          <w:tcPr>
            <w:tcW w:w="1720" w:type="dxa"/>
            <w:vAlign w:val="bottom"/>
          </w:tcPr>
          <w:p>
            <w:pPr>
              <w:jc w:val="right"/>
              <w:spacing w:after="0"/>
              <w:rPr>
                <w:sz w:val="20"/>
                <w:szCs w:val="20"/>
                <w:color w:val="auto"/>
              </w:rPr>
            </w:pPr>
            <w:r>
              <w:rPr>
                <w:rFonts w:ascii="Arial" w:cs="Arial" w:eastAsia="Arial" w:hAnsi="Arial"/>
                <w:sz w:val="20"/>
                <w:szCs w:val="20"/>
                <w:color w:val="00162F"/>
              </w:rPr>
              <w:t>17.43</w:t>
            </w:r>
          </w:p>
        </w:tc>
        <w:tc>
          <w:tcPr>
            <w:tcW w:w="0" w:type="dxa"/>
            <w:vAlign w:val="bottom"/>
          </w:tcPr>
          <w:p>
            <w:pPr>
              <w:spacing w:after="0"/>
              <w:rPr>
                <w:sz w:val="1"/>
                <w:szCs w:val="1"/>
                <w:color w:val="auto"/>
              </w:rPr>
            </w:pPr>
          </w:p>
        </w:tc>
      </w:tr>
      <w:tr>
        <w:trPr>
          <w:trHeight w:val="301"/>
        </w:trPr>
        <w:tc>
          <w:tcPr>
            <w:tcW w:w="6720" w:type="dxa"/>
            <w:vAlign w:val="bottom"/>
            <w:gridSpan w:val="2"/>
            <w:shd w:val="clear" w:color="auto" w:fill="EDEDED"/>
          </w:tcPr>
          <w:p>
            <w:pPr>
              <w:ind w:left="260"/>
              <w:spacing w:after="0"/>
              <w:rPr>
                <w:sz w:val="20"/>
                <w:szCs w:val="20"/>
                <w:color w:val="auto"/>
              </w:rPr>
            </w:pPr>
            <w:r>
              <w:rPr>
                <w:rFonts w:ascii="Arial" w:cs="Arial" w:eastAsia="Arial" w:hAnsi="Arial"/>
                <w:sz w:val="20"/>
                <w:szCs w:val="20"/>
                <w:color w:val="00162F"/>
              </w:rPr>
              <w:t>Granted</w:t>
            </w:r>
          </w:p>
        </w:tc>
        <w:tc>
          <w:tcPr>
            <w:tcW w:w="19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6,009</w:t>
            </w:r>
          </w:p>
        </w:tc>
        <w:tc>
          <w:tcPr>
            <w:tcW w:w="8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7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15.33</w:t>
            </w:r>
          </w:p>
        </w:tc>
        <w:tc>
          <w:tcPr>
            <w:tcW w:w="0" w:type="dxa"/>
            <w:vAlign w:val="bottom"/>
          </w:tcPr>
          <w:p>
            <w:pPr>
              <w:spacing w:after="0"/>
              <w:rPr>
                <w:sz w:val="1"/>
                <w:szCs w:val="1"/>
                <w:color w:val="auto"/>
              </w:rPr>
            </w:pPr>
          </w:p>
        </w:tc>
      </w:tr>
      <w:tr>
        <w:trPr>
          <w:trHeight w:val="293"/>
        </w:trPr>
        <w:tc>
          <w:tcPr>
            <w:tcW w:w="6720" w:type="dxa"/>
            <w:vAlign w:val="bottom"/>
            <w:gridSpan w:val="2"/>
          </w:tcPr>
          <w:p>
            <w:pPr>
              <w:ind w:left="260"/>
              <w:spacing w:after="0"/>
              <w:rPr>
                <w:sz w:val="20"/>
                <w:szCs w:val="20"/>
                <w:color w:val="auto"/>
              </w:rPr>
            </w:pPr>
            <w:r>
              <w:rPr>
                <w:rFonts w:ascii="Arial" w:cs="Arial" w:eastAsia="Arial" w:hAnsi="Arial"/>
                <w:sz w:val="20"/>
                <w:szCs w:val="20"/>
                <w:color w:val="00162F"/>
              </w:rPr>
              <w:t>Vested and released</w:t>
            </w:r>
          </w:p>
        </w:tc>
        <w:tc>
          <w:tcPr>
            <w:tcW w:w="1940" w:type="dxa"/>
            <w:vAlign w:val="bottom"/>
          </w:tcPr>
          <w:p>
            <w:pPr>
              <w:jc w:val="right"/>
              <w:spacing w:after="0"/>
              <w:rPr>
                <w:sz w:val="20"/>
                <w:szCs w:val="20"/>
                <w:color w:val="auto"/>
              </w:rPr>
            </w:pPr>
            <w:r>
              <w:rPr>
                <w:rFonts w:ascii="Arial" w:cs="Arial" w:eastAsia="Arial" w:hAnsi="Arial"/>
                <w:sz w:val="20"/>
                <w:szCs w:val="20"/>
                <w:color w:val="00162F"/>
              </w:rPr>
              <w:t>(2,606)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00162F"/>
              </w:rPr>
              <w:t>16.43</w:t>
            </w:r>
          </w:p>
        </w:tc>
        <w:tc>
          <w:tcPr>
            <w:tcW w:w="0" w:type="dxa"/>
            <w:vAlign w:val="bottom"/>
          </w:tcPr>
          <w:p>
            <w:pPr>
              <w:spacing w:after="0"/>
              <w:rPr>
                <w:sz w:val="1"/>
                <w:szCs w:val="1"/>
                <w:color w:val="auto"/>
              </w:rPr>
            </w:pPr>
          </w:p>
        </w:tc>
      </w:tr>
      <w:tr>
        <w:trPr>
          <w:trHeight w:val="311"/>
        </w:trPr>
        <w:tc>
          <w:tcPr>
            <w:tcW w:w="6720" w:type="dxa"/>
            <w:vAlign w:val="bottom"/>
            <w:tcBorders>
              <w:bottom w:val="single" w:sz="8" w:color="EDEDED"/>
            </w:tcBorders>
            <w:gridSpan w:val="2"/>
            <w:shd w:val="clear" w:color="auto" w:fill="EDEDED"/>
          </w:tcPr>
          <w:p>
            <w:pPr>
              <w:ind w:left="260"/>
              <w:spacing w:after="0"/>
              <w:rPr>
                <w:sz w:val="20"/>
                <w:szCs w:val="20"/>
                <w:color w:val="auto"/>
              </w:rPr>
            </w:pPr>
            <w:r>
              <w:rPr>
                <w:rFonts w:ascii="Arial" w:cs="Arial" w:eastAsia="Arial" w:hAnsi="Arial"/>
                <w:sz w:val="20"/>
                <w:szCs w:val="20"/>
                <w:color w:val="00162F"/>
              </w:rPr>
              <w:t>Forfeited</w:t>
            </w:r>
          </w:p>
        </w:tc>
        <w:tc>
          <w:tcPr>
            <w:tcW w:w="1940" w:type="dxa"/>
            <w:vAlign w:val="bottom"/>
            <w:tcBorders>
              <w:bottom w:val="single" w:sz="8" w:color="00162F"/>
            </w:tcBorders>
            <w:shd w:val="clear" w:color="auto" w:fill="EDEDED"/>
          </w:tcPr>
          <w:p>
            <w:pPr>
              <w:jc w:val="right"/>
              <w:spacing w:after="0"/>
              <w:rPr>
                <w:sz w:val="20"/>
                <w:szCs w:val="20"/>
                <w:color w:val="auto"/>
              </w:rPr>
            </w:pPr>
            <w:r>
              <w:rPr>
                <w:rFonts w:ascii="Arial" w:cs="Arial" w:eastAsia="Arial" w:hAnsi="Arial"/>
                <w:sz w:val="20"/>
                <w:szCs w:val="20"/>
                <w:color w:val="00162F"/>
              </w:rPr>
              <w:t>(547)</w:t>
            </w:r>
          </w:p>
        </w:tc>
        <w:tc>
          <w:tcPr>
            <w:tcW w:w="8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EDEDED"/>
            </w:tcBorders>
            <w:shd w:val="clear" w:color="auto" w:fill="EDEDED"/>
          </w:tcPr>
          <w:p>
            <w:pPr>
              <w:spacing w:after="0"/>
              <w:rPr>
                <w:sz w:val="24"/>
                <w:szCs w:val="24"/>
                <w:color w:val="auto"/>
              </w:rPr>
            </w:pPr>
          </w:p>
        </w:tc>
        <w:tc>
          <w:tcPr>
            <w:tcW w:w="17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20"/>
                <w:szCs w:val="20"/>
                <w:color w:val="00162F"/>
              </w:rPr>
              <w:t>15.60</w:t>
            </w:r>
          </w:p>
        </w:tc>
        <w:tc>
          <w:tcPr>
            <w:tcW w:w="0" w:type="dxa"/>
            <w:vAlign w:val="bottom"/>
          </w:tcPr>
          <w:p>
            <w:pPr>
              <w:spacing w:after="0"/>
              <w:rPr>
                <w:sz w:val="1"/>
                <w:szCs w:val="1"/>
                <w:color w:val="auto"/>
              </w:rPr>
            </w:pPr>
          </w:p>
        </w:tc>
      </w:tr>
      <w:tr>
        <w:trPr>
          <w:trHeight w:val="237"/>
        </w:trPr>
        <w:tc>
          <w:tcPr>
            <w:tcW w:w="6720" w:type="dxa"/>
            <w:vAlign w:val="bottom"/>
            <w:gridSpan w:val="2"/>
          </w:tcPr>
          <w:p>
            <w:pPr>
              <w:ind w:left="40"/>
              <w:spacing w:after="0"/>
              <w:rPr>
                <w:sz w:val="20"/>
                <w:szCs w:val="20"/>
                <w:color w:val="auto"/>
              </w:rPr>
            </w:pPr>
            <w:r>
              <w:rPr>
                <w:rFonts w:ascii="Arial" w:cs="Arial" w:eastAsia="Arial" w:hAnsi="Arial"/>
                <w:sz w:val="20"/>
                <w:szCs w:val="20"/>
                <w:color w:val="00162F"/>
              </w:rPr>
              <w:t>Outstanding at December 31, 2025</w:t>
            </w:r>
          </w:p>
        </w:tc>
        <w:tc>
          <w:tcPr>
            <w:tcW w:w="194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9,863</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00162F"/>
              </w:rPr>
              <w:t>$</w:t>
            </w:r>
          </w:p>
        </w:tc>
        <w:tc>
          <w:tcPr>
            <w:tcW w:w="1720" w:type="dxa"/>
            <w:vAlign w:val="bottom"/>
          </w:tcPr>
          <w:p>
            <w:pPr>
              <w:jc w:val="right"/>
              <w:spacing w:after="0"/>
              <w:rPr>
                <w:sz w:val="20"/>
                <w:szCs w:val="20"/>
                <w:color w:val="auto"/>
              </w:rPr>
            </w:pPr>
            <w:r>
              <w:rPr>
                <w:rFonts w:ascii="Arial" w:cs="Arial" w:eastAsia="Arial" w:hAnsi="Arial"/>
                <w:sz w:val="20"/>
                <w:szCs w:val="20"/>
                <w:color w:val="00162F"/>
              </w:rPr>
              <w:t>15.33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940" w:type="dxa"/>
            <w:vAlign w:val="bottom"/>
            <w:tcBorders>
              <w:bottom w:val="single" w:sz="8" w:color="0016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tcBorders>
              <w:bottom w:val="single" w:sz="8" w:color="00162F"/>
            </w:tcBorders>
          </w:tcPr>
          <w:p>
            <w:pPr>
              <w:spacing w:after="0"/>
              <w:rPr>
                <w:sz w:val="11"/>
                <w:szCs w:val="11"/>
                <w:color w:val="auto"/>
              </w:rPr>
            </w:pPr>
          </w:p>
        </w:tc>
        <w:tc>
          <w:tcPr>
            <w:tcW w:w="4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-1071245</wp:posOffset>
            </wp:positionV>
            <wp:extent cx="126047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0">
                      <a:extLst>
                        <a:ext uri="{28A0092B-C50C-407E-A947-70E740481C1C}"/>
                      </a:extLst>
                    </a:blip>
                    <a:srcRect/>
                    <a:stretch>
                      <a:fillRect/>
                    </a:stretch>
                  </pic:blipFill>
                  <pic:spPr bwMode="auto">
                    <a:xfrm>
                      <a:off x="0" y="0"/>
                      <a:ext cx="1260475" cy="25400"/>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-316865</wp:posOffset>
            </wp:positionV>
            <wp:extent cx="126047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1">
                      <a:extLst>
                        <a:ext uri="{28A0092B-C50C-407E-A947-70E740481C1C}"/>
                      </a:extLst>
                    </a:blip>
                    <a:srcRect/>
                    <a:stretch>
                      <a:fillRect/>
                    </a:stretch>
                  </pic:blipFill>
                  <pic:spPr bwMode="auto">
                    <a:xfrm>
                      <a:off x="0" y="0"/>
                      <a:ext cx="1260475" cy="25400"/>
                    </a:xfrm>
                    <a:prstGeom prst="rect">
                      <a:avLst/>
                    </a:prstGeom>
                    <a:noFill/>
                  </pic:spPr>
                </pic:pic>
              </a:graphicData>
            </a:graphic>
          </wp:anchor>
        </w:drawing>
      </w:r>
    </w:p>
    <w:p>
      <w:pPr>
        <w:spacing w:after="0" w:line="14" w:lineRule="exact"/>
        <w:rPr>
          <w:sz w:val="20"/>
          <w:szCs w:val="20"/>
          <w:color w:val="auto"/>
        </w:rPr>
      </w:pPr>
    </w:p>
    <w:p>
      <w:pPr>
        <w:ind w:left="365" w:hanging="365"/>
        <w:spacing w:after="0" w:line="282" w:lineRule="auto"/>
        <w:tabs>
          <w:tab w:leader="none" w:pos="365" w:val="left"/>
        </w:tabs>
        <w:numPr>
          <w:ilvl w:val="0"/>
          <w:numId w:val="87"/>
        </w:numPr>
        <w:rPr>
          <w:rFonts w:ascii="Arial" w:cs="Arial" w:eastAsia="Arial" w:hAnsi="Arial"/>
          <w:sz w:val="13"/>
          <w:szCs w:val="13"/>
          <w:color w:val="00162F"/>
        </w:rPr>
      </w:pPr>
      <w:r>
        <w:rPr>
          <w:rFonts w:ascii="Arial" w:cs="Arial" w:eastAsia="Arial" w:hAnsi="Arial"/>
          <w:sz w:val="20"/>
          <w:szCs w:val="20"/>
          <w:color w:val="00162F"/>
        </w:rPr>
        <w:t>In 2024, the settlement terms of 2.8 million stock-settled RSUs were modified from settlement in AAG common stock to settlement in cash. See table above for further discussion.</w:t>
      </w:r>
    </w:p>
    <w:p>
      <w:pPr>
        <w:spacing w:after="0" w:line="113" w:lineRule="exact"/>
        <w:rPr>
          <w:sz w:val="20"/>
          <w:szCs w:val="20"/>
          <w:color w:val="auto"/>
        </w:rPr>
      </w:pPr>
    </w:p>
    <w:p>
      <w:pPr>
        <w:jc w:val="both"/>
        <w:ind w:left="5" w:firstLine="267"/>
        <w:spacing w:after="0" w:line="256" w:lineRule="auto"/>
        <w:rPr>
          <w:sz w:val="20"/>
          <w:szCs w:val="20"/>
          <w:color w:val="auto"/>
        </w:rPr>
      </w:pPr>
      <w:r>
        <w:rPr>
          <w:rFonts w:ascii="Arial" w:cs="Arial" w:eastAsia="Arial" w:hAnsi="Arial"/>
          <w:sz w:val="20"/>
          <w:szCs w:val="20"/>
          <w:color w:val="00162F"/>
        </w:rPr>
        <w:t>As of December 31, 2025 and 2024, the liability related to CRSUs was $53 million and $39 million, respectively. The CRSU related liability is remeasured at fair value at each reporting date until all awards are vested. As of December 31, 2025, there was $91 million of unrecognized compensation cost related to CRSUs. These costs are expected to be recognized over a weighted average period of one year. The total cash paid for CRSUs vested during the years ended December 31, 2025 and 2024 was $37 million and $18 million, respectively.</w:t>
      </w:r>
    </w:p>
    <w:p>
      <w:pPr>
        <w:spacing w:after="0" w:line="139"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For the year ended December 31, 2023, CRSU award activity was nominal.</w:t>
      </w:r>
    </w:p>
    <w:p>
      <w:pPr>
        <w:spacing w:after="0" w:line="274"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14. Valuation and Qualifying Accounts (in millions)</w:t>
      </w:r>
    </w:p>
    <w:p>
      <w:pPr>
        <w:spacing w:after="0" w:line="17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3"/>
              <w:spacing w:after="0"/>
              <w:rPr>
                <w:sz w:val="20"/>
                <w:szCs w:val="20"/>
                <w:color w:val="auto"/>
              </w:rPr>
            </w:pPr>
            <w:r>
              <w:rPr>
                <w:rFonts w:ascii="Arial" w:cs="Arial" w:eastAsia="Arial" w:hAnsi="Arial"/>
                <w:sz w:val="16"/>
                <w:szCs w:val="16"/>
                <w:b w:val="1"/>
                <w:bCs w:val="1"/>
                <w:color w:val="00162F"/>
              </w:rPr>
              <w:t>Additions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center"/>
              <w:ind w:right="151"/>
              <w:spacing w:after="0"/>
              <w:rPr>
                <w:sz w:val="20"/>
                <w:szCs w:val="20"/>
                <w:color w:val="auto"/>
              </w:rPr>
            </w:pPr>
            <w:r>
              <w:rPr>
                <w:rFonts w:ascii="Arial" w:cs="Arial" w:eastAsia="Arial" w:hAnsi="Arial"/>
                <w:sz w:val="16"/>
                <w:szCs w:val="16"/>
                <w:b w:val="1"/>
                <w:bCs w:val="1"/>
                <w:color w:val="00162F"/>
                <w:w w:val="97"/>
              </w:rPr>
              <w:t>Balance at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00162F"/>
                <w:w w:val="97"/>
              </w:rPr>
              <w:t>Charged to</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00162F"/>
                <w:w w:val="99"/>
              </w:rPr>
              <w:t>Statement of</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29"/>
              <w:spacing w:after="0"/>
              <w:rPr>
                <w:sz w:val="20"/>
                <w:szCs w:val="20"/>
                <w:color w:val="auto"/>
              </w:rPr>
            </w:pPr>
            <w:r>
              <w:rPr>
                <w:rFonts w:ascii="Arial" w:cs="Arial" w:eastAsia="Arial" w:hAnsi="Arial"/>
                <w:sz w:val="16"/>
                <w:szCs w:val="16"/>
                <w:b w:val="1"/>
                <w:bCs w:val="1"/>
                <w:color w:val="00162F"/>
              </w:rPr>
              <w:t>Deductions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49"/>
              <w:spacing w:after="0"/>
              <w:rPr>
                <w:sz w:val="20"/>
                <w:szCs w:val="20"/>
                <w:color w:val="auto"/>
              </w:rPr>
            </w:pPr>
            <w:r>
              <w:rPr>
                <w:rFonts w:ascii="Arial" w:cs="Arial" w:eastAsia="Arial" w:hAnsi="Arial"/>
                <w:sz w:val="16"/>
                <w:szCs w:val="16"/>
                <w:b w:val="1"/>
                <w:bCs w:val="1"/>
                <w:color w:val="00162F"/>
              </w:rPr>
              <w:t>Balance at</w:t>
            </w: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91"/>
              <w:spacing w:after="0" w:line="158" w:lineRule="exact"/>
              <w:rPr>
                <w:sz w:val="20"/>
                <w:szCs w:val="20"/>
                <w:color w:val="auto"/>
              </w:rPr>
            </w:pPr>
            <w:r>
              <w:rPr>
                <w:rFonts w:ascii="Arial" w:cs="Arial" w:eastAsia="Arial" w:hAnsi="Arial"/>
                <w:sz w:val="16"/>
                <w:szCs w:val="16"/>
                <w:b w:val="1"/>
                <w:bCs w:val="1"/>
                <w:color w:val="00162F"/>
                <w:w w:val="99"/>
              </w:rPr>
              <w:t>Beginning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00162F"/>
                <w:w w:val="99"/>
              </w:rPr>
              <w:t>Operations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560" w:type="dxa"/>
            <w:vAlign w:val="bottom"/>
            <w:tcBorders>
              <w:bottom w:val="single" w:sz="8" w:color="EDEDED"/>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220" w:type="dxa"/>
            <w:vAlign w:val="bottom"/>
            <w:tcBorders>
              <w:bottom w:val="single" w:sz="8" w:color="00162F"/>
            </w:tcBorders>
          </w:tcPr>
          <w:p>
            <w:pPr>
              <w:jc w:val="center"/>
              <w:ind w:right="151"/>
              <w:spacing w:after="0"/>
              <w:rPr>
                <w:sz w:val="20"/>
                <w:szCs w:val="20"/>
                <w:color w:val="auto"/>
              </w:rPr>
            </w:pPr>
            <w:r>
              <w:rPr>
                <w:rFonts w:ascii="Arial" w:cs="Arial" w:eastAsia="Arial" w:hAnsi="Arial"/>
                <w:sz w:val="16"/>
                <w:szCs w:val="16"/>
                <w:b w:val="1"/>
                <w:bCs w:val="1"/>
                <w:color w:val="00162F"/>
                <w:w w:val="99"/>
              </w:rPr>
              <w:t>of Year</w:t>
            </w:r>
          </w:p>
        </w:tc>
        <w:tc>
          <w:tcPr>
            <w:tcW w:w="80" w:type="dxa"/>
            <w:vAlign w:val="bottom"/>
            <w:tcBorders>
              <w:bottom w:val="single" w:sz="8" w:color="EDEDED"/>
            </w:tcBorders>
          </w:tcPr>
          <w:p>
            <w:pPr>
              <w:spacing w:after="0"/>
              <w:rPr>
                <w:sz w:val="18"/>
                <w:szCs w:val="18"/>
                <w:color w:val="auto"/>
              </w:rPr>
            </w:pPr>
          </w:p>
        </w:tc>
        <w:tc>
          <w:tcPr>
            <w:tcW w:w="200" w:type="dxa"/>
            <w:vAlign w:val="bottom"/>
            <w:tcBorders>
              <w:bottom w:val="single" w:sz="8" w:color="00162F"/>
            </w:tcBorders>
          </w:tcPr>
          <w:p>
            <w:pPr>
              <w:spacing w:after="0"/>
              <w:rPr>
                <w:sz w:val="18"/>
                <w:szCs w:val="18"/>
                <w:color w:val="auto"/>
              </w:rPr>
            </w:pPr>
          </w:p>
        </w:tc>
        <w:tc>
          <w:tcPr>
            <w:tcW w:w="1260" w:type="dxa"/>
            <w:vAlign w:val="bottom"/>
            <w:tcBorders>
              <w:bottom w:val="single" w:sz="8" w:color="00162F"/>
            </w:tcBorders>
          </w:tcPr>
          <w:p>
            <w:pPr>
              <w:jc w:val="center"/>
              <w:ind w:right="93"/>
              <w:spacing w:after="0"/>
              <w:rPr>
                <w:sz w:val="20"/>
                <w:szCs w:val="20"/>
                <w:color w:val="auto"/>
              </w:rPr>
            </w:pPr>
            <w:r>
              <w:rPr>
                <w:rFonts w:ascii="Arial" w:cs="Arial" w:eastAsia="Arial" w:hAnsi="Arial"/>
                <w:sz w:val="16"/>
                <w:szCs w:val="16"/>
                <w:b w:val="1"/>
                <w:bCs w:val="1"/>
                <w:color w:val="00162F"/>
                <w:w w:val="98"/>
              </w:rPr>
              <w:t>Accounts</w:t>
            </w:r>
          </w:p>
        </w:tc>
        <w:tc>
          <w:tcPr>
            <w:tcW w:w="80" w:type="dxa"/>
            <w:vAlign w:val="bottom"/>
            <w:tcBorders>
              <w:bottom w:val="single" w:sz="8" w:color="EDEDED"/>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240" w:type="dxa"/>
            <w:vAlign w:val="bottom"/>
            <w:tcBorders>
              <w:bottom w:val="single" w:sz="8" w:color="00162F"/>
            </w:tcBorders>
          </w:tcPr>
          <w:p>
            <w:pPr>
              <w:jc w:val="right"/>
              <w:ind w:right="269"/>
              <w:spacing w:after="0"/>
              <w:rPr>
                <w:sz w:val="20"/>
                <w:szCs w:val="20"/>
                <w:color w:val="auto"/>
              </w:rPr>
            </w:pPr>
            <w:r>
              <w:rPr>
                <w:rFonts w:ascii="Arial" w:cs="Arial" w:eastAsia="Arial" w:hAnsi="Arial"/>
                <w:sz w:val="16"/>
                <w:szCs w:val="16"/>
                <w:b w:val="1"/>
                <w:bCs w:val="1"/>
                <w:color w:val="00162F"/>
              </w:rPr>
              <w:t>and Other</w:t>
            </w:r>
          </w:p>
        </w:tc>
        <w:tc>
          <w:tcPr>
            <w:tcW w:w="60" w:type="dxa"/>
            <w:vAlign w:val="bottom"/>
            <w:tcBorders>
              <w:bottom w:val="single" w:sz="8" w:color="EDEDED"/>
            </w:tcBorders>
          </w:tcPr>
          <w:p>
            <w:pPr>
              <w:spacing w:after="0"/>
              <w:rPr>
                <w:sz w:val="18"/>
                <w:szCs w:val="18"/>
                <w:color w:val="auto"/>
              </w:rPr>
            </w:pPr>
          </w:p>
        </w:tc>
        <w:tc>
          <w:tcPr>
            <w:tcW w:w="240" w:type="dxa"/>
            <w:vAlign w:val="bottom"/>
            <w:tcBorders>
              <w:bottom w:val="single" w:sz="8" w:color="00162F"/>
            </w:tcBorders>
          </w:tcPr>
          <w:p>
            <w:pPr>
              <w:spacing w:after="0"/>
              <w:rPr>
                <w:sz w:val="18"/>
                <w:szCs w:val="18"/>
                <w:color w:val="auto"/>
              </w:rPr>
            </w:pPr>
          </w:p>
        </w:tc>
        <w:tc>
          <w:tcPr>
            <w:tcW w:w="1240" w:type="dxa"/>
            <w:vAlign w:val="bottom"/>
            <w:tcBorders>
              <w:bottom w:val="single" w:sz="8" w:color="00162F"/>
            </w:tcBorders>
          </w:tcPr>
          <w:p>
            <w:pPr>
              <w:jc w:val="right"/>
              <w:ind w:right="209"/>
              <w:spacing w:after="0"/>
              <w:rPr>
                <w:sz w:val="20"/>
                <w:szCs w:val="20"/>
                <w:color w:val="auto"/>
              </w:rPr>
            </w:pPr>
            <w:r>
              <w:rPr>
                <w:rFonts w:ascii="Arial" w:cs="Arial" w:eastAsia="Arial" w:hAnsi="Arial"/>
                <w:sz w:val="16"/>
                <w:szCs w:val="16"/>
                <w:b w:val="1"/>
                <w:bCs w:val="1"/>
                <w:color w:val="00162F"/>
              </w:rPr>
              <w:t>End of Year</w:t>
            </w:r>
          </w:p>
        </w:tc>
        <w:tc>
          <w:tcPr>
            <w:tcW w:w="0" w:type="dxa"/>
            <w:vAlign w:val="bottom"/>
          </w:tcPr>
          <w:p>
            <w:pPr>
              <w:spacing w:after="0"/>
              <w:rPr>
                <w:sz w:val="1"/>
                <w:szCs w:val="1"/>
                <w:color w:val="auto"/>
              </w:rPr>
            </w:pPr>
          </w:p>
        </w:tc>
      </w:tr>
      <w:tr>
        <w:trPr>
          <w:trHeight w:val="272"/>
        </w:trPr>
        <w:tc>
          <w:tcPr>
            <w:tcW w:w="4560" w:type="dxa"/>
            <w:vAlign w:val="bottom"/>
            <w:shd w:val="clear" w:color="auto" w:fill="EDEDED"/>
          </w:tcPr>
          <w:p>
            <w:pPr>
              <w:ind w:left="40"/>
              <w:spacing w:after="0"/>
              <w:rPr>
                <w:sz w:val="20"/>
                <w:szCs w:val="20"/>
                <w:color w:val="auto"/>
              </w:rPr>
            </w:pPr>
            <w:r>
              <w:rPr>
                <w:rFonts w:ascii="Arial" w:cs="Arial" w:eastAsia="Arial" w:hAnsi="Arial"/>
                <w:sz w:val="20"/>
                <w:szCs w:val="20"/>
                <w:b w:val="1"/>
                <w:bCs w:val="1"/>
                <w:color w:val="00162F"/>
              </w:rPr>
              <w:t>Allowance for obsolescence of spare parts</w:t>
            </w:r>
          </w:p>
        </w:tc>
        <w:tc>
          <w:tcPr>
            <w:tcW w:w="240" w:type="dxa"/>
            <w:vAlign w:val="bottom"/>
            <w:shd w:val="clear" w:color="auto" w:fill="EDEDED"/>
          </w:tcPr>
          <w:p>
            <w:pPr>
              <w:spacing w:after="0"/>
              <w:rPr>
                <w:sz w:val="23"/>
                <w:szCs w:val="23"/>
                <w:color w:val="auto"/>
              </w:rPr>
            </w:pPr>
          </w:p>
        </w:tc>
        <w:tc>
          <w:tcPr>
            <w:tcW w:w="122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200" w:type="dxa"/>
            <w:vAlign w:val="bottom"/>
            <w:shd w:val="clear" w:color="auto" w:fill="EDEDED"/>
          </w:tcPr>
          <w:p>
            <w:pPr>
              <w:spacing w:after="0"/>
              <w:rPr>
                <w:sz w:val="23"/>
                <w:szCs w:val="23"/>
                <w:color w:val="auto"/>
              </w:rPr>
            </w:pPr>
          </w:p>
        </w:tc>
        <w:tc>
          <w:tcPr>
            <w:tcW w:w="126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240" w:type="dxa"/>
            <w:vAlign w:val="bottom"/>
            <w:shd w:val="clear" w:color="auto" w:fill="EDEDED"/>
          </w:tcPr>
          <w:p>
            <w:pPr>
              <w:spacing w:after="0"/>
              <w:rPr>
                <w:sz w:val="23"/>
                <w:szCs w:val="23"/>
                <w:color w:val="auto"/>
              </w:rPr>
            </w:pPr>
          </w:p>
        </w:tc>
        <w:tc>
          <w:tcPr>
            <w:tcW w:w="1240" w:type="dxa"/>
            <w:vAlign w:val="bottom"/>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240" w:type="dxa"/>
            <w:vAlign w:val="bottom"/>
            <w:shd w:val="clear" w:color="auto" w:fill="EDEDED"/>
          </w:tcPr>
          <w:p>
            <w:pPr>
              <w:spacing w:after="0"/>
              <w:rPr>
                <w:sz w:val="23"/>
                <w:szCs w:val="23"/>
                <w:color w:val="auto"/>
              </w:rPr>
            </w:pPr>
          </w:p>
        </w:tc>
        <w:tc>
          <w:tcPr>
            <w:tcW w:w="124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560" w:type="dxa"/>
            <w:vAlign w:val="bottom"/>
          </w:tcPr>
          <w:p>
            <w:pPr>
              <w:ind w:left="180"/>
              <w:spacing w:after="0"/>
              <w:rPr>
                <w:sz w:val="20"/>
                <w:szCs w:val="20"/>
                <w:color w:val="auto"/>
              </w:rPr>
            </w:pPr>
            <w:r>
              <w:rPr>
                <w:rFonts w:ascii="Arial" w:cs="Arial" w:eastAsia="Arial" w:hAnsi="Arial"/>
                <w:sz w:val="20"/>
                <w:szCs w:val="20"/>
                <w:color w:val="00162F"/>
              </w:rPr>
              <w:t>Year ended December 31, 2025</w:t>
            </w:r>
          </w:p>
        </w:tc>
        <w:tc>
          <w:tcPr>
            <w:tcW w:w="240" w:type="dxa"/>
            <w:vAlign w:val="bottom"/>
          </w:tcPr>
          <w:p>
            <w:pPr>
              <w:jc w:val="right"/>
              <w:spacing w:after="0"/>
              <w:rPr>
                <w:sz w:val="20"/>
                <w:szCs w:val="20"/>
                <w:color w:val="auto"/>
              </w:rPr>
            </w:pPr>
            <w:r>
              <w:rPr>
                <w:rFonts w:ascii="Arial" w:cs="Arial" w:eastAsia="Arial" w:hAnsi="Arial"/>
                <w:sz w:val="20"/>
                <w:szCs w:val="20"/>
                <w:color w:val="00162F"/>
              </w:rPr>
              <w:t>$</w:t>
            </w:r>
          </w:p>
        </w:tc>
        <w:tc>
          <w:tcPr>
            <w:tcW w:w="1220" w:type="dxa"/>
            <w:vAlign w:val="bottom"/>
          </w:tcPr>
          <w:p>
            <w:pPr>
              <w:jc w:val="right"/>
              <w:spacing w:after="0"/>
              <w:rPr>
                <w:sz w:val="20"/>
                <w:szCs w:val="20"/>
                <w:color w:val="auto"/>
              </w:rPr>
            </w:pPr>
            <w:r>
              <w:rPr>
                <w:rFonts w:ascii="Arial" w:cs="Arial" w:eastAsia="Arial" w:hAnsi="Arial"/>
                <w:sz w:val="20"/>
                <w:szCs w:val="20"/>
                <w:color w:val="00162F"/>
              </w:rPr>
              <w:t>745</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00162F"/>
              </w:rPr>
              <w:t>$</w:t>
            </w:r>
          </w:p>
        </w:tc>
        <w:tc>
          <w:tcPr>
            <w:tcW w:w="1260" w:type="dxa"/>
            <w:vAlign w:val="bottom"/>
          </w:tcPr>
          <w:p>
            <w:pPr>
              <w:jc w:val="right"/>
              <w:spacing w:after="0"/>
              <w:rPr>
                <w:sz w:val="20"/>
                <w:szCs w:val="20"/>
                <w:color w:val="auto"/>
              </w:rPr>
            </w:pPr>
            <w:r>
              <w:rPr>
                <w:rFonts w:ascii="Arial" w:cs="Arial" w:eastAsia="Arial" w:hAnsi="Arial"/>
                <w:sz w:val="20"/>
                <w:szCs w:val="20"/>
                <w:color w:val="00162F"/>
              </w:rPr>
              <w:t>95</w:t>
            </w:r>
          </w:p>
        </w:tc>
        <w:tc>
          <w:tcPr>
            <w:tcW w:w="320" w:type="dxa"/>
            <w:vAlign w:val="bottom"/>
            <w:gridSpan w:val="2"/>
          </w:tcPr>
          <w:p>
            <w:pPr>
              <w:jc w:val="right"/>
              <w:ind w:right="80"/>
              <w:spacing w:after="0"/>
              <w:rPr>
                <w:sz w:val="20"/>
                <w:szCs w:val="20"/>
                <w:color w:val="auto"/>
              </w:rPr>
            </w:pPr>
            <w:r>
              <w:rPr>
                <w:rFonts w:ascii="Arial" w:cs="Arial" w:eastAsia="Arial" w:hAnsi="Arial"/>
                <w:sz w:val="20"/>
                <w:szCs w:val="20"/>
                <w:color w:val="00162F"/>
              </w:rPr>
              <w:t>$</w:t>
            </w:r>
          </w:p>
        </w:tc>
        <w:tc>
          <w:tcPr>
            <w:tcW w:w="1240" w:type="dxa"/>
            <w:vAlign w:val="bottom"/>
          </w:tcPr>
          <w:p>
            <w:pPr>
              <w:jc w:val="right"/>
              <w:spacing w:after="0"/>
              <w:rPr>
                <w:sz w:val="20"/>
                <w:szCs w:val="20"/>
                <w:color w:val="auto"/>
              </w:rPr>
            </w:pPr>
            <w:r>
              <w:rPr>
                <w:rFonts w:ascii="Arial" w:cs="Arial" w:eastAsia="Arial" w:hAnsi="Arial"/>
                <w:sz w:val="20"/>
                <w:szCs w:val="20"/>
                <w:color w:val="00162F"/>
              </w:rPr>
              <w:t>5</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00162F"/>
              </w:rPr>
              <w:t>$</w:t>
            </w:r>
          </w:p>
        </w:tc>
        <w:tc>
          <w:tcPr>
            <w:tcW w:w="1240" w:type="dxa"/>
            <w:vAlign w:val="bottom"/>
          </w:tcPr>
          <w:p>
            <w:pPr>
              <w:jc w:val="right"/>
              <w:spacing w:after="0"/>
              <w:rPr>
                <w:sz w:val="20"/>
                <w:szCs w:val="20"/>
                <w:color w:val="auto"/>
              </w:rPr>
            </w:pPr>
            <w:r>
              <w:rPr>
                <w:rFonts w:ascii="Arial" w:cs="Arial" w:eastAsia="Arial" w:hAnsi="Arial"/>
                <w:sz w:val="20"/>
                <w:szCs w:val="20"/>
                <w:color w:val="00162F"/>
              </w:rPr>
              <w:t>845</w:t>
            </w:r>
          </w:p>
        </w:tc>
        <w:tc>
          <w:tcPr>
            <w:tcW w:w="0" w:type="dxa"/>
            <w:vAlign w:val="bottom"/>
          </w:tcPr>
          <w:p>
            <w:pPr>
              <w:spacing w:after="0"/>
              <w:rPr>
                <w:sz w:val="1"/>
                <w:szCs w:val="1"/>
                <w:color w:val="auto"/>
              </w:rPr>
            </w:pPr>
          </w:p>
        </w:tc>
      </w:tr>
      <w:tr>
        <w:trPr>
          <w:trHeight w:val="301"/>
        </w:trPr>
        <w:tc>
          <w:tcPr>
            <w:tcW w:w="4560" w:type="dxa"/>
            <w:vAlign w:val="bottom"/>
            <w:shd w:val="clear" w:color="auto" w:fill="EDEDED"/>
          </w:tcPr>
          <w:p>
            <w:pPr>
              <w:ind w:left="180"/>
              <w:spacing w:after="0"/>
              <w:rPr>
                <w:sz w:val="20"/>
                <w:szCs w:val="20"/>
                <w:color w:val="auto"/>
              </w:rPr>
            </w:pPr>
            <w:r>
              <w:rPr>
                <w:rFonts w:ascii="Arial" w:cs="Arial" w:eastAsia="Arial" w:hAnsi="Arial"/>
                <w:sz w:val="20"/>
                <w:szCs w:val="20"/>
                <w:color w:val="00162F"/>
              </w:rPr>
              <w:t>Year ended December 31, 2024</w:t>
            </w:r>
          </w:p>
        </w:tc>
        <w:tc>
          <w:tcPr>
            <w:tcW w:w="240" w:type="dxa"/>
            <w:vAlign w:val="bottom"/>
            <w:shd w:val="clear" w:color="auto" w:fill="EDEDED"/>
          </w:tcPr>
          <w:p>
            <w:pPr>
              <w:spacing w:after="0"/>
              <w:rPr>
                <w:sz w:val="24"/>
                <w:szCs w:val="24"/>
                <w:color w:val="auto"/>
              </w:rPr>
            </w:pPr>
          </w:p>
        </w:tc>
        <w:tc>
          <w:tcPr>
            <w:tcW w:w="122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675</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94</w:t>
            </w:r>
          </w:p>
        </w:tc>
        <w:tc>
          <w:tcPr>
            <w:tcW w:w="8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(24)</w:t>
            </w:r>
          </w:p>
        </w:tc>
        <w:tc>
          <w:tcPr>
            <w:tcW w:w="6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745</w:t>
            </w:r>
          </w:p>
        </w:tc>
        <w:tc>
          <w:tcPr>
            <w:tcW w:w="0" w:type="dxa"/>
            <w:vAlign w:val="bottom"/>
          </w:tcPr>
          <w:p>
            <w:pPr>
              <w:spacing w:after="0"/>
              <w:rPr>
                <w:sz w:val="1"/>
                <w:szCs w:val="1"/>
                <w:color w:val="auto"/>
              </w:rPr>
            </w:pPr>
          </w:p>
        </w:tc>
      </w:tr>
      <w:tr>
        <w:trPr>
          <w:trHeight w:val="290"/>
        </w:trPr>
        <w:tc>
          <w:tcPr>
            <w:tcW w:w="4560" w:type="dxa"/>
            <w:vAlign w:val="bottom"/>
          </w:tcPr>
          <w:p>
            <w:pPr>
              <w:ind w:left="180"/>
              <w:spacing w:after="0"/>
              <w:rPr>
                <w:sz w:val="20"/>
                <w:szCs w:val="20"/>
                <w:color w:val="auto"/>
              </w:rPr>
            </w:pPr>
            <w:r>
              <w:rPr>
                <w:rFonts w:ascii="Arial" w:cs="Arial" w:eastAsia="Arial" w:hAnsi="Arial"/>
                <w:sz w:val="20"/>
                <w:szCs w:val="20"/>
                <w:color w:val="00162F"/>
              </w:rPr>
              <w:t>Year ended December 31, 2023</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00162F"/>
              </w:rPr>
              <w:t>566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00162F"/>
              </w:rPr>
              <w:t>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26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00162F"/>
              </w:rPr>
              <w:t>675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-752475</wp:posOffset>
            </wp:positionV>
            <wp:extent cx="3900170"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2">
                      <a:extLst>
                        <a:ext uri="{28A0092B-C50C-407E-A947-70E740481C1C}"/>
                      </a:extLst>
                    </a:blip>
                    <a:srcRect/>
                    <a:stretch>
                      <a:fillRect/>
                    </a:stretch>
                  </pic:blipFill>
                  <pic:spPr bwMode="auto">
                    <a:xfrm>
                      <a:off x="0" y="0"/>
                      <a:ext cx="3900170" cy="25400"/>
                    </a:xfrm>
                    <a:prstGeom prst="rect">
                      <a:avLst/>
                    </a:prstGeom>
                    <a:noFill/>
                  </pic:spPr>
                </pic:pic>
              </a:graphicData>
            </a:graphic>
          </wp:anchor>
        </w:drawing>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168</w:t>
      </w:r>
    </w:p>
    <w:p>
      <w:pPr>
        <w:sectPr>
          <w:pgSz w:w="11880" w:h="15480" w:orient="portrait"/>
          <w:cols w:equalWidth="0" w:num="1">
            <w:col w:w="10685"/>
          </w:cols>
          <w:pgMar w:left="595" w:top="249" w:right="600" w:bottom="0" w:gutter="0" w:footer="0" w:header="0"/>
          <w:type w:val="continuous"/>
        </w:sectPr>
      </w:pPr>
    </w:p>
    <w:bookmarkStart w:id="169" w:name="page170"/>
    <w:bookmarkEnd w:id="169"/>
    <w:p>
      <w:pPr>
        <w:jc w:val="center"/>
        <w:ind w:right="-4"/>
        <w:spacing w:after="0"/>
        <w:rPr>
          <w:sz w:val="20"/>
          <w:szCs w:val="20"/>
          <w:color w:val="auto"/>
        </w:rPr>
      </w:pPr>
      <w:r>
        <w:rPr>
          <w:rFonts w:ascii="Arial" w:cs="Arial" w:eastAsia="Arial" w:hAnsi="Arial"/>
          <w:sz w:val="20"/>
          <w:szCs w:val="20"/>
          <w:b w:val="1"/>
          <w:bCs w:val="1"/>
          <w:color w:val="00162F"/>
        </w:rPr>
        <w:t>NOTES TO CONSOLIDATED FINANCIAL STATEMENTS OF AMERICAN AIRLINES, INC.</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15. Transactions with Related Parties</w:t>
      </w:r>
    </w:p>
    <w:p>
      <w:pPr>
        <w:spacing w:after="0" w:line="97" w:lineRule="exact"/>
        <w:rPr>
          <w:sz w:val="20"/>
          <w:szCs w:val="20"/>
          <w:color w:val="auto"/>
        </w:rPr>
      </w:pPr>
    </w:p>
    <w:p>
      <w:pPr>
        <w:ind w:left="265"/>
        <w:spacing w:after="0"/>
        <w:rPr>
          <w:sz w:val="20"/>
          <w:szCs w:val="20"/>
          <w:color w:val="auto"/>
        </w:rPr>
      </w:pPr>
      <w:r>
        <w:rPr>
          <w:rFonts w:ascii="Arial" w:cs="Arial" w:eastAsia="Arial" w:hAnsi="Arial"/>
          <w:sz w:val="20"/>
          <w:szCs w:val="20"/>
          <w:color w:val="00162F"/>
        </w:rPr>
        <w:t>The following represents the net receivables (payables) from or to related parties (in millions):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00" w:type="dxa"/>
            <w:vAlign w:val="bottom"/>
            <w:tcBorders>
              <w:bottom w:val="single" w:sz="8" w:color="00162F"/>
            </w:tcBorders>
          </w:tcPr>
          <w:p>
            <w:pPr>
              <w:spacing w:after="0"/>
              <w:rPr>
                <w:sz w:val="18"/>
                <w:szCs w:val="18"/>
                <w:color w:val="auto"/>
              </w:rPr>
            </w:pPr>
          </w:p>
        </w:tc>
        <w:tc>
          <w:tcPr>
            <w:tcW w:w="1920" w:type="dxa"/>
            <w:vAlign w:val="bottom"/>
            <w:tcBorders>
              <w:bottom w:val="single" w:sz="8" w:color="00162F"/>
            </w:tcBorders>
            <w:gridSpan w:val="3"/>
          </w:tcPr>
          <w:p>
            <w:pPr>
              <w:jc w:val="right"/>
              <w:ind w:right="100"/>
              <w:spacing w:after="0"/>
              <w:rPr>
                <w:sz w:val="20"/>
                <w:szCs w:val="20"/>
                <w:color w:val="auto"/>
              </w:rPr>
            </w:pPr>
            <w:r>
              <w:rPr>
                <w:rFonts w:ascii="Arial" w:cs="Arial" w:eastAsia="Arial" w:hAnsi="Arial"/>
                <w:sz w:val="16"/>
                <w:szCs w:val="16"/>
                <w:b w:val="1"/>
                <w:bCs w:val="1"/>
                <w:color w:val="00162F"/>
              </w:rPr>
              <w:t>December 31,</w:t>
            </w:r>
          </w:p>
        </w:tc>
        <w:tc>
          <w:tcPr>
            <w:tcW w:w="1100" w:type="dxa"/>
            <w:vAlign w:val="bottom"/>
            <w:tcBorders>
              <w:bottom w:val="single" w:sz="8" w:color="00162F"/>
            </w:tcBorders>
          </w:tcPr>
          <w:p>
            <w:pPr>
              <w:spacing w:after="0"/>
              <w:rPr>
                <w:sz w:val="18"/>
                <w:szCs w:val="18"/>
                <w:color w:val="auto"/>
              </w:rPr>
            </w:pPr>
          </w:p>
        </w:tc>
      </w:tr>
      <w:tr>
        <w:trPr>
          <w:trHeight w:val="232"/>
        </w:trPr>
        <w:tc>
          <w:tcPr>
            <w:tcW w:w="1960" w:type="dxa"/>
            <w:vAlign w:val="bottom"/>
            <w:tcBorders>
              <w:bottom w:val="single" w:sz="8" w:color="EDEDED"/>
            </w:tcBorders>
          </w:tcPr>
          <w:p>
            <w:pPr>
              <w:spacing w:after="0"/>
              <w:rPr>
                <w:sz w:val="20"/>
                <w:szCs w:val="20"/>
                <w:color w:val="auto"/>
              </w:rPr>
            </w:pPr>
          </w:p>
        </w:tc>
        <w:tc>
          <w:tcPr>
            <w:tcW w:w="5300" w:type="dxa"/>
            <w:vAlign w:val="bottom"/>
            <w:tcBorders>
              <w:bottom w:val="single" w:sz="8" w:color="EDEDED"/>
            </w:tcBorders>
          </w:tcPr>
          <w:p>
            <w:pPr>
              <w:spacing w:after="0"/>
              <w:rPr>
                <w:sz w:val="20"/>
                <w:szCs w:val="20"/>
                <w:color w:val="auto"/>
              </w:rPr>
            </w:pPr>
          </w:p>
        </w:tc>
        <w:tc>
          <w:tcPr>
            <w:tcW w:w="400" w:type="dxa"/>
            <w:vAlign w:val="bottom"/>
            <w:tcBorders>
              <w:bottom w:val="single" w:sz="8" w:color="00162F"/>
            </w:tcBorders>
          </w:tcPr>
          <w:p>
            <w:pPr>
              <w:spacing w:after="0"/>
              <w:rPr>
                <w:sz w:val="20"/>
                <w:szCs w:val="20"/>
                <w:color w:val="auto"/>
              </w:rPr>
            </w:pPr>
          </w:p>
        </w:tc>
        <w:tc>
          <w:tcPr>
            <w:tcW w:w="1280" w:type="dxa"/>
            <w:vAlign w:val="bottom"/>
            <w:tcBorders>
              <w:bottom w:val="single" w:sz="8" w:color="00162F"/>
            </w:tcBorders>
          </w:tcPr>
          <w:p>
            <w:pPr>
              <w:jc w:val="right"/>
              <w:ind w:right="589"/>
              <w:spacing w:after="0"/>
              <w:rPr>
                <w:sz w:val="20"/>
                <w:szCs w:val="20"/>
                <w:color w:val="auto"/>
              </w:rPr>
            </w:pPr>
            <w:r>
              <w:rPr>
                <w:rFonts w:ascii="Arial" w:cs="Arial" w:eastAsia="Arial" w:hAnsi="Arial"/>
                <w:sz w:val="16"/>
                <w:szCs w:val="16"/>
                <w:b w:val="1"/>
                <w:bCs w:val="1"/>
                <w:color w:val="00162F"/>
              </w:rPr>
              <w:t>2025</w:t>
            </w:r>
          </w:p>
        </w:tc>
        <w:tc>
          <w:tcPr>
            <w:tcW w:w="60" w:type="dxa"/>
            <w:vAlign w:val="bottom"/>
            <w:tcBorders>
              <w:bottom w:val="single" w:sz="8" w:color="EDEDED"/>
            </w:tcBorders>
          </w:tcPr>
          <w:p>
            <w:pPr>
              <w:spacing w:after="0"/>
              <w:rPr>
                <w:sz w:val="20"/>
                <w:szCs w:val="20"/>
                <w:color w:val="auto"/>
              </w:rPr>
            </w:pPr>
          </w:p>
        </w:tc>
        <w:tc>
          <w:tcPr>
            <w:tcW w:w="580" w:type="dxa"/>
            <w:vAlign w:val="bottom"/>
            <w:tcBorders>
              <w:bottom w:val="single" w:sz="8" w:color="00162F"/>
            </w:tcBorders>
          </w:tcPr>
          <w:p>
            <w:pPr>
              <w:spacing w:after="0"/>
              <w:rPr>
                <w:sz w:val="20"/>
                <w:szCs w:val="20"/>
                <w:color w:val="auto"/>
              </w:rPr>
            </w:pPr>
          </w:p>
        </w:tc>
        <w:tc>
          <w:tcPr>
            <w:tcW w:w="1100" w:type="dxa"/>
            <w:vAlign w:val="bottom"/>
            <w:tcBorders>
              <w:bottom w:val="single" w:sz="8" w:color="00162F"/>
            </w:tcBorders>
          </w:tcPr>
          <w:p>
            <w:pPr>
              <w:jc w:val="right"/>
              <w:ind w:right="566"/>
              <w:spacing w:after="0"/>
              <w:rPr>
                <w:sz w:val="20"/>
                <w:szCs w:val="20"/>
                <w:color w:val="auto"/>
              </w:rPr>
            </w:pPr>
            <w:r>
              <w:rPr>
                <w:rFonts w:ascii="Arial" w:cs="Arial" w:eastAsia="Arial" w:hAnsi="Arial"/>
                <w:sz w:val="16"/>
                <w:szCs w:val="16"/>
                <w:b w:val="1"/>
                <w:bCs w:val="1"/>
                <w:color w:val="00162F"/>
              </w:rPr>
              <w:t>2024</w:t>
            </w:r>
          </w:p>
        </w:tc>
      </w:tr>
      <w:tr>
        <w:trPr>
          <w:trHeight w:val="287"/>
        </w:trPr>
        <w:tc>
          <w:tcPr>
            <w:tcW w:w="7260" w:type="dxa"/>
            <w:vAlign w:val="bottom"/>
            <w:gridSpan w:val="2"/>
            <w:shd w:val="clear" w:color="auto" w:fill="EDEDED"/>
          </w:tcPr>
          <w:p>
            <w:pPr>
              <w:ind w:left="40"/>
              <w:spacing w:after="0" w:line="287" w:lineRule="exact"/>
              <w:rPr>
                <w:sz w:val="20"/>
                <w:szCs w:val="20"/>
                <w:color w:val="auto"/>
              </w:rPr>
            </w:pPr>
            <w:r>
              <w:rPr>
                <w:rFonts w:ascii="Arial" w:cs="Arial" w:eastAsia="Arial" w:hAnsi="Arial"/>
                <w:sz w:val="33"/>
                <w:szCs w:val="33"/>
                <w:color w:val="00162F"/>
                <w:vertAlign w:val="subscript"/>
              </w:rPr>
              <w:t>AAG</w:t>
            </w:r>
            <w:r>
              <w:rPr>
                <w:rFonts w:ascii="Arial" w:cs="Arial" w:eastAsia="Arial" w:hAnsi="Arial"/>
                <w:sz w:val="12"/>
                <w:szCs w:val="12"/>
                <w:color w:val="00162F"/>
              </w:rPr>
              <w:t xml:space="preserve"> (1)</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11,938</w:t>
            </w:r>
          </w:p>
        </w:tc>
        <w:tc>
          <w:tcPr>
            <w:tcW w:w="640" w:type="dxa"/>
            <w:vAlign w:val="bottom"/>
            <w:gridSpan w:val="2"/>
            <w:shd w:val="clear" w:color="auto" w:fill="EDEDED"/>
          </w:tcPr>
          <w:p>
            <w:pPr>
              <w:jc w:val="right"/>
              <w:ind w:right="42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10,258</w:t>
            </w:r>
          </w:p>
        </w:tc>
      </w:tr>
      <w:tr>
        <w:trPr>
          <w:trHeight w:val="287"/>
        </w:trPr>
        <w:tc>
          <w:tcPr>
            <w:tcW w:w="7260" w:type="dxa"/>
            <w:vAlign w:val="bottom"/>
            <w:tcBorders>
              <w:bottom w:val="single" w:sz="8" w:color="EDEDED"/>
            </w:tcBorders>
            <w:gridSpan w:val="2"/>
          </w:tcPr>
          <w:p>
            <w:pPr>
              <w:ind w:left="40"/>
              <w:spacing w:after="0"/>
              <w:rPr>
                <w:sz w:val="20"/>
                <w:szCs w:val="20"/>
                <w:color w:val="auto"/>
              </w:rPr>
            </w:pPr>
            <w:r>
              <w:rPr>
                <w:rFonts w:ascii="Arial" w:cs="Arial" w:eastAsia="Arial" w:hAnsi="Arial"/>
                <w:sz w:val="20"/>
                <w:szCs w:val="20"/>
                <w:color w:val="00162F"/>
              </w:rPr>
              <w:t xml:space="preserve">AAG’s wholly-owned subsidiaries </w:t>
            </w:r>
            <w:r>
              <w:rPr>
                <w:rFonts w:ascii="Arial" w:cs="Arial" w:eastAsia="Arial" w:hAnsi="Arial"/>
                <w:sz w:val="12"/>
                <w:szCs w:val="12"/>
                <w:color w:val="00162F"/>
              </w:rPr>
              <w:t>(2)</w:t>
            </w:r>
          </w:p>
        </w:tc>
        <w:tc>
          <w:tcPr>
            <w:tcW w:w="400" w:type="dxa"/>
            <w:vAlign w:val="bottom"/>
            <w:tcBorders>
              <w:bottom w:val="single" w:sz="8" w:color="00162F"/>
            </w:tcBorders>
          </w:tcPr>
          <w:p>
            <w:pPr>
              <w:spacing w:after="0"/>
              <w:rPr>
                <w:sz w:val="24"/>
                <w:szCs w:val="24"/>
                <w:color w:val="auto"/>
              </w:rPr>
            </w:pPr>
          </w:p>
        </w:tc>
        <w:tc>
          <w:tcPr>
            <w:tcW w:w="128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(2,042)</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00162F"/>
            </w:tcBorders>
          </w:tcPr>
          <w:p>
            <w:pPr>
              <w:spacing w:after="0"/>
              <w:rPr>
                <w:sz w:val="24"/>
                <w:szCs w:val="24"/>
                <w:color w:val="auto"/>
              </w:rPr>
            </w:pPr>
          </w:p>
        </w:tc>
        <w:tc>
          <w:tcPr>
            <w:tcW w:w="1100" w:type="dxa"/>
            <w:vAlign w:val="bottom"/>
            <w:tcBorders>
              <w:bottom w:val="single" w:sz="8" w:color="00162F"/>
            </w:tcBorders>
          </w:tcPr>
          <w:p>
            <w:pPr>
              <w:jc w:val="right"/>
              <w:spacing w:after="0"/>
              <w:rPr>
                <w:sz w:val="20"/>
                <w:szCs w:val="20"/>
                <w:color w:val="auto"/>
              </w:rPr>
            </w:pPr>
            <w:r>
              <w:rPr>
                <w:rFonts w:ascii="Arial" w:cs="Arial" w:eastAsia="Arial" w:hAnsi="Arial"/>
                <w:sz w:val="20"/>
                <w:szCs w:val="20"/>
                <w:color w:val="00162F"/>
              </w:rPr>
              <w:t>(2,071)</w:t>
            </w:r>
          </w:p>
        </w:tc>
      </w:tr>
      <w:tr>
        <w:trPr>
          <w:trHeight w:val="297"/>
        </w:trPr>
        <w:tc>
          <w:tcPr>
            <w:tcW w:w="7260" w:type="dxa"/>
            <w:vAlign w:val="bottom"/>
            <w:gridSpan w:val="2"/>
            <w:shd w:val="clear" w:color="auto" w:fill="EDEDED"/>
          </w:tcPr>
          <w:p>
            <w:pPr>
              <w:ind w:left="180"/>
              <w:spacing w:after="0"/>
              <w:rPr>
                <w:sz w:val="20"/>
                <w:szCs w:val="20"/>
                <w:color w:val="auto"/>
              </w:rPr>
            </w:pPr>
            <w:r>
              <w:rPr>
                <w:rFonts w:ascii="Arial" w:cs="Arial" w:eastAsia="Arial" w:hAnsi="Arial"/>
                <w:sz w:val="20"/>
                <w:szCs w:val="20"/>
                <w:color w:val="00162F"/>
              </w:rPr>
              <w:t>Total</w:t>
            </w:r>
          </w:p>
        </w:tc>
        <w:tc>
          <w:tcPr>
            <w:tcW w:w="400" w:type="dxa"/>
            <w:vAlign w:val="bottom"/>
            <w:shd w:val="clear" w:color="auto" w:fill="EDEDED"/>
          </w:tcPr>
          <w:p>
            <w:pPr>
              <w:jc w:val="right"/>
              <w:ind w:right="141"/>
              <w:spacing w:after="0"/>
              <w:rPr>
                <w:sz w:val="20"/>
                <w:szCs w:val="20"/>
                <w:color w:val="auto"/>
              </w:rPr>
            </w:pPr>
            <w:r>
              <w:rPr>
                <w:rFonts w:ascii="Arial" w:cs="Arial" w:eastAsia="Arial" w:hAnsi="Arial"/>
                <w:sz w:val="20"/>
                <w:szCs w:val="20"/>
                <w:color w:val="00162F"/>
              </w:rPr>
              <w:t>$</w:t>
            </w:r>
          </w:p>
        </w:tc>
        <w:tc>
          <w:tcPr>
            <w:tcW w:w="128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9,896</w:t>
            </w:r>
          </w:p>
        </w:tc>
        <w:tc>
          <w:tcPr>
            <w:tcW w:w="640" w:type="dxa"/>
            <w:vAlign w:val="bottom"/>
            <w:gridSpan w:val="2"/>
            <w:shd w:val="clear" w:color="auto" w:fill="EDEDED"/>
          </w:tcPr>
          <w:p>
            <w:pPr>
              <w:jc w:val="right"/>
              <w:ind w:right="420"/>
              <w:spacing w:after="0"/>
              <w:rPr>
                <w:sz w:val="20"/>
                <w:szCs w:val="20"/>
                <w:color w:val="auto"/>
              </w:rPr>
            </w:pPr>
            <w:r>
              <w:rPr>
                <w:rFonts w:ascii="Arial" w:cs="Arial" w:eastAsia="Arial" w:hAnsi="Arial"/>
                <w:sz w:val="20"/>
                <w:szCs w:val="20"/>
                <w:color w:val="00162F"/>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20"/>
                <w:szCs w:val="20"/>
                <w:color w:val="00162F"/>
              </w:rPr>
              <w:t>8,187</w:t>
            </w:r>
          </w:p>
        </w:tc>
      </w:tr>
      <w:tr>
        <w:trPr>
          <w:trHeight w:val="133"/>
        </w:trPr>
        <w:tc>
          <w:tcPr>
            <w:tcW w:w="1960" w:type="dxa"/>
            <w:vAlign w:val="bottom"/>
            <w:tcBorders>
              <w:top w:val="single" w:sz="8" w:color="EDEDED"/>
              <w:bottom w:val="single" w:sz="8" w:color="00162F"/>
            </w:tcBorders>
          </w:tcPr>
          <w:p>
            <w:pPr>
              <w:spacing w:after="0"/>
              <w:rPr>
                <w:sz w:val="11"/>
                <w:szCs w:val="11"/>
                <w:color w:val="auto"/>
              </w:rPr>
            </w:pPr>
          </w:p>
        </w:tc>
        <w:tc>
          <w:tcPr>
            <w:tcW w:w="5300" w:type="dxa"/>
            <w:vAlign w:val="bottom"/>
            <w:tcBorders>
              <w:top w:val="single" w:sz="8" w:color="EDEDED"/>
            </w:tcBorders>
          </w:tcPr>
          <w:p>
            <w:pPr>
              <w:spacing w:after="0"/>
              <w:rPr>
                <w:sz w:val="11"/>
                <w:szCs w:val="11"/>
                <w:color w:val="auto"/>
              </w:rPr>
            </w:pPr>
          </w:p>
        </w:tc>
        <w:tc>
          <w:tcPr>
            <w:tcW w:w="400" w:type="dxa"/>
            <w:vAlign w:val="bottom"/>
            <w:tcBorders>
              <w:top w:val="single" w:sz="8" w:color="00162F"/>
            </w:tcBorders>
          </w:tcPr>
          <w:p>
            <w:pPr>
              <w:spacing w:after="0"/>
              <w:rPr>
                <w:sz w:val="11"/>
                <w:szCs w:val="11"/>
                <w:color w:val="auto"/>
              </w:rPr>
            </w:pPr>
          </w:p>
        </w:tc>
        <w:tc>
          <w:tcPr>
            <w:tcW w:w="1280" w:type="dxa"/>
            <w:vAlign w:val="bottom"/>
            <w:tcBorders>
              <w:top w:val="single" w:sz="8" w:color="00162F"/>
            </w:tcBorders>
          </w:tcPr>
          <w:p>
            <w:pPr>
              <w:spacing w:after="0"/>
              <w:rPr>
                <w:sz w:val="11"/>
                <w:szCs w:val="11"/>
                <w:color w:val="auto"/>
              </w:rPr>
            </w:pPr>
          </w:p>
        </w:tc>
        <w:tc>
          <w:tcPr>
            <w:tcW w:w="60" w:type="dxa"/>
            <w:vAlign w:val="bottom"/>
            <w:tcBorders>
              <w:top w:val="single" w:sz="8" w:color="EDEDED"/>
            </w:tcBorders>
          </w:tcPr>
          <w:p>
            <w:pPr>
              <w:spacing w:after="0"/>
              <w:rPr>
                <w:sz w:val="11"/>
                <w:szCs w:val="11"/>
                <w:color w:val="auto"/>
              </w:rPr>
            </w:pPr>
          </w:p>
        </w:tc>
        <w:tc>
          <w:tcPr>
            <w:tcW w:w="580" w:type="dxa"/>
            <w:vAlign w:val="bottom"/>
            <w:tcBorders>
              <w:top w:val="single" w:sz="8" w:color="00162F"/>
            </w:tcBorders>
          </w:tcPr>
          <w:p>
            <w:pPr>
              <w:spacing w:after="0"/>
              <w:rPr>
                <w:sz w:val="11"/>
                <w:szCs w:val="11"/>
                <w:color w:val="auto"/>
              </w:rPr>
            </w:pPr>
          </w:p>
        </w:tc>
        <w:tc>
          <w:tcPr>
            <w:tcW w:w="1100" w:type="dxa"/>
            <w:vAlign w:val="bottom"/>
            <w:tcBorders>
              <w:top w:val="single" w:sz="8" w:color="00162F"/>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-694055</wp:posOffset>
            </wp:positionV>
            <wp:extent cx="220345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3">
                      <a:extLst>
                        <a:ext uri="{28A0092B-C50C-407E-A947-70E740481C1C}"/>
                      </a:extLst>
                    </a:blip>
                    <a:srcRect/>
                    <a:stretch>
                      <a:fillRect/>
                    </a:stretch>
                  </pic:blipFill>
                  <pic:spPr bwMode="auto">
                    <a:xfrm>
                      <a:off x="0" y="0"/>
                      <a:ext cx="2203450" cy="2540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-316865</wp:posOffset>
            </wp:positionV>
            <wp:extent cx="1125220"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4">
                      <a:extLst>
                        <a:ext uri="{28A0092B-C50C-407E-A947-70E740481C1C}"/>
                      </a:extLst>
                    </a:blip>
                    <a:srcRect/>
                    <a:stretch>
                      <a:fillRect/>
                    </a:stretch>
                  </pic:blipFill>
                  <pic:spPr bwMode="auto">
                    <a:xfrm>
                      <a:off x="0" y="0"/>
                      <a:ext cx="1125220" cy="2540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-140970</wp:posOffset>
            </wp:positionV>
            <wp:extent cx="2203450" cy="508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5">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14" w:lineRule="exact"/>
        <w:rPr>
          <w:sz w:val="20"/>
          <w:szCs w:val="20"/>
          <w:color w:val="auto"/>
        </w:rPr>
      </w:pPr>
    </w:p>
    <w:p>
      <w:pPr>
        <w:jc w:val="both"/>
        <w:ind w:left="365" w:hanging="365"/>
        <w:spacing w:after="0" w:line="265" w:lineRule="auto"/>
        <w:tabs>
          <w:tab w:leader="none" w:pos="365" w:val="left"/>
        </w:tabs>
        <w:numPr>
          <w:ilvl w:val="0"/>
          <w:numId w:val="88"/>
        </w:numPr>
        <w:rPr>
          <w:rFonts w:ascii="Arial" w:cs="Arial" w:eastAsia="Arial" w:hAnsi="Arial"/>
          <w:sz w:val="13"/>
          <w:szCs w:val="13"/>
          <w:color w:val="00162F"/>
        </w:rPr>
      </w:pPr>
      <w:r>
        <w:rPr>
          <w:rFonts w:ascii="Arial" w:cs="Arial" w:eastAsia="Arial" w:hAnsi="Arial"/>
          <w:sz w:val="20"/>
          <w:szCs w:val="20"/>
          <w:color w:val="00162F"/>
        </w:rPr>
        <w:t>The increase in American’s net related party receivable from AAG is due in part to American providing the cash funding for AAG’s financing transactions, including the $1.0 billion cash settlement of AAG’s 6.50% convertible senior notes upon their maturity on July 1, 2025.</w:t>
      </w:r>
    </w:p>
    <w:p>
      <w:pPr>
        <w:spacing w:after="0" w:line="129" w:lineRule="exact"/>
        <w:rPr>
          <w:rFonts w:ascii="Arial" w:cs="Arial" w:eastAsia="Arial" w:hAnsi="Arial"/>
          <w:sz w:val="13"/>
          <w:szCs w:val="13"/>
          <w:color w:val="00162F"/>
        </w:rPr>
      </w:pPr>
    </w:p>
    <w:p>
      <w:pPr>
        <w:ind w:left="365" w:hanging="365"/>
        <w:spacing w:after="0" w:line="310" w:lineRule="auto"/>
        <w:tabs>
          <w:tab w:leader="none" w:pos="365" w:val="left"/>
        </w:tabs>
        <w:numPr>
          <w:ilvl w:val="0"/>
          <w:numId w:val="88"/>
        </w:numPr>
        <w:rPr>
          <w:rFonts w:ascii="Arial" w:cs="Arial" w:eastAsia="Arial" w:hAnsi="Arial"/>
          <w:sz w:val="12"/>
          <w:szCs w:val="12"/>
          <w:color w:val="00162F"/>
        </w:rPr>
      </w:pPr>
      <w:r>
        <w:rPr>
          <w:rFonts w:ascii="Arial" w:cs="Arial" w:eastAsia="Arial" w:hAnsi="Arial"/>
          <w:sz w:val="19"/>
          <w:szCs w:val="19"/>
          <w:color w:val="00162F"/>
        </w:rPr>
        <w:t>The net payable to AAG’s wholly-owned subsidiaries consists primarily of amounts due under regional capacity purchase agreements with AAG’s wholly-owned regional airlines operating under the brand name of American Eagle.</w:t>
      </w:r>
    </w:p>
    <w:p>
      <w:pPr>
        <w:spacing w:after="0" w:line="89" w:lineRule="exact"/>
        <w:rPr>
          <w:sz w:val="20"/>
          <w:szCs w:val="20"/>
          <w:color w:val="auto"/>
        </w:rPr>
      </w:pPr>
    </w:p>
    <w:p>
      <w:pPr>
        <w:jc w:val="both"/>
        <w:ind w:left="5" w:firstLine="267"/>
        <w:spacing w:after="0" w:line="259" w:lineRule="auto"/>
        <w:rPr>
          <w:sz w:val="20"/>
          <w:szCs w:val="20"/>
          <w:color w:val="auto"/>
        </w:rPr>
      </w:pPr>
      <w:r>
        <w:rPr>
          <w:rFonts w:ascii="Arial" w:cs="Arial" w:eastAsia="Arial" w:hAnsi="Arial"/>
          <w:sz w:val="20"/>
          <w:szCs w:val="20"/>
          <w:color w:val="00162F"/>
        </w:rPr>
        <w:t>Pursuant to a capacity purchase agreement between American and AAG’s wholly-owned regional airlines operating as American Eagle, American purchases all of the capacity from these carriers and recognizes passenger revenue from flights operated by American Eagle. In 2025, 2024 and 2023, American recognized expense of approximately $3.2 billion, $2.9 billion and $2.7 billion, respectively, related to wholly-owned regional airline capacity purchase agreements.</w:t>
      </w:r>
    </w:p>
    <w:p>
      <w:pPr>
        <w:spacing w:after="0" w:line="224"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00162F"/>
        </w:rPr>
        <w:t>16. Subsequent Events</w:t>
      </w:r>
    </w:p>
    <w:p>
      <w:pPr>
        <w:spacing w:after="0" w:line="99" w:lineRule="exact"/>
        <w:rPr>
          <w:sz w:val="20"/>
          <w:szCs w:val="20"/>
          <w:color w:val="auto"/>
        </w:rPr>
      </w:pPr>
    </w:p>
    <w:p>
      <w:pPr>
        <w:ind w:left="265"/>
        <w:spacing w:after="0"/>
        <w:rPr>
          <w:sz w:val="20"/>
          <w:szCs w:val="20"/>
          <w:color w:val="auto"/>
        </w:rPr>
      </w:pPr>
      <w:r>
        <w:rPr>
          <w:rFonts w:ascii="Arial" w:cs="Arial" w:eastAsia="Arial" w:hAnsi="Arial"/>
          <w:sz w:val="20"/>
          <w:szCs w:val="20"/>
          <w:i w:val="1"/>
          <w:iCs w:val="1"/>
          <w:u w:val="single" w:color="auto"/>
          <w:color w:val="00162F"/>
        </w:rPr>
        <w:t>8.50% Senior Secured Notes</w:t>
      </w:r>
    </w:p>
    <w:p>
      <w:pPr>
        <w:spacing w:after="0" w:line="95" w:lineRule="exact"/>
        <w:rPr>
          <w:sz w:val="20"/>
          <w:szCs w:val="20"/>
          <w:color w:val="auto"/>
        </w:rPr>
      </w:pPr>
    </w:p>
    <w:p>
      <w:pPr>
        <w:jc w:val="both"/>
        <w:ind w:left="5" w:firstLine="267"/>
        <w:spacing w:after="0" w:line="265" w:lineRule="auto"/>
        <w:rPr>
          <w:sz w:val="20"/>
          <w:szCs w:val="20"/>
          <w:color w:val="auto"/>
        </w:rPr>
      </w:pPr>
      <w:r>
        <w:rPr>
          <w:rFonts w:ascii="Arial" w:cs="Arial" w:eastAsia="Arial" w:hAnsi="Arial"/>
          <w:sz w:val="20"/>
          <w:szCs w:val="20"/>
          <w:color w:val="00162F"/>
        </w:rPr>
        <w:t>In the first quarter of 2026, American sent irrevocable notice of redemption to prepay the outstanding principal amount of its 8.50% Senior Secured Notes. American intends to fund these prepayments with proceeds from anticipated debt issuances and cash on hand.</w:t>
      </w:r>
    </w:p>
    <w:p>
      <w:pPr>
        <w:spacing w:after="0" w:line="220" w:lineRule="exact"/>
        <w:rPr>
          <w:sz w:val="20"/>
          <w:szCs w:val="20"/>
          <w:color w:val="auto"/>
        </w:rPr>
      </w:pPr>
    </w:p>
    <w:p>
      <w:pPr>
        <w:ind w:left="265"/>
        <w:spacing w:after="0"/>
        <w:rPr>
          <w:sz w:val="20"/>
          <w:szCs w:val="20"/>
          <w:color w:val="auto"/>
        </w:rPr>
      </w:pPr>
      <w:r>
        <w:rPr>
          <w:rFonts w:ascii="Arial" w:cs="Arial" w:eastAsia="Arial" w:hAnsi="Arial"/>
          <w:sz w:val="20"/>
          <w:szCs w:val="20"/>
          <w:i w:val="1"/>
          <w:iCs w:val="1"/>
          <w:u w:val="single" w:color="auto"/>
          <w:color w:val="00162F"/>
        </w:rPr>
        <w:t>AAdvantage Financing</w:t>
      </w:r>
    </w:p>
    <w:p>
      <w:pPr>
        <w:spacing w:after="0" w:line="95" w:lineRule="exact"/>
        <w:rPr>
          <w:sz w:val="20"/>
          <w:szCs w:val="20"/>
          <w:color w:val="auto"/>
        </w:rPr>
      </w:pPr>
    </w:p>
    <w:p>
      <w:pPr>
        <w:jc w:val="both"/>
        <w:ind w:left="5" w:firstLine="267"/>
        <w:spacing w:after="0" w:line="253" w:lineRule="auto"/>
        <w:rPr>
          <w:sz w:val="20"/>
          <w:szCs w:val="20"/>
          <w:color w:val="auto"/>
        </w:rPr>
      </w:pPr>
      <w:r>
        <w:rPr>
          <w:rFonts w:ascii="Arial" w:cs="Arial" w:eastAsia="Arial" w:hAnsi="Arial"/>
          <w:sz w:val="20"/>
          <w:szCs w:val="20"/>
          <w:color w:val="00162F"/>
        </w:rPr>
        <w:t>On February 12, 2026, the AAdvantage Issuers entered into a fourth amendment to the term loan credit and guaranty agreement dated March 24, 2021 (the Fourth Amendment). As a result of the Fourth Amendment, the term loans outstanding under the 2025 AAdvantage Term Loan Facility were replaced with new term loans in the same principal amount. Pursuant to the Fourth Amendment, the 2025 AAdvantage Term Loan Facility bears interest at a base rate (subject to a floor of 0.00%) plus an applicable margin of 1.75% per annum or, at the AAdvantage Issuers’ option, the SOFR rate for a tenor of three months (subject to a floor of 0.00%), plus an applicable margin of 2.75% per annum. All other terms of the 2025 AAdvantage Term Loan Facility remain substantially similar.</w:t>
      </w:r>
    </w:p>
    <w:p>
      <w:pPr>
        <w:sectPr>
          <w:pgSz w:w="11880" w:h="15480" w:orient="portrait"/>
          <w:cols w:equalWidth="0" w:num="1">
            <w:col w:w="10685"/>
          </w:cols>
          <w:pgMar w:left="595" w:top="2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00162F"/>
        </w:rPr>
        <w:t>169</w:t>
      </w:r>
    </w:p>
    <w:p>
      <w:pPr>
        <w:sectPr>
          <w:pgSz w:w="11880" w:h="15480" w:orient="portrait"/>
          <w:cols w:equalWidth="0" w:num="1">
            <w:col w:w="10685"/>
          </w:cols>
          <w:pgMar w:left="595" w:top="249" w:right="600" w:bottom="0" w:gutter="0" w:footer="0" w:header="0"/>
          <w:type w:val="continuous"/>
        </w:sectPr>
      </w:pPr>
    </w:p>
    <w:bookmarkStart w:id="170" w:name="page171"/>
    <w:bookmarkEnd w:id="170"/>
    <w:p>
      <w:pPr>
        <w:ind w:right="880"/>
        <w:spacing w:after="0" w:line="293" w:lineRule="auto"/>
        <w:rPr>
          <w:sz w:val="20"/>
          <w:szCs w:val="20"/>
          <w:color w:val="auto"/>
        </w:rPr>
      </w:pPr>
      <w:r>
        <w:rPr>
          <w:rFonts w:ascii="Arial" w:cs="Arial" w:eastAsia="Arial" w:hAnsi="Arial"/>
          <w:sz w:val="20"/>
          <w:szCs w:val="20"/>
          <w:b w:val="1"/>
          <w:bCs w:val="1"/>
          <w:color w:val="00162F"/>
        </w:rPr>
        <w:t>ITEM 9. CHANGES IN AND DISAGREEMENTS WITH ACCOUNTANTS ON ACCOUNTING AND FINANCIAL DISCLOSURE</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None.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ITEM 9A. CONTROLS AND PROCEDURES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Management’s Evaluation of Disclosure Controls and Procedures</w:t>
      </w:r>
    </w:p>
    <w:p>
      <w:pPr>
        <w:spacing w:after="0" w:line="97"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20"/>
          <w:szCs w:val="20"/>
          <w:color w:val="00162F"/>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December 31, 2025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December 31, 2025 at the reasonable assurance level.</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Changes in Internal Control over Financial Reporting</w:t>
      </w:r>
    </w:p>
    <w:p>
      <w:pPr>
        <w:spacing w:after="0" w:line="9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During the quarter ended December 31, 2025, there have been no changes in AAG’s or American’s internal control over financial reporting that has materially affected, or is reasonably likely to materially affect, AAG’s and American’s internal control over financial reporting.</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Limitation on the Effectiveness of Controls</w:t>
      </w:r>
    </w:p>
    <w:p>
      <w:pPr>
        <w:spacing w:after="0" w:line="97"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20"/>
          <w:szCs w:val="20"/>
          <w:color w:val="00162F"/>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December 31, 2025.</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Management’s Annual Report on Internal Control over Financial Reporting</w:t>
      </w:r>
    </w:p>
    <w:p>
      <w:pPr>
        <w:spacing w:after="0" w:line="97" w:lineRule="exact"/>
        <w:rPr>
          <w:sz w:val="20"/>
          <w:szCs w:val="20"/>
          <w:color w:val="auto"/>
        </w:rPr>
      </w:pPr>
    </w:p>
    <w:p>
      <w:pPr>
        <w:jc w:val="both"/>
        <w:ind w:firstLine="267"/>
        <w:spacing w:after="0" w:line="256" w:lineRule="auto"/>
        <w:rPr>
          <w:sz w:val="20"/>
          <w:szCs w:val="20"/>
          <w:color w:val="auto"/>
        </w:rPr>
      </w:pPr>
      <w:r>
        <w:rPr>
          <w:rFonts w:ascii="Arial" w:cs="Arial" w:eastAsia="Arial" w:hAnsi="Arial"/>
          <w:sz w:val="20"/>
          <w:szCs w:val="20"/>
          <w:color w:val="00162F"/>
        </w:rPr>
        <w:t>Management of AAG and American is responsible for establishing and maintaining adequate internal control over financial reporting as defined in Rules 13a-15(f) and 15d-15(f) under the Exchange Act. AAG’s and American’s internal control over financial reporting is designed to provide reasonable assurance regarding the reliability of financial reporting and the preparation of financial statements for external purposes in accordance with GAAP. AAG’s and American’s internal control over financial reporting includes policies and procedures that:</w:t>
      </w:r>
    </w:p>
    <w:p>
      <w:pPr>
        <w:spacing w:after="0" w:line="50" w:lineRule="exact"/>
        <w:rPr>
          <w:sz w:val="20"/>
          <w:szCs w:val="20"/>
          <w:color w:val="auto"/>
        </w:rPr>
      </w:pPr>
    </w:p>
    <w:p>
      <w:pPr>
        <w:ind w:left="700" w:hanging="438"/>
        <w:spacing w:after="0" w:line="282" w:lineRule="auto"/>
        <w:tabs>
          <w:tab w:leader="none" w:pos="700" w:val="left"/>
        </w:tabs>
        <w:numPr>
          <w:ilvl w:val="0"/>
          <w:numId w:val="89"/>
        </w:numPr>
        <w:rPr>
          <w:rFonts w:ascii="Arial" w:cs="Arial" w:eastAsia="Arial" w:hAnsi="Arial"/>
          <w:sz w:val="20"/>
          <w:szCs w:val="20"/>
          <w:color w:val="00162F"/>
        </w:rPr>
      </w:pPr>
      <w:r>
        <w:rPr>
          <w:rFonts w:ascii="Arial" w:cs="Arial" w:eastAsia="Arial" w:hAnsi="Arial"/>
          <w:sz w:val="20"/>
          <w:szCs w:val="20"/>
          <w:color w:val="00162F"/>
        </w:rPr>
        <w:t>pertain to the maintenance of records that, in reasonable detail, accurately and fairly reflect the transactions and dispositions of the assets of AAG or American, respectively;</w:t>
      </w:r>
    </w:p>
    <w:p>
      <w:pPr>
        <w:spacing w:after="0" w:line="23" w:lineRule="exact"/>
        <w:rPr>
          <w:rFonts w:ascii="Arial" w:cs="Arial" w:eastAsia="Arial" w:hAnsi="Arial"/>
          <w:sz w:val="20"/>
          <w:szCs w:val="20"/>
          <w:color w:val="00162F"/>
        </w:rPr>
      </w:pPr>
    </w:p>
    <w:p>
      <w:pPr>
        <w:jc w:val="both"/>
        <w:ind w:left="700" w:hanging="438"/>
        <w:spacing w:after="0" w:line="265" w:lineRule="auto"/>
        <w:tabs>
          <w:tab w:leader="none" w:pos="700" w:val="left"/>
        </w:tabs>
        <w:numPr>
          <w:ilvl w:val="0"/>
          <w:numId w:val="89"/>
        </w:numPr>
        <w:rPr>
          <w:rFonts w:ascii="Arial" w:cs="Arial" w:eastAsia="Arial" w:hAnsi="Arial"/>
          <w:sz w:val="20"/>
          <w:szCs w:val="20"/>
          <w:color w:val="00162F"/>
        </w:rPr>
      </w:pPr>
      <w:r>
        <w:rPr>
          <w:rFonts w:ascii="Arial" w:cs="Arial" w:eastAsia="Arial" w:hAnsi="Arial"/>
          <w:sz w:val="20"/>
          <w:szCs w:val="20"/>
          <w:color w:val="00162F"/>
        </w:rPr>
        <w:t>provide reasonable assurance that transactions are recorded as necessary to permit preparation of financial statements in accordance with GAAP, and that receipts and expenditures of AAG or American are being made only in accordance with authorizations of management and directors of AAG or American, respectively; and</w:t>
      </w:r>
    </w:p>
    <w:p>
      <w:pPr>
        <w:spacing w:after="0" w:line="39" w:lineRule="exact"/>
        <w:rPr>
          <w:rFonts w:ascii="Arial" w:cs="Arial" w:eastAsia="Arial" w:hAnsi="Arial"/>
          <w:sz w:val="20"/>
          <w:szCs w:val="20"/>
          <w:color w:val="00162F"/>
        </w:rPr>
      </w:pPr>
    </w:p>
    <w:p>
      <w:pPr>
        <w:ind w:left="700" w:hanging="438"/>
        <w:spacing w:after="0" w:line="282" w:lineRule="auto"/>
        <w:tabs>
          <w:tab w:leader="none" w:pos="700" w:val="left"/>
        </w:tabs>
        <w:numPr>
          <w:ilvl w:val="0"/>
          <w:numId w:val="89"/>
        </w:numPr>
        <w:rPr>
          <w:rFonts w:ascii="Arial" w:cs="Arial" w:eastAsia="Arial" w:hAnsi="Arial"/>
          <w:sz w:val="20"/>
          <w:szCs w:val="20"/>
          <w:color w:val="00162F"/>
        </w:rPr>
      </w:pPr>
      <w:r>
        <w:rPr>
          <w:rFonts w:ascii="Arial" w:cs="Arial" w:eastAsia="Arial" w:hAnsi="Arial"/>
          <w:sz w:val="20"/>
          <w:szCs w:val="20"/>
          <w:color w:val="00162F"/>
        </w:rPr>
        <w:t>provide reasonable assurance regarding prevention or timely detection of unauthorized acquisition, use or disposition of AAG’s or American’s assets that could have a material effect on the financial statements.</w:t>
      </w:r>
    </w:p>
    <w:p>
      <w:pPr>
        <w:spacing w:after="0" w:line="113"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Management assessed the effectiveness of AAG’s and American’s internal control over financial reporting as of December 31, 2025. In making this assessment, management used the criteria set forth by the Committee of Sponsoring Organizations of the Treadway Commission in its Internal Control – Integrated Framework (2013 Framework).</w:t>
      </w:r>
    </w:p>
    <w:p>
      <w:pPr>
        <w:sectPr>
          <w:pgSz w:w="11880" w:h="15480" w:orient="portrait"/>
          <w:cols w:equalWidth="0" w:num="1">
            <w:col w:w="10680"/>
          </w:cols>
          <w:pgMar w:left="600" w:top="992" w:right="600" w:bottom="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170</w:t>
      </w:r>
    </w:p>
    <w:p>
      <w:pPr>
        <w:sectPr>
          <w:pgSz w:w="11880" w:h="15480" w:orient="portrait"/>
          <w:cols w:equalWidth="0" w:num="1">
            <w:col w:w="10680"/>
          </w:cols>
          <w:pgMar w:left="600" w:top="992" w:right="600" w:bottom="0" w:gutter="0" w:footer="0" w:header="0"/>
          <w:type w:val="continuous"/>
        </w:sectPr>
      </w:pPr>
    </w:p>
    <w:bookmarkStart w:id="171" w:name="page172"/>
    <w:bookmarkEnd w:id="171"/>
    <w:p>
      <w:pPr>
        <w:ind w:firstLine="267"/>
        <w:spacing w:after="0" w:line="282" w:lineRule="auto"/>
        <w:rPr>
          <w:sz w:val="20"/>
          <w:szCs w:val="20"/>
          <w:color w:val="auto"/>
        </w:rPr>
      </w:pPr>
      <w:r>
        <w:rPr>
          <w:rFonts w:ascii="Arial" w:cs="Arial" w:eastAsia="Arial" w:hAnsi="Arial"/>
          <w:sz w:val="20"/>
          <w:szCs w:val="20"/>
          <w:color w:val="00162F"/>
        </w:rPr>
        <w:t>Based on our assessment and those criteria, AAG’s and American’s management concluded that AAG and American, respectively, maintained effective internal control over financial reporting as of December 31, 2025.</w:t>
      </w:r>
    </w:p>
    <w:p>
      <w:pPr>
        <w:spacing w:after="0" w:line="113" w:lineRule="exact"/>
        <w:rPr>
          <w:sz w:val="20"/>
          <w:szCs w:val="20"/>
          <w:color w:val="auto"/>
        </w:rPr>
      </w:pPr>
    </w:p>
    <w:p>
      <w:pPr>
        <w:ind w:firstLine="267"/>
        <w:spacing w:after="0" w:line="282" w:lineRule="auto"/>
        <w:rPr>
          <w:sz w:val="20"/>
          <w:szCs w:val="20"/>
          <w:color w:val="auto"/>
        </w:rPr>
      </w:pPr>
      <w:r>
        <w:rPr>
          <w:rFonts w:ascii="Arial" w:cs="Arial" w:eastAsia="Arial" w:hAnsi="Arial"/>
          <w:sz w:val="20"/>
          <w:szCs w:val="20"/>
          <w:color w:val="00162F"/>
        </w:rPr>
        <w:t>AAG’s and American’s independent registered public accounting firm has issued an attestation report on the effectiveness of AAG’s and American’s internal control over financial reporting. That report has been included herein.</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171</w:t>
      </w:r>
    </w:p>
    <w:p>
      <w:pPr>
        <w:sectPr>
          <w:pgSz w:w="11880" w:h="15480" w:orient="portrait"/>
          <w:cols w:equalWidth="0" w:num="1">
            <w:col w:w="10680"/>
          </w:cols>
          <w:pgMar w:left="600" w:top="992" w:right="600" w:bottom="0" w:gutter="0" w:footer="0" w:header="0"/>
          <w:type w:val="continuous"/>
        </w:sectPr>
      </w:pPr>
    </w:p>
    <w:bookmarkStart w:id="172" w:name="page173"/>
    <w:bookmarkEnd w:id="172"/>
    <w:p>
      <w:pPr>
        <w:ind w:left="2600"/>
        <w:spacing w:after="0"/>
        <w:rPr>
          <w:sz w:val="20"/>
          <w:szCs w:val="20"/>
          <w:color w:val="auto"/>
        </w:rPr>
      </w:pPr>
      <w:r>
        <w:rPr>
          <w:rFonts w:ascii="Arial" w:cs="Arial" w:eastAsia="Arial" w:hAnsi="Arial"/>
          <w:sz w:val="20"/>
          <w:szCs w:val="20"/>
          <w:b w:val="1"/>
          <w:bCs w:val="1"/>
          <w:color w:val="00162F"/>
        </w:rPr>
        <w:t>Report of Independent Registered Public Accounting Firm</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00162F"/>
        </w:rPr>
        <w:t>To the Stockholders and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0162F"/>
        </w:rPr>
        <w:t>American Airlines Group Inc.:</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00162F"/>
        </w:rPr>
        <w:t>Opinion on Internal Control Over Financial Reporting</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00162F"/>
        </w:rPr>
        <w:t xml:space="preserve">We have audited American Airlines Group Inc. and subsidiaries’ (the Company) internal control over financial reporting as of December 31, 2025, based on criteria established in </w:t>
      </w:r>
      <w:r>
        <w:rPr>
          <w:rFonts w:ascii="Arial" w:cs="Arial" w:eastAsia="Arial" w:hAnsi="Arial"/>
          <w:sz w:val="20"/>
          <w:szCs w:val="20"/>
          <w:i w:val="1"/>
          <w:iCs w:val="1"/>
          <w:color w:val="00162F"/>
        </w:rPr>
        <w:t>Internal Control</w:t>
      </w:r>
      <w:r>
        <w:rPr>
          <w:rFonts w:ascii="Arial" w:cs="Arial" w:eastAsia="Arial" w:hAnsi="Arial"/>
          <w:sz w:val="20"/>
          <w:szCs w:val="20"/>
          <w:color w:val="00162F"/>
        </w:rPr>
        <w:t xml:space="preserve"> – </w:t>
      </w:r>
      <w:r>
        <w:rPr>
          <w:rFonts w:ascii="Arial" w:cs="Arial" w:eastAsia="Arial" w:hAnsi="Arial"/>
          <w:sz w:val="20"/>
          <w:szCs w:val="20"/>
          <w:i w:val="1"/>
          <w:iCs w:val="1"/>
          <w:color w:val="00162F"/>
        </w:rPr>
        <w:t>Integrated Framework (2013)</w:t>
      </w:r>
      <w:r>
        <w:rPr>
          <w:rFonts w:ascii="Arial" w:cs="Arial" w:eastAsia="Arial" w:hAnsi="Arial"/>
          <w:sz w:val="20"/>
          <w:szCs w:val="20"/>
          <w:color w:val="00162F"/>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Arial" w:cs="Arial" w:eastAsia="Arial" w:hAnsi="Arial"/>
          <w:sz w:val="20"/>
          <w:szCs w:val="20"/>
          <w:i w:val="1"/>
          <w:iCs w:val="1"/>
          <w:color w:val="00162F"/>
        </w:rPr>
        <w:t>Internal Control</w:t>
      </w:r>
      <w:r>
        <w:rPr>
          <w:rFonts w:ascii="Arial" w:cs="Arial" w:eastAsia="Arial" w:hAnsi="Arial"/>
          <w:sz w:val="20"/>
          <w:szCs w:val="20"/>
          <w:color w:val="00162F"/>
        </w:rPr>
        <w:t xml:space="preserve"> – </w:t>
      </w:r>
      <w:r>
        <w:rPr>
          <w:rFonts w:ascii="Arial" w:cs="Arial" w:eastAsia="Arial" w:hAnsi="Arial"/>
          <w:sz w:val="20"/>
          <w:szCs w:val="20"/>
          <w:i w:val="1"/>
          <w:iCs w:val="1"/>
          <w:color w:val="00162F"/>
        </w:rPr>
        <w:t>Integrated Framework (2013)</w:t>
      </w:r>
      <w:r>
        <w:rPr>
          <w:rFonts w:ascii="Arial" w:cs="Arial" w:eastAsia="Arial" w:hAnsi="Arial"/>
          <w:sz w:val="20"/>
          <w:szCs w:val="20"/>
          <w:color w:val="00162F"/>
        </w:rPr>
        <w:t xml:space="preserve"> issued by the Committee of Sponsoring Organizations of the Treadway Commission.</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00162F"/>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cash flows, and stockholders’ deficit for each of the years in the three-year period ended December 31, 2025, and the related notes (collectively, the consolidated financial statements), and our report dated February 18, 2026 expressed an unqualified opinion on those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00162F"/>
        </w:rPr>
        <w:t>Basis for Opinion</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00162F"/>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00162F"/>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00162F"/>
        </w:rPr>
        <w:t>Definition and Limitations of Internal Control Over Financial Reporting</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00162F"/>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00162F"/>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20"/>
          <w:szCs w:val="20"/>
          <w:color w:val="00162F"/>
        </w:rPr>
        <w:t>/s/</w:t>
        <w:tab/>
        <w:t>KPMG LLP</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0162F"/>
        </w:rPr>
        <w:t>Dallas, Texas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0162F"/>
        </w:rPr>
        <w:t>February 18, 2026</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172</w:t>
      </w:r>
    </w:p>
    <w:p>
      <w:pPr>
        <w:sectPr>
          <w:pgSz w:w="11880" w:h="15480" w:orient="portrait"/>
          <w:cols w:equalWidth="0" w:num="1">
            <w:col w:w="10680"/>
          </w:cols>
          <w:pgMar w:left="600" w:top="992" w:right="600" w:bottom="0" w:gutter="0" w:footer="0" w:header="0"/>
          <w:type w:val="continuous"/>
        </w:sectPr>
      </w:pPr>
    </w:p>
    <w:bookmarkStart w:id="173" w:name="page174"/>
    <w:bookmarkEnd w:id="173"/>
    <w:p>
      <w:pPr>
        <w:ind w:left="2600"/>
        <w:spacing w:after="0"/>
        <w:rPr>
          <w:sz w:val="20"/>
          <w:szCs w:val="20"/>
          <w:color w:val="auto"/>
        </w:rPr>
      </w:pPr>
      <w:r>
        <w:rPr>
          <w:rFonts w:ascii="Arial" w:cs="Arial" w:eastAsia="Arial" w:hAnsi="Arial"/>
          <w:sz w:val="20"/>
          <w:szCs w:val="20"/>
          <w:b w:val="1"/>
          <w:bCs w:val="1"/>
          <w:color w:val="00162F"/>
        </w:rPr>
        <w:t>Report of Independent Registered Public Accounting Firm</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00162F"/>
        </w:rPr>
        <w:t>To the Stockholder and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0162F"/>
        </w:rPr>
        <w:t>American Airlines, Inc.:</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00162F"/>
        </w:rPr>
        <w:t>Opinion on Internal Control Over Financial Reporting</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00162F"/>
        </w:rPr>
        <w:t xml:space="preserve">We have audited American Airlines, Inc. and subsidiaries’ (American) internal control over financial reporting as of December 31, 2025, based on criteria established in </w:t>
      </w:r>
      <w:r>
        <w:rPr>
          <w:rFonts w:ascii="Arial" w:cs="Arial" w:eastAsia="Arial" w:hAnsi="Arial"/>
          <w:sz w:val="20"/>
          <w:szCs w:val="20"/>
          <w:i w:val="1"/>
          <w:iCs w:val="1"/>
          <w:color w:val="00162F"/>
        </w:rPr>
        <w:t>Internal Control</w:t>
      </w:r>
      <w:r>
        <w:rPr>
          <w:rFonts w:ascii="Arial" w:cs="Arial" w:eastAsia="Arial" w:hAnsi="Arial"/>
          <w:sz w:val="20"/>
          <w:szCs w:val="20"/>
          <w:color w:val="00162F"/>
        </w:rPr>
        <w:t xml:space="preserve"> – </w:t>
      </w:r>
      <w:r>
        <w:rPr>
          <w:rFonts w:ascii="Arial" w:cs="Arial" w:eastAsia="Arial" w:hAnsi="Arial"/>
          <w:sz w:val="20"/>
          <w:szCs w:val="20"/>
          <w:i w:val="1"/>
          <w:iCs w:val="1"/>
          <w:color w:val="00162F"/>
        </w:rPr>
        <w:t>Integrated Framework (2013)</w:t>
      </w:r>
      <w:r>
        <w:rPr>
          <w:rFonts w:ascii="Arial" w:cs="Arial" w:eastAsia="Arial" w:hAnsi="Arial"/>
          <w:sz w:val="20"/>
          <w:szCs w:val="20"/>
          <w:color w:val="00162F"/>
        </w:rPr>
        <w:t xml:space="preserve"> issued by the Committee of Sponsoring Organizations of the Treadway Commission. In our opinion, American maintained, in all material respects, effective internal control over financial reporting as of December 31, 2025, based on criteria established in </w:t>
      </w:r>
      <w:r>
        <w:rPr>
          <w:rFonts w:ascii="Arial" w:cs="Arial" w:eastAsia="Arial" w:hAnsi="Arial"/>
          <w:sz w:val="20"/>
          <w:szCs w:val="20"/>
          <w:i w:val="1"/>
          <w:iCs w:val="1"/>
          <w:color w:val="00162F"/>
        </w:rPr>
        <w:t xml:space="preserve">Internal Control </w:t>
      </w:r>
      <w:r>
        <w:rPr>
          <w:rFonts w:ascii="Arial" w:cs="Arial" w:eastAsia="Arial" w:hAnsi="Arial"/>
          <w:sz w:val="20"/>
          <w:szCs w:val="20"/>
          <w:color w:val="00162F"/>
        </w:rPr>
        <w:t>–</w:t>
      </w:r>
      <w:r>
        <w:rPr>
          <w:rFonts w:ascii="Arial" w:cs="Arial" w:eastAsia="Arial" w:hAnsi="Arial"/>
          <w:sz w:val="20"/>
          <w:szCs w:val="20"/>
          <w:i w:val="1"/>
          <w:iCs w:val="1"/>
          <w:color w:val="00162F"/>
        </w:rPr>
        <w:t xml:space="preserve"> Integrated Framework (2013) </w:t>
      </w:r>
      <w:r>
        <w:rPr>
          <w:rFonts w:ascii="Arial" w:cs="Arial" w:eastAsia="Arial" w:hAnsi="Arial"/>
          <w:sz w:val="20"/>
          <w:szCs w:val="20"/>
          <w:color w:val="00162F"/>
        </w:rPr>
        <w:t>issued by the Committee of Sponsoring Organizations of the Treadway</w:t>
      </w:r>
      <w:r>
        <w:rPr>
          <w:rFonts w:ascii="Arial" w:cs="Arial" w:eastAsia="Arial" w:hAnsi="Arial"/>
          <w:sz w:val="20"/>
          <w:szCs w:val="20"/>
          <w:i w:val="1"/>
          <w:iCs w:val="1"/>
          <w:color w:val="00162F"/>
        </w:rPr>
        <w:t xml:space="preserve"> </w:t>
      </w:r>
      <w:r>
        <w:rPr>
          <w:rFonts w:ascii="Arial" w:cs="Arial" w:eastAsia="Arial" w:hAnsi="Arial"/>
          <w:sz w:val="20"/>
          <w:szCs w:val="20"/>
          <w:color w:val="00162F"/>
        </w:rPr>
        <w:t>Commission.</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00162F"/>
        </w:rPr>
        <w:t>We also have audited, in accordance with the standards of the Public Company Accounting Oversight Board (United States) (PCAOB), the consolidated balance sheets of American as of December 31, 2025 and 2024, the related consolidated statements of operations, comprehensive income, cash flows, and stockholder’s equity for each of the years in the three-year period ended December 31, 2025, and the related notes (collectively, the consolidated financial statements), and our report dated February 18, 2026 expressed an unqualified opinion on those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00162F"/>
        </w:rPr>
        <w:t>Basis for Opinion</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00162F"/>
        </w:rPr>
        <w:t>American’s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American’s internal control over financial reporting based on our audit.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00162F"/>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00162F"/>
        </w:rPr>
        <w:t>Definition and Limitations of Internal Control Over Financial Reporting</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00162F"/>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00162F"/>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20"/>
          <w:szCs w:val="20"/>
          <w:color w:val="00162F"/>
        </w:rPr>
        <w:t>/s/</w:t>
        <w:tab/>
        <w:t>KPMG LLP</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0162F"/>
        </w:rPr>
        <w:t>Dallas, Texas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00162F"/>
        </w:rPr>
        <w:t>February 18, 2026</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173</w:t>
      </w:r>
    </w:p>
    <w:p>
      <w:pPr>
        <w:sectPr>
          <w:pgSz w:w="11880" w:h="15480" w:orient="portrait"/>
          <w:cols w:equalWidth="0" w:num="1">
            <w:col w:w="10680"/>
          </w:cols>
          <w:pgMar w:left="600" w:top="992" w:right="600" w:bottom="0" w:gutter="0" w:footer="0" w:header="0"/>
          <w:type w:val="continuous"/>
        </w:sectPr>
      </w:pPr>
    </w:p>
    <w:bookmarkStart w:id="174" w:name="page175"/>
    <w:bookmarkEnd w:id="174"/>
    <w:p>
      <w:pPr>
        <w:spacing w:after="0"/>
        <w:rPr>
          <w:sz w:val="20"/>
          <w:szCs w:val="20"/>
          <w:color w:val="auto"/>
        </w:rPr>
      </w:pPr>
      <w:r>
        <w:rPr>
          <w:rFonts w:ascii="Arial" w:cs="Arial" w:eastAsia="Arial" w:hAnsi="Arial"/>
          <w:sz w:val="20"/>
          <w:szCs w:val="20"/>
          <w:b w:val="1"/>
          <w:bCs w:val="1"/>
          <w:color w:val="00162F"/>
        </w:rPr>
        <w:t>ITEM 9B. OTHER INFORMATION</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20"/>
          <w:szCs w:val="20"/>
          <w:i w:val="1"/>
          <w:iCs w:val="1"/>
          <w:u w:val="single" w:color="auto"/>
          <w:color w:val="00162F"/>
        </w:rPr>
        <w:t>Securities Trading Plans of Directors and Executive Officers</w:t>
      </w:r>
    </w:p>
    <w:p>
      <w:pPr>
        <w:spacing w:after="0" w:line="95"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During the quarter ended December 31, 2025, none of our directors or executive officers adopted, modified or terminated any contract, instruction or written plan for the purchase or sale of AAG securities that was intended to satisfy the affirmative defense conditions of Rule 10b5-1(c) or any “non-Rule 10b5-1 trading arrangement.”</w:t>
      </w:r>
    </w:p>
    <w:p>
      <w:pPr>
        <w:spacing w:after="0" w:line="217" w:lineRule="exact"/>
        <w:rPr>
          <w:sz w:val="20"/>
          <w:szCs w:val="20"/>
          <w:color w:val="auto"/>
        </w:rPr>
      </w:pPr>
    </w:p>
    <w:p>
      <w:pPr>
        <w:ind w:right="1680"/>
        <w:spacing w:after="0" w:line="376" w:lineRule="auto"/>
        <w:rPr>
          <w:sz w:val="20"/>
          <w:szCs w:val="20"/>
          <w:color w:val="auto"/>
        </w:rPr>
      </w:pPr>
      <w:r>
        <w:rPr>
          <w:rFonts w:ascii="Arial" w:cs="Arial" w:eastAsia="Arial" w:hAnsi="Arial"/>
          <w:sz w:val="20"/>
          <w:szCs w:val="20"/>
          <w:b w:val="1"/>
          <w:bCs w:val="1"/>
          <w:color w:val="00162F"/>
        </w:rPr>
        <w:t xml:space="preserve">ITEM 9C. DISCLOSURE REGARDING FOREIGN JURISDICTIONS THAT PREVENT INSPECTIONS </w:t>
      </w:r>
      <w:r>
        <w:rPr>
          <w:rFonts w:ascii="Arial" w:cs="Arial" w:eastAsia="Arial" w:hAnsi="Arial"/>
          <w:sz w:val="20"/>
          <w:szCs w:val="20"/>
          <w:color w:val="00162F"/>
        </w:rPr>
        <w:t>Not Applicable.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162F"/>
        </w:rPr>
        <w:t>PART III</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ITEM 10. DIRECTORS, EXECUTIVE OFFICERS AND CORPORATE GOVERNANCE</w:t>
      </w:r>
    </w:p>
    <w:p>
      <w:pPr>
        <w:spacing w:after="0" w:line="9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Except as stated below, the information required by this Item will be set forth in the Proxy Statement under the captions “Proposal 1 – Election of Directors,” “Executive Officers,” “Board Composition” and “Information About the Board of Directors and Corporate Governance” and is incorporated by reference into this Annual Report on Form 10-K.</w:t>
      </w:r>
    </w:p>
    <w:p>
      <w:pPr>
        <w:spacing w:after="0" w:line="12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20"/>
          <w:szCs w:val="20"/>
          <w:color w:val="00162F"/>
        </w:rPr>
        <w:t>AAG and American have adopted an Amended and Restated Insider Trading Compliance Policy that governs the purchase, sale and/or other dispositions of our securities by directors, officers and employees that is reasonably designed to promote compliance with insider trading laws, rules and regulations and NASDAQ listing standards. A copy of our Amended and Restated Insider Trading Compliance Policy is filed as Exhibit 19.1 to this report.</w:t>
      </w:r>
    </w:p>
    <w:p>
      <w:pPr>
        <w:spacing w:after="0" w:line="136" w:lineRule="exact"/>
        <w:rPr>
          <w:sz w:val="20"/>
          <w:szCs w:val="20"/>
          <w:color w:val="auto"/>
        </w:rPr>
      </w:pPr>
    </w:p>
    <w:p>
      <w:pPr>
        <w:jc w:val="both"/>
        <w:ind w:firstLine="267"/>
        <w:spacing w:after="0" w:line="253" w:lineRule="auto"/>
        <w:rPr>
          <w:sz w:val="20"/>
          <w:szCs w:val="20"/>
          <w:color w:val="auto"/>
        </w:rPr>
      </w:pPr>
      <w:r>
        <w:rPr>
          <w:rFonts w:ascii="Arial" w:cs="Arial" w:eastAsia="Arial" w:hAnsi="Arial"/>
          <w:sz w:val="20"/>
          <w:szCs w:val="20"/>
          <w:color w:val="00162F"/>
        </w:rPr>
        <w:t xml:space="preserve">AAG and American have adopted Standards of Business Conduct (the Ethics Standards) within the meaning of Item 406(b) of Regulation S-K. The Ethics Standards apply to all officers and employees of AAG and its subsidiaries, including American. The Ethics Standards are available on our website at </w:t>
      </w:r>
      <w:r>
        <w:rPr>
          <w:rFonts w:ascii="Arial" w:cs="Arial" w:eastAsia="Arial" w:hAnsi="Arial"/>
          <w:sz w:val="20"/>
          <w:szCs w:val="20"/>
          <w:i w:val="1"/>
          <w:iCs w:val="1"/>
          <w:color w:val="00162F"/>
        </w:rPr>
        <w:t>www.aa.com</w:t>
      </w:r>
      <w:r>
        <w:rPr>
          <w:rFonts w:ascii="Arial" w:cs="Arial" w:eastAsia="Arial" w:hAnsi="Arial"/>
          <w:sz w:val="20"/>
          <w:szCs w:val="20"/>
          <w:color w:val="00162F"/>
        </w:rPr>
        <w:t>. If we make substantive amendments to the Ethics Standards or grant any waiver, including any implicit waiver, to our principal executive officer, principal financial officer, principal accounting officer or controller, or persons performing similar functions, we will disclose the nature of such amendment or waiver on our website or in a Current Report on Form 8-K in accordance with applicable rules and regulations.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ITEM 11. EXECUTIVE COMPENSATION</w:t>
      </w:r>
    </w:p>
    <w:p>
      <w:pPr>
        <w:spacing w:after="0" w:line="97"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9"/>
          <w:szCs w:val="19"/>
          <w:color w:val="00162F"/>
        </w:rPr>
        <w:t>The information required by this Item will be set forth in the Proxy Statement under the captions “Information About the Board of Directors and Corporate Governance - Risk Assessment with Respect to Compensation Practices,” “Director Compensation,” “Compensation Discussion and Analysis,” “Executive Compensation” and “Report of the Compensation Committee of the Board of Directors” and is incorporated by reference into this Annual Report on Form 10-K.</w:t>
      </w:r>
    </w:p>
    <w:p>
      <w:pPr>
        <w:spacing w:after="0" w:line="208" w:lineRule="exact"/>
        <w:rPr>
          <w:sz w:val="20"/>
          <w:szCs w:val="20"/>
          <w:color w:val="auto"/>
        </w:rPr>
      </w:pPr>
    </w:p>
    <w:p>
      <w:pPr>
        <w:ind w:right="600"/>
        <w:spacing w:after="0" w:line="293" w:lineRule="auto"/>
        <w:rPr>
          <w:sz w:val="20"/>
          <w:szCs w:val="20"/>
          <w:color w:val="auto"/>
        </w:rPr>
      </w:pPr>
      <w:r>
        <w:rPr>
          <w:rFonts w:ascii="Arial" w:cs="Arial" w:eastAsia="Arial" w:hAnsi="Arial"/>
          <w:sz w:val="20"/>
          <w:szCs w:val="20"/>
          <w:b w:val="1"/>
          <w:bCs w:val="1"/>
          <w:color w:val="00162F"/>
        </w:rPr>
        <w:t>ITEM 12. SECURITY OWNERSHIP OF CERTAIN BENEFICIAL OWNERS AND MANAGEMENT AND RELATED STOCKHOLDER MATTERS</w:t>
      </w:r>
    </w:p>
    <w:p>
      <w:pPr>
        <w:spacing w:after="0" w:line="3"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information required by this Item will be set forth in the Proxy Statement under the captions “Security Ownership of Certain Beneficial Owners and Management” and “Equity Compensation Plan Information” and is incorporated by reference into this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ITEM 13. CERTAIN RELATIONSHIPS AND RELATED TRANSACTIONS, AND DIRECTOR INDEPENDENCE</w:t>
      </w:r>
    </w:p>
    <w:p>
      <w:pPr>
        <w:spacing w:after="0" w:line="9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information required by this Item will be set forth in the Proxy Statement under the captions “Certain Relationships and Related Party Transactions” and “Information About the Board of Directors and Corporate Governance” and is incorporated by reference into this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162F"/>
        </w:rPr>
        <w:t>ITEM 14. PRINCIPAL ACCOUNTANT FEES AND SERVICES</w:t>
      </w:r>
    </w:p>
    <w:p>
      <w:pPr>
        <w:spacing w:after="0" w:line="97" w:lineRule="exact"/>
        <w:rPr>
          <w:sz w:val="20"/>
          <w:szCs w:val="20"/>
          <w:color w:val="auto"/>
        </w:rPr>
      </w:pPr>
    </w:p>
    <w:p>
      <w:pPr>
        <w:jc w:val="both"/>
        <w:ind w:firstLine="267"/>
        <w:spacing w:after="0" w:line="265" w:lineRule="auto"/>
        <w:rPr>
          <w:sz w:val="20"/>
          <w:szCs w:val="20"/>
          <w:color w:val="auto"/>
        </w:rPr>
      </w:pPr>
      <w:r>
        <w:rPr>
          <w:rFonts w:ascii="Arial" w:cs="Arial" w:eastAsia="Arial" w:hAnsi="Arial"/>
          <w:sz w:val="20"/>
          <w:szCs w:val="20"/>
          <w:color w:val="00162F"/>
        </w:rPr>
        <w:t>The information required by this Item will be set forth in the Proxy Statement under the caption “Proposal 2 – Ratification of Appointment of Independent Registered Public Accounting Firm” and is incorporated by reference into this Annual Report on Form 10-K.</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174</w:t>
      </w:r>
    </w:p>
    <w:p>
      <w:pPr>
        <w:sectPr>
          <w:pgSz w:w="11880" w:h="15480" w:orient="portrait"/>
          <w:cols w:equalWidth="0" w:num="1">
            <w:col w:w="10680"/>
          </w:cols>
          <w:pgMar w:left="600" w:top="992" w:right="600" w:bottom="0" w:gutter="0" w:footer="0" w:header="0"/>
          <w:type w:val="continuous"/>
        </w:sectPr>
      </w:pPr>
    </w:p>
    <w:bookmarkStart w:id="175" w:name="page176"/>
    <w:bookmarkEnd w:id="175"/>
    <w:p>
      <w:pPr>
        <w:jc w:val="center"/>
        <w:spacing w:after="0"/>
        <w:rPr>
          <w:sz w:val="20"/>
          <w:szCs w:val="20"/>
          <w:color w:val="auto"/>
        </w:rPr>
      </w:pPr>
      <w:r>
        <w:rPr>
          <w:rFonts w:ascii="Arial" w:cs="Arial" w:eastAsia="Arial" w:hAnsi="Arial"/>
          <w:sz w:val="20"/>
          <w:szCs w:val="20"/>
          <w:b w:val="1"/>
          <w:bCs w:val="1"/>
          <w:color w:val="00162F"/>
        </w:rPr>
        <w:t>PART IV</w:t>
      </w:r>
    </w:p>
    <w:p>
      <w:pPr>
        <w:spacing w:after="0" w:line="275" w:lineRule="exact"/>
        <w:rPr>
          <w:sz w:val="20"/>
          <w:szCs w:val="20"/>
          <w:color w:val="auto"/>
        </w:rPr>
      </w:pPr>
    </w:p>
    <w:p>
      <w:pPr>
        <w:ind w:right="4720"/>
        <w:spacing w:after="0" w:line="341" w:lineRule="auto"/>
        <w:rPr>
          <w:sz w:val="20"/>
          <w:szCs w:val="20"/>
          <w:color w:val="auto"/>
        </w:rPr>
      </w:pPr>
      <w:r>
        <w:rPr>
          <w:rFonts w:ascii="Arial" w:cs="Arial" w:eastAsia="Arial" w:hAnsi="Arial"/>
          <w:sz w:val="20"/>
          <w:szCs w:val="20"/>
          <w:b w:val="1"/>
          <w:bCs w:val="1"/>
          <w:color w:val="00162F"/>
        </w:rPr>
        <w:t>ITEM 15. EXHIBITS AND FINANCIAL STATEMENT SCHEDULES Consolidated Financial Statements</w:t>
      </w:r>
    </w:p>
    <w:p>
      <w:pPr>
        <w:spacing w:after="0" w:line="1" w:lineRule="exact"/>
        <w:rPr>
          <w:sz w:val="20"/>
          <w:szCs w:val="20"/>
          <w:color w:val="auto"/>
        </w:rPr>
      </w:pPr>
    </w:p>
    <w:p>
      <w:pPr>
        <w:ind w:firstLine="267"/>
        <w:spacing w:after="0" w:line="282" w:lineRule="auto"/>
        <w:rPr>
          <w:sz w:val="20"/>
          <w:szCs w:val="20"/>
          <w:color w:val="auto"/>
        </w:rPr>
      </w:pPr>
      <w:r>
        <w:rPr>
          <w:rFonts w:ascii="Arial" w:cs="Arial" w:eastAsia="Arial" w:hAnsi="Arial"/>
          <w:sz w:val="20"/>
          <w:szCs w:val="20"/>
          <w:color w:val="00162F"/>
        </w:rPr>
        <w:t>The following consolidated financial statements of American Airlines Group Inc. and Independent Auditors’ Report are filed as part of this report:</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0120" w:type="dxa"/>
            <w:vAlign w:val="bottom"/>
          </w:tcPr>
          <w:p>
            <w:pPr>
              <w:spacing w:after="0"/>
              <w:rPr>
                <w:sz w:val="18"/>
                <w:szCs w:val="18"/>
                <w:color w:val="auto"/>
              </w:rPr>
            </w:pPr>
          </w:p>
        </w:tc>
        <w:tc>
          <w:tcPr>
            <w:tcW w:w="52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Page</w:t>
            </w:r>
          </w:p>
        </w:tc>
      </w:tr>
      <w:tr>
        <w:trPr>
          <w:trHeight w:val="280"/>
        </w:trPr>
        <w:tc>
          <w:tcPr>
            <w:tcW w:w="10120" w:type="dxa"/>
            <w:vAlign w:val="bottom"/>
          </w:tcPr>
          <w:p>
            <w:pPr>
              <w:spacing w:after="0"/>
              <w:rPr>
                <w:sz w:val="20"/>
                <w:szCs w:val="20"/>
                <w:color w:val="auto"/>
              </w:rPr>
            </w:pPr>
            <w:r>
              <w:rPr>
                <w:rFonts w:ascii="Arial" w:cs="Arial" w:eastAsia="Arial" w:hAnsi="Arial"/>
                <w:sz w:val="20"/>
                <w:szCs w:val="20"/>
                <w:color w:val="00162F"/>
              </w:rPr>
              <w:t>Report of Independent Registered Public Accounting Firm (KPMG LLP, Dallas, TX, Auditor Firm ID: 185)</w:t>
            </w:r>
          </w:p>
        </w:tc>
        <w:tc>
          <w:tcPr>
            <w:tcW w:w="520" w:type="dxa"/>
            <w:vAlign w:val="bottom"/>
          </w:tcPr>
          <w:p>
            <w:pPr>
              <w:jc w:val="right"/>
              <w:spacing w:after="0"/>
              <w:rPr>
                <w:sz w:val="20"/>
                <w:szCs w:val="20"/>
                <w:color w:val="auto"/>
              </w:rPr>
            </w:pPr>
            <w:r>
              <w:rPr>
                <w:rFonts w:ascii="Arial" w:cs="Arial" w:eastAsia="Arial" w:hAnsi="Arial"/>
                <w:sz w:val="20"/>
                <w:szCs w:val="20"/>
                <w:color w:val="00162F"/>
              </w:rPr>
              <w:t>81</w:t>
            </w:r>
          </w:p>
        </w:tc>
      </w:tr>
      <w:tr>
        <w:trPr>
          <w:trHeight w:val="297"/>
        </w:trPr>
        <w:tc>
          <w:tcPr>
            <w:tcW w:w="10120" w:type="dxa"/>
            <w:vAlign w:val="bottom"/>
          </w:tcPr>
          <w:p>
            <w:pPr>
              <w:spacing w:after="0"/>
              <w:rPr>
                <w:sz w:val="20"/>
                <w:szCs w:val="20"/>
                <w:color w:val="auto"/>
              </w:rPr>
            </w:pPr>
            <w:r>
              <w:rPr>
                <w:rFonts w:ascii="Arial" w:cs="Arial" w:eastAsia="Arial" w:hAnsi="Arial"/>
                <w:sz w:val="20"/>
                <w:szCs w:val="20"/>
                <w:color w:val="00162F"/>
              </w:rPr>
              <w:t>Consolidated Statements of Operations for the Years Ended December 31, 2025, 2024 and 2023</w:t>
            </w:r>
          </w:p>
        </w:tc>
        <w:tc>
          <w:tcPr>
            <w:tcW w:w="520" w:type="dxa"/>
            <w:vAlign w:val="bottom"/>
          </w:tcPr>
          <w:p>
            <w:pPr>
              <w:jc w:val="right"/>
              <w:spacing w:after="0"/>
              <w:rPr>
                <w:sz w:val="20"/>
                <w:szCs w:val="20"/>
                <w:color w:val="auto"/>
              </w:rPr>
            </w:pPr>
            <w:r>
              <w:rPr>
                <w:rFonts w:ascii="Arial" w:cs="Arial" w:eastAsia="Arial" w:hAnsi="Arial"/>
                <w:sz w:val="20"/>
                <w:szCs w:val="20"/>
                <w:color w:val="00162F"/>
              </w:rPr>
              <w:t>83</w:t>
            </w:r>
          </w:p>
        </w:tc>
      </w:tr>
      <w:tr>
        <w:trPr>
          <w:trHeight w:val="282"/>
        </w:trPr>
        <w:tc>
          <w:tcPr>
            <w:tcW w:w="10120" w:type="dxa"/>
            <w:vAlign w:val="bottom"/>
          </w:tcPr>
          <w:p>
            <w:pPr>
              <w:spacing w:after="0"/>
              <w:rPr>
                <w:sz w:val="20"/>
                <w:szCs w:val="20"/>
                <w:color w:val="auto"/>
              </w:rPr>
            </w:pPr>
            <w:r>
              <w:rPr>
                <w:rFonts w:ascii="Arial" w:cs="Arial" w:eastAsia="Arial" w:hAnsi="Arial"/>
                <w:sz w:val="20"/>
                <w:szCs w:val="20"/>
                <w:color w:val="00162F"/>
              </w:rPr>
              <w:t>Consolidated Statements of Comprehensive Income for the Years Ended December 31, 2025, 2024 and 2023</w:t>
            </w:r>
          </w:p>
        </w:tc>
        <w:tc>
          <w:tcPr>
            <w:tcW w:w="520" w:type="dxa"/>
            <w:vAlign w:val="bottom"/>
          </w:tcPr>
          <w:p>
            <w:pPr>
              <w:jc w:val="right"/>
              <w:spacing w:after="0"/>
              <w:rPr>
                <w:sz w:val="20"/>
                <w:szCs w:val="20"/>
                <w:color w:val="auto"/>
              </w:rPr>
            </w:pPr>
            <w:r>
              <w:rPr>
                <w:rFonts w:ascii="Arial" w:cs="Arial" w:eastAsia="Arial" w:hAnsi="Arial"/>
                <w:sz w:val="20"/>
                <w:szCs w:val="20"/>
                <w:color w:val="00162F"/>
              </w:rPr>
              <w:t>84</w:t>
            </w:r>
          </w:p>
        </w:tc>
      </w:tr>
      <w:tr>
        <w:trPr>
          <w:trHeight w:val="297"/>
        </w:trPr>
        <w:tc>
          <w:tcPr>
            <w:tcW w:w="10120" w:type="dxa"/>
            <w:vAlign w:val="bottom"/>
          </w:tcPr>
          <w:p>
            <w:pPr>
              <w:spacing w:after="0"/>
              <w:rPr>
                <w:sz w:val="20"/>
                <w:szCs w:val="20"/>
                <w:color w:val="auto"/>
              </w:rPr>
            </w:pPr>
            <w:r>
              <w:rPr>
                <w:rFonts w:ascii="Arial" w:cs="Arial" w:eastAsia="Arial" w:hAnsi="Arial"/>
                <w:sz w:val="20"/>
                <w:szCs w:val="20"/>
                <w:color w:val="00162F"/>
              </w:rPr>
              <w:t>Consolidated Balance Sheets at December 31, 2025 and 2024</w:t>
            </w:r>
          </w:p>
        </w:tc>
        <w:tc>
          <w:tcPr>
            <w:tcW w:w="520" w:type="dxa"/>
            <w:vAlign w:val="bottom"/>
          </w:tcPr>
          <w:p>
            <w:pPr>
              <w:jc w:val="right"/>
              <w:spacing w:after="0"/>
              <w:rPr>
                <w:sz w:val="20"/>
                <w:szCs w:val="20"/>
                <w:color w:val="auto"/>
              </w:rPr>
            </w:pPr>
            <w:r>
              <w:rPr>
                <w:rFonts w:ascii="Arial" w:cs="Arial" w:eastAsia="Arial" w:hAnsi="Arial"/>
                <w:sz w:val="20"/>
                <w:szCs w:val="20"/>
                <w:color w:val="00162F"/>
              </w:rPr>
              <w:t>85</w:t>
            </w:r>
          </w:p>
        </w:tc>
      </w:tr>
      <w:tr>
        <w:trPr>
          <w:trHeight w:val="297"/>
        </w:trPr>
        <w:tc>
          <w:tcPr>
            <w:tcW w:w="10120" w:type="dxa"/>
            <w:vAlign w:val="bottom"/>
          </w:tcPr>
          <w:p>
            <w:pPr>
              <w:spacing w:after="0"/>
              <w:rPr>
                <w:sz w:val="20"/>
                <w:szCs w:val="20"/>
                <w:color w:val="auto"/>
              </w:rPr>
            </w:pPr>
            <w:r>
              <w:rPr>
                <w:rFonts w:ascii="Arial" w:cs="Arial" w:eastAsia="Arial" w:hAnsi="Arial"/>
                <w:sz w:val="20"/>
                <w:szCs w:val="20"/>
                <w:color w:val="00162F"/>
              </w:rPr>
              <w:t>Consolidated Statements of Cash Flows for the Years Ended December 31, 2025, 2024 and 2023</w:t>
            </w:r>
          </w:p>
        </w:tc>
        <w:tc>
          <w:tcPr>
            <w:tcW w:w="520" w:type="dxa"/>
            <w:vAlign w:val="bottom"/>
          </w:tcPr>
          <w:p>
            <w:pPr>
              <w:jc w:val="right"/>
              <w:spacing w:after="0"/>
              <w:rPr>
                <w:sz w:val="20"/>
                <w:szCs w:val="20"/>
                <w:color w:val="auto"/>
              </w:rPr>
            </w:pPr>
            <w:r>
              <w:rPr>
                <w:rFonts w:ascii="Arial" w:cs="Arial" w:eastAsia="Arial" w:hAnsi="Arial"/>
                <w:sz w:val="20"/>
                <w:szCs w:val="20"/>
                <w:color w:val="00162F"/>
              </w:rPr>
              <w:t>86</w:t>
            </w:r>
          </w:p>
        </w:tc>
      </w:tr>
      <w:tr>
        <w:trPr>
          <w:trHeight w:val="312"/>
        </w:trPr>
        <w:tc>
          <w:tcPr>
            <w:tcW w:w="10120" w:type="dxa"/>
            <w:vAlign w:val="bottom"/>
          </w:tcPr>
          <w:p>
            <w:pPr>
              <w:spacing w:after="0"/>
              <w:rPr>
                <w:sz w:val="20"/>
                <w:szCs w:val="20"/>
                <w:color w:val="auto"/>
              </w:rPr>
            </w:pPr>
            <w:r>
              <w:rPr>
                <w:rFonts w:ascii="Arial" w:cs="Arial" w:eastAsia="Arial" w:hAnsi="Arial"/>
                <w:sz w:val="20"/>
                <w:szCs w:val="20"/>
                <w:color w:val="00162F"/>
              </w:rPr>
              <w:t>Consolidated Statements of Stockholders’ Deficit for the Years Ended December 31, 2025, 2024 and 2023</w:t>
            </w:r>
          </w:p>
        </w:tc>
        <w:tc>
          <w:tcPr>
            <w:tcW w:w="520" w:type="dxa"/>
            <w:vAlign w:val="bottom"/>
          </w:tcPr>
          <w:p>
            <w:pPr>
              <w:jc w:val="right"/>
              <w:spacing w:after="0"/>
              <w:rPr>
                <w:sz w:val="20"/>
                <w:szCs w:val="20"/>
                <w:color w:val="auto"/>
              </w:rPr>
            </w:pPr>
            <w:r>
              <w:rPr>
                <w:rFonts w:ascii="Arial" w:cs="Arial" w:eastAsia="Arial" w:hAnsi="Arial"/>
                <w:sz w:val="20"/>
                <w:szCs w:val="20"/>
                <w:color w:val="00162F"/>
              </w:rPr>
              <w:t>87</w:t>
            </w:r>
          </w:p>
        </w:tc>
      </w:tr>
      <w:tr>
        <w:trPr>
          <w:trHeight w:val="297"/>
        </w:trPr>
        <w:tc>
          <w:tcPr>
            <w:tcW w:w="10120" w:type="dxa"/>
            <w:vAlign w:val="bottom"/>
          </w:tcPr>
          <w:p>
            <w:pPr>
              <w:spacing w:after="0"/>
              <w:rPr>
                <w:sz w:val="20"/>
                <w:szCs w:val="20"/>
                <w:color w:val="auto"/>
              </w:rPr>
            </w:pPr>
            <w:r>
              <w:rPr>
                <w:rFonts w:ascii="Arial" w:cs="Arial" w:eastAsia="Arial" w:hAnsi="Arial"/>
                <w:sz w:val="20"/>
                <w:szCs w:val="20"/>
                <w:color w:val="00162F"/>
              </w:rPr>
              <w:t>Notes to Consolidated Financial Statements</w:t>
            </w:r>
          </w:p>
        </w:tc>
        <w:tc>
          <w:tcPr>
            <w:tcW w:w="520" w:type="dxa"/>
            <w:vAlign w:val="bottom"/>
          </w:tcPr>
          <w:p>
            <w:pPr>
              <w:jc w:val="right"/>
              <w:spacing w:after="0"/>
              <w:rPr>
                <w:sz w:val="20"/>
                <w:szCs w:val="20"/>
                <w:color w:val="auto"/>
              </w:rPr>
            </w:pPr>
            <w:r>
              <w:rPr>
                <w:rFonts w:ascii="Arial" w:cs="Arial" w:eastAsia="Arial" w:hAnsi="Arial"/>
                <w:sz w:val="20"/>
                <w:szCs w:val="20"/>
                <w:color w:val="00162F"/>
              </w:rPr>
              <w:t>88</w:t>
            </w:r>
          </w:p>
        </w:tc>
      </w:tr>
    </w:tbl>
    <w:p>
      <w:pPr>
        <w:spacing w:after="0" w:line="130"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The following consolidated financial statements of American Airlines, Inc. and Independent Auditors’ Report are filed as part of this report:</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10120" w:type="dxa"/>
            <w:vAlign w:val="bottom"/>
          </w:tcPr>
          <w:p>
            <w:pPr>
              <w:spacing w:after="0"/>
              <w:rPr>
                <w:sz w:val="18"/>
                <w:szCs w:val="18"/>
                <w:color w:val="auto"/>
              </w:rPr>
            </w:pPr>
          </w:p>
        </w:tc>
        <w:tc>
          <w:tcPr>
            <w:tcW w:w="520" w:type="dxa"/>
            <w:vAlign w:val="bottom"/>
            <w:tcBorders>
              <w:bottom w:val="single" w:sz="8" w:color="00162F"/>
            </w:tcBorders>
          </w:tcPr>
          <w:p>
            <w:pPr>
              <w:jc w:val="right"/>
              <w:spacing w:after="0"/>
              <w:rPr>
                <w:sz w:val="20"/>
                <w:szCs w:val="20"/>
                <w:color w:val="auto"/>
              </w:rPr>
            </w:pPr>
            <w:r>
              <w:rPr>
                <w:rFonts w:ascii="Arial" w:cs="Arial" w:eastAsia="Arial" w:hAnsi="Arial"/>
                <w:sz w:val="16"/>
                <w:szCs w:val="16"/>
                <w:b w:val="1"/>
                <w:bCs w:val="1"/>
                <w:color w:val="00162F"/>
              </w:rPr>
              <w:t>Page</w:t>
            </w:r>
          </w:p>
        </w:tc>
      </w:tr>
      <w:tr>
        <w:trPr>
          <w:trHeight w:val="279"/>
        </w:trPr>
        <w:tc>
          <w:tcPr>
            <w:tcW w:w="10120" w:type="dxa"/>
            <w:vAlign w:val="bottom"/>
          </w:tcPr>
          <w:p>
            <w:pPr>
              <w:spacing w:after="0"/>
              <w:rPr>
                <w:sz w:val="20"/>
                <w:szCs w:val="20"/>
                <w:color w:val="auto"/>
              </w:rPr>
            </w:pPr>
            <w:r>
              <w:rPr>
                <w:rFonts w:ascii="Arial" w:cs="Arial" w:eastAsia="Arial" w:hAnsi="Arial"/>
                <w:sz w:val="20"/>
                <w:szCs w:val="20"/>
                <w:color w:val="00162F"/>
              </w:rPr>
              <w:t>Report of Independent Registered Public Accounting Firm (KPMG LLP, Dallas, TX, Auditor Firm ID: 185)</w:t>
            </w:r>
          </w:p>
        </w:tc>
        <w:tc>
          <w:tcPr>
            <w:tcW w:w="520" w:type="dxa"/>
            <w:vAlign w:val="bottom"/>
          </w:tcPr>
          <w:p>
            <w:pPr>
              <w:jc w:val="right"/>
              <w:spacing w:after="0"/>
              <w:rPr>
                <w:sz w:val="20"/>
                <w:szCs w:val="20"/>
                <w:color w:val="auto"/>
              </w:rPr>
            </w:pPr>
            <w:r>
              <w:rPr>
                <w:rFonts w:ascii="Arial" w:cs="Arial" w:eastAsia="Arial" w:hAnsi="Arial"/>
                <w:sz w:val="20"/>
                <w:szCs w:val="20"/>
                <w:color w:val="00162F"/>
              </w:rPr>
              <w:t>126</w:t>
            </w:r>
          </w:p>
        </w:tc>
      </w:tr>
      <w:tr>
        <w:trPr>
          <w:trHeight w:val="297"/>
        </w:trPr>
        <w:tc>
          <w:tcPr>
            <w:tcW w:w="10120" w:type="dxa"/>
            <w:vAlign w:val="bottom"/>
          </w:tcPr>
          <w:p>
            <w:pPr>
              <w:spacing w:after="0"/>
              <w:rPr>
                <w:sz w:val="20"/>
                <w:szCs w:val="20"/>
                <w:color w:val="auto"/>
              </w:rPr>
            </w:pPr>
            <w:r>
              <w:rPr>
                <w:rFonts w:ascii="Arial" w:cs="Arial" w:eastAsia="Arial" w:hAnsi="Arial"/>
                <w:sz w:val="20"/>
                <w:szCs w:val="20"/>
                <w:color w:val="00162F"/>
              </w:rPr>
              <w:t>Consolidated Statements of Operations for the Years Ended December 31, 2025, 2024 and 2023</w:t>
            </w:r>
          </w:p>
        </w:tc>
        <w:tc>
          <w:tcPr>
            <w:tcW w:w="520" w:type="dxa"/>
            <w:vAlign w:val="bottom"/>
          </w:tcPr>
          <w:p>
            <w:pPr>
              <w:jc w:val="right"/>
              <w:spacing w:after="0"/>
              <w:rPr>
                <w:sz w:val="20"/>
                <w:szCs w:val="20"/>
                <w:color w:val="auto"/>
              </w:rPr>
            </w:pPr>
            <w:r>
              <w:rPr>
                <w:rFonts w:ascii="Arial" w:cs="Arial" w:eastAsia="Arial" w:hAnsi="Arial"/>
                <w:sz w:val="20"/>
                <w:szCs w:val="20"/>
                <w:color w:val="00162F"/>
              </w:rPr>
              <w:t>128</w:t>
            </w:r>
          </w:p>
        </w:tc>
      </w:tr>
      <w:tr>
        <w:trPr>
          <w:trHeight w:val="282"/>
        </w:trPr>
        <w:tc>
          <w:tcPr>
            <w:tcW w:w="10120" w:type="dxa"/>
            <w:vAlign w:val="bottom"/>
          </w:tcPr>
          <w:p>
            <w:pPr>
              <w:spacing w:after="0"/>
              <w:rPr>
                <w:sz w:val="20"/>
                <w:szCs w:val="20"/>
                <w:color w:val="auto"/>
              </w:rPr>
            </w:pPr>
            <w:r>
              <w:rPr>
                <w:rFonts w:ascii="Arial" w:cs="Arial" w:eastAsia="Arial" w:hAnsi="Arial"/>
                <w:sz w:val="20"/>
                <w:szCs w:val="20"/>
                <w:color w:val="00162F"/>
              </w:rPr>
              <w:t>Consolidated Statements of Comprehensive Income for the Years Ended December 31, 2025, 2024 and 2023</w:t>
            </w:r>
          </w:p>
        </w:tc>
        <w:tc>
          <w:tcPr>
            <w:tcW w:w="520" w:type="dxa"/>
            <w:vAlign w:val="bottom"/>
          </w:tcPr>
          <w:p>
            <w:pPr>
              <w:jc w:val="right"/>
              <w:spacing w:after="0"/>
              <w:rPr>
                <w:sz w:val="20"/>
                <w:szCs w:val="20"/>
                <w:color w:val="auto"/>
              </w:rPr>
            </w:pPr>
            <w:r>
              <w:rPr>
                <w:rFonts w:ascii="Arial" w:cs="Arial" w:eastAsia="Arial" w:hAnsi="Arial"/>
                <w:sz w:val="20"/>
                <w:szCs w:val="20"/>
                <w:color w:val="00162F"/>
              </w:rPr>
              <w:t>129</w:t>
            </w:r>
          </w:p>
        </w:tc>
      </w:tr>
      <w:tr>
        <w:trPr>
          <w:trHeight w:val="297"/>
        </w:trPr>
        <w:tc>
          <w:tcPr>
            <w:tcW w:w="10120" w:type="dxa"/>
            <w:vAlign w:val="bottom"/>
          </w:tcPr>
          <w:p>
            <w:pPr>
              <w:spacing w:after="0"/>
              <w:rPr>
                <w:sz w:val="20"/>
                <w:szCs w:val="20"/>
                <w:color w:val="auto"/>
              </w:rPr>
            </w:pPr>
            <w:r>
              <w:rPr>
                <w:rFonts w:ascii="Arial" w:cs="Arial" w:eastAsia="Arial" w:hAnsi="Arial"/>
                <w:sz w:val="20"/>
                <w:szCs w:val="20"/>
                <w:color w:val="00162F"/>
              </w:rPr>
              <w:t>Consolidated Balance Sheets at December 31, 2025 and 2024</w:t>
            </w:r>
          </w:p>
        </w:tc>
        <w:tc>
          <w:tcPr>
            <w:tcW w:w="520" w:type="dxa"/>
            <w:vAlign w:val="bottom"/>
          </w:tcPr>
          <w:p>
            <w:pPr>
              <w:jc w:val="right"/>
              <w:spacing w:after="0"/>
              <w:rPr>
                <w:sz w:val="20"/>
                <w:szCs w:val="20"/>
                <w:color w:val="auto"/>
              </w:rPr>
            </w:pPr>
            <w:r>
              <w:rPr>
                <w:rFonts w:ascii="Arial" w:cs="Arial" w:eastAsia="Arial" w:hAnsi="Arial"/>
                <w:sz w:val="20"/>
                <w:szCs w:val="20"/>
                <w:color w:val="00162F"/>
              </w:rPr>
              <w:t>130</w:t>
            </w:r>
          </w:p>
        </w:tc>
      </w:tr>
      <w:tr>
        <w:trPr>
          <w:trHeight w:val="297"/>
        </w:trPr>
        <w:tc>
          <w:tcPr>
            <w:tcW w:w="10120" w:type="dxa"/>
            <w:vAlign w:val="bottom"/>
          </w:tcPr>
          <w:p>
            <w:pPr>
              <w:spacing w:after="0"/>
              <w:rPr>
                <w:sz w:val="20"/>
                <w:szCs w:val="20"/>
                <w:color w:val="auto"/>
              </w:rPr>
            </w:pPr>
            <w:r>
              <w:rPr>
                <w:rFonts w:ascii="Arial" w:cs="Arial" w:eastAsia="Arial" w:hAnsi="Arial"/>
                <w:sz w:val="20"/>
                <w:szCs w:val="20"/>
                <w:color w:val="00162F"/>
              </w:rPr>
              <w:t>Consolidated Statements of Cash Flows for the Years Ended December 31, 2025, 2024 and 2023</w:t>
            </w:r>
          </w:p>
        </w:tc>
        <w:tc>
          <w:tcPr>
            <w:tcW w:w="520" w:type="dxa"/>
            <w:vAlign w:val="bottom"/>
          </w:tcPr>
          <w:p>
            <w:pPr>
              <w:jc w:val="right"/>
              <w:spacing w:after="0"/>
              <w:rPr>
                <w:sz w:val="20"/>
                <w:szCs w:val="20"/>
                <w:color w:val="auto"/>
              </w:rPr>
            </w:pPr>
            <w:r>
              <w:rPr>
                <w:rFonts w:ascii="Arial" w:cs="Arial" w:eastAsia="Arial" w:hAnsi="Arial"/>
                <w:sz w:val="20"/>
                <w:szCs w:val="20"/>
                <w:color w:val="00162F"/>
              </w:rPr>
              <w:t>131</w:t>
            </w:r>
          </w:p>
        </w:tc>
      </w:tr>
      <w:tr>
        <w:trPr>
          <w:trHeight w:val="312"/>
        </w:trPr>
        <w:tc>
          <w:tcPr>
            <w:tcW w:w="10120" w:type="dxa"/>
            <w:vAlign w:val="bottom"/>
          </w:tcPr>
          <w:p>
            <w:pPr>
              <w:spacing w:after="0"/>
              <w:rPr>
                <w:sz w:val="20"/>
                <w:szCs w:val="20"/>
                <w:color w:val="auto"/>
              </w:rPr>
            </w:pPr>
            <w:r>
              <w:rPr>
                <w:rFonts w:ascii="Arial" w:cs="Arial" w:eastAsia="Arial" w:hAnsi="Arial"/>
                <w:sz w:val="20"/>
                <w:szCs w:val="20"/>
                <w:color w:val="00162F"/>
              </w:rPr>
              <w:t>Consolidated Statements of Stockholder’s Equity for the Years Ended December 31, 2025, 2024 and 2023</w:t>
            </w:r>
          </w:p>
        </w:tc>
        <w:tc>
          <w:tcPr>
            <w:tcW w:w="520" w:type="dxa"/>
            <w:vAlign w:val="bottom"/>
          </w:tcPr>
          <w:p>
            <w:pPr>
              <w:jc w:val="right"/>
              <w:spacing w:after="0"/>
              <w:rPr>
                <w:sz w:val="20"/>
                <w:szCs w:val="20"/>
                <w:color w:val="auto"/>
              </w:rPr>
            </w:pPr>
            <w:r>
              <w:rPr>
                <w:rFonts w:ascii="Arial" w:cs="Arial" w:eastAsia="Arial" w:hAnsi="Arial"/>
                <w:sz w:val="20"/>
                <w:szCs w:val="20"/>
                <w:color w:val="00162F"/>
              </w:rPr>
              <w:t>132</w:t>
            </w:r>
          </w:p>
        </w:tc>
      </w:tr>
      <w:tr>
        <w:trPr>
          <w:trHeight w:val="297"/>
        </w:trPr>
        <w:tc>
          <w:tcPr>
            <w:tcW w:w="10120" w:type="dxa"/>
            <w:vAlign w:val="bottom"/>
          </w:tcPr>
          <w:p>
            <w:pPr>
              <w:spacing w:after="0"/>
              <w:rPr>
                <w:sz w:val="20"/>
                <w:szCs w:val="20"/>
                <w:color w:val="auto"/>
              </w:rPr>
            </w:pPr>
            <w:r>
              <w:rPr>
                <w:rFonts w:ascii="Arial" w:cs="Arial" w:eastAsia="Arial" w:hAnsi="Arial"/>
                <w:sz w:val="20"/>
                <w:szCs w:val="20"/>
                <w:color w:val="00162F"/>
              </w:rPr>
              <w:t>Notes to Consolidated Financial Statements</w:t>
            </w:r>
          </w:p>
        </w:tc>
        <w:tc>
          <w:tcPr>
            <w:tcW w:w="520" w:type="dxa"/>
            <w:vAlign w:val="bottom"/>
          </w:tcPr>
          <w:p>
            <w:pPr>
              <w:jc w:val="right"/>
              <w:spacing w:after="0"/>
              <w:rPr>
                <w:sz w:val="20"/>
                <w:szCs w:val="20"/>
                <w:color w:val="auto"/>
              </w:rPr>
            </w:pPr>
            <w:r>
              <w:rPr>
                <w:rFonts w:ascii="Arial" w:cs="Arial" w:eastAsia="Arial" w:hAnsi="Arial"/>
                <w:sz w:val="20"/>
                <w:szCs w:val="20"/>
                <w:color w:val="00162F"/>
              </w:rPr>
              <w:t>133</w:t>
            </w:r>
          </w:p>
        </w:tc>
      </w:tr>
    </w:tbl>
    <w:p>
      <w:pPr>
        <w:spacing w:after="0" w:line="130"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Schedules not included have been omitted because they are not applicable or because the required information is included in the Consolidated Financial Statements or notes thereto.</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175</w:t>
      </w:r>
    </w:p>
    <w:p>
      <w:pPr>
        <w:sectPr>
          <w:pgSz w:w="11880" w:h="15480" w:orient="portrait"/>
          <w:cols w:equalWidth="0" w:num="1">
            <w:col w:w="10680"/>
          </w:cols>
          <w:pgMar w:left="600" w:top="992" w:right="600" w:bottom="0" w:gutter="0" w:footer="0" w:header="0"/>
          <w:type w:val="continuous"/>
        </w:sectPr>
      </w:pPr>
    </w:p>
    <w:bookmarkStart w:id="176" w:name="page177"/>
    <w:bookmarkEnd w:id="176"/>
    <w:p>
      <w:pPr>
        <w:spacing w:after="0" w:line="207" w:lineRule="auto"/>
        <w:framePr w:w="360" w:h="199" w:wrap="auto" w:vAnchor="page" w:hAnchor="page" w:x="600" w:y="3079"/>
        <w:rPr>
          <w:rFonts w:ascii="Arial" w:cs="Arial" w:eastAsia="Arial" w:hAnsi="Arial"/>
          <w:sz w:val="20"/>
          <w:szCs w:val="20"/>
          <w:color w:val="00162F"/>
        </w:rPr>
      </w:pPr>
      <w:r>
        <w:rPr>
          <w:rFonts w:ascii="Arial" w:cs="Arial" w:eastAsia="Arial" w:hAnsi="Arial"/>
          <w:sz w:val="20"/>
          <w:szCs w:val="20"/>
          <w:color w:val="00162F"/>
        </w:rPr>
        <w:t>2.1</w:t>
      </w:r>
    </w:p>
    <w:p>
      <w:pPr>
        <w:spacing w:after="0" w:line="207" w:lineRule="auto"/>
        <w:framePr w:w="360" w:h="199" w:wrap="auto" w:vAnchor="page" w:hAnchor="page" w:x="600" w:y="3554"/>
        <w:rPr>
          <w:rFonts w:ascii="Arial" w:cs="Arial" w:eastAsia="Arial" w:hAnsi="Arial"/>
          <w:sz w:val="20"/>
          <w:szCs w:val="20"/>
          <w:color w:val="00162F"/>
        </w:rPr>
      </w:pPr>
      <w:r>
        <w:rPr>
          <w:rFonts w:ascii="Arial" w:cs="Arial" w:eastAsia="Arial" w:hAnsi="Arial"/>
          <w:sz w:val="20"/>
          <w:szCs w:val="20"/>
          <w:color w:val="00162F"/>
        </w:rPr>
        <w:t>2.2</w:t>
      </w:r>
    </w:p>
    <w:p>
      <w:pPr>
        <w:spacing w:after="0" w:line="208" w:lineRule="auto"/>
        <w:framePr w:w="620" w:h="160" w:wrap="auto" w:vAnchor="page" w:hAnchor="page" w:x="600" w:y="2701"/>
        <w:rPr>
          <w:rFonts w:ascii="Arial" w:cs="Arial" w:eastAsia="Arial" w:hAnsi="Arial"/>
          <w:sz w:val="16"/>
          <w:szCs w:val="16"/>
          <w:b w:val="1"/>
          <w:bCs w:val="1"/>
          <w:color w:val="00162F"/>
        </w:rPr>
      </w:pPr>
      <w:r>
        <w:rPr>
          <w:rFonts w:ascii="Arial" w:cs="Arial" w:eastAsia="Arial" w:hAnsi="Arial"/>
          <w:sz w:val="16"/>
          <w:szCs w:val="16"/>
          <w:b w:val="1"/>
          <w:bCs w:val="1"/>
          <w:color w:val="00162F"/>
        </w:rPr>
        <w:t>Exhibit</w:t>
      </w:r>
    </w:p>
    <w:p>
      <w:pPr>
        <w:spacing w:after="0" w:line="222" w:lineRule="auto"/>
        <w:framePr w:w="680" w:h="160" w:wrap="auto" w:vAnchor="page" w:hAnchor="page" w:x="600" w:y="2859"/>
        <w:rPr>
          <w:rFonts w:ascii="Arial" w:cs="Arial" w:eastAsia="Arial" w:hAnsi="Arial"/>
          <w:sz w:val="15"/>
          <w:szCs w:val="15"/>
          <w:b w:val="1"/>
          <w:bCs w:val="1"/>
          <w:u w:val="single" w:color="auto"/>
          <w:color w:val="00162F"/>
        </w:rPr>
      </w:pPr>
      <w:r>
        <w:rPr>
          <w:rFonts w:ascii="Arial" w:cs="Arial" w:eastAsia="Arial" w:hAnsi="Arial"/>
          <w:sz w:val="15"/>
          <w:szCs w:val="15"/>
          <w:b w:val="1"/>
          <w:bCs w:val="1"/>
          <w:u w:val="single" w:color="auto"/>
          <w:color w:val="00162F"/>
        </w:rPr>
        <w:t>Number</w:t>
      </w:r>
    </w:p>
    <w:p>
      <w:pPr>
        <w:spacing w:after="0"/>
        <w:rPr>
          <w:sz w:val="20"/>
          <w:szCs w:val="20"/>
          <w:color w:val="auto"/>
        </w:rPr>
      </w:pPr>
      <w:r>
        <w:rPr>
          <w:rFonts w:ascii="Arial" w:cs="Arial" w:eastAsia="Arial" w:hAnsi="Arial"/>
          <w:sz w:val="20"/>
          <w:szCs w:val="20"/>
          <w:b w:val="1"/>
          <w:bCs w:val="1"/>
          <w:color w:val="00162F"/>
        </w:rPr>
        <w:t>Exhibits</w:t>
      </w:r>
    </w:p>
    <w:p>
      <w:pPr>
        <w:spacing w:after="0" w:line="97" w:lineRule="exact"/>
        <w:rPr>
          <w:rFonts w:ascii="Arial" w:cs="Arial" w:eastAsia="Arial" w:hAnsi="Arial"/>
          <w:sz w:val="15"/>
          <w:szCs w:val="15"/>
          <w:b w:val="1"/>
          <w:bCs w:val="1"/>
          <w:u w:val="single" w:color="auto"/>
          <w:color w:val="00162F"/>
        </w:rPr>
      </w:pPr>
    </w:p>
    <w:p>
      <w:pPr>
        <w:jc w:val="both"/>
        <w:ind w:firstLine="223"/>
        <w:spacing w:after="0" w:line="259" w:lineRule="auto"/>
        <w:rPr>
          <w:sz w:val="20"/>
          <w:szCs w:val="20"/>
          <w:color w:val="auto"/>
        </w:rPr>
      </w:pPr>
      <w:r>
        <w:rPr>
          <w:rFonts w:ascii="Arial" w:cs="Arial" w:eastAsia="Arial" w:hAnsi="Arial"/>
          <w:sz w:val="20"/>
          <w:szCs w:val="20"/>
          <w:color w:val="00162F"/>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200" w:lineRule="exact"/>
        <w:rPr>
          <w:rFonts w:ascii="Arial" w:cs="Arial" w:eastAsia="Arial" w:hAnsi="Arial"/>
          <w:sz w:val="15"/>
          <w:szCs w:val="15"/>
          <w:b w:val="1"/>
          <w:bCs w:val="1"/>
          <w:u w:val="single" w:color="auto"/>
          <w:color w:val="00162F"/>
        </w:rPr>
      </w:pPr>
    </w:p>
    <w:p>
      <w:pPr>
        <w:spacing w:after="0" w:line="347" w:lineRule="exact"/>
        <w:rPr>
          <w:rFonts w:ascii="Arial" w:cs="Arial" w:eastAsia="Arial" w:hAnsi="Arial"/>
          <w:sz w:val="15"/>
          <w:szCs w:val="15"/>
          <w:b w:val="1"/>
          <w:bCs w:val="1"/>
          <w:u w:val="single" w:color="auto"/>
          <w:color w:val="00162F"/>
        </w:rPr>
      </w:pPr>
    </w:p>
    <w:p>
      <w:pPr>
        <w:ind w:left="900"/>
        <w:spacing w:after="0"/>
        <w:rPr>
          <w:sz w:val="20"/>
          <w:szCs w:val="20"/>
          <w:color w:val="auto"/>
        </w:rPr>
      </w:pPr>
      <w:r>
        <w:rPr>
          <w:rFonts w:ascii="Arial" w:cs="Arial" w:eastAsia="Arial" w:hAnsi="Arial"/>
          <w:sz w:val="16"/>
          <w:szCs w:val="16"/>
          <w:b w:val="1"/>
          <w:bCs w:val="1"/>
          <w:u w:val="single" w:color="auto"/>
          <w:color w:val="00162F"/>
        </w:rPr>
        <w:t>Description</w:t>
      </w:r>
    </w:p>
    <w:p>
      <w:pPr>
        <w:spacing w:after="0" w:line="36" w:lineRule="exact"/>
        <w:rPr>
          <w:rFonts w:ascii="Arial" w:cs="Arial" w:eastAsia="Arial" w:hAnsi="Arial"/>
          <w:sz w:val="15"/>
          <w:szCs w:val="15"/>
          <w:b w:val="1"/>
          <w:bCs w:val="1"/>
          <w:u w:val="single" w:color="auto"/>
          <w:color w:val="00162F"/>
        </w:rPr>
      </w:pPr>
    </w:p>
    <w:p>
      <w:pPr>
        <w:jc w:val="both"/>
        <w:ind w:left="900" w:right="40"/>
        <w:spacing w:after="0" w:line="241" w:lineRule="auto"/>
        <w:rPr>
          <w:sz w:val="20"/>
          <w:szCs w:val="20"/>
          <w:color w:val="auto"/>
        </w:rPr>
      </w:pPr>
      <w:r>
        <w:rPr>
          <w:rFonts w:ascii="Arial" w:cs="Arial" w:eastAsia="Arial" w:hAnsi="Arial"/>
          <w:sz w:val="20"/>
          <w:szCs w:val="20"/>
          <w:color w:val="00162F"/>
        </w:rPr>
        <w:t>Confirmation Order and Plan (incorporated by reference to Exhibit 2.1 to AMR’s Current Report on Form 8-K filed on October 23, 2013 (Commission File No. 1-8400)).</w:t>
      </w:r>
    </w:p>
    <w:p>
      <w:pPr>
        <w:spacing w:after="0" w:line="13" w:lineRule="exact"/>
        <w:rPr>
          <w:rFonts w:ascii="Arial" w:cs="Arial" w:eastAsia="Arial" w:hAnsi="Arial"/>
          <w:sz w:val="15"/>
          <w:szCs w:val="15"/>
          <w:b w:val="1"/>
          <w:bCs w:val="1"/>
          <w:u w:val="single" w:color="auto"/>
          <w:color w:val="00162F"/>
        </w:rPr>
      </w:pPr>
    </w:p>
    <w:p>
      <w:pPr>
        <w:jc w:val="both"/>
        <w:ind w:left="900" w:right="40"/>
        <w:spacing w:after="0" w:line="229" w:lineRule="auto"/>
        <w:rPr>
          <w:sz w:val="20"/>
          <w:szCs w:val="20"/>
          <w:color w:val="auto"/>
        </w:rPr>
      </w:pPr>
      <w:r>
        <w:rPr>
          <w:rFonts w:ascii="Arial" w:cs="Arial" w:eastAsia="Arial" w:hAnsi="Arial"/>
          <w:sz w:val="20"/>
          <w:szCs w:val="20"/>
          <w:color w:val="00162F"/>
        </w:rPr>
        <w:t>Agreement and Plan of Merger, dated as of December 28, 2015, between American Airlines, Inc. and US Airways, Inc. (incorporated by reference to Exhibit 2.1 to AAG’s Current Report on Form 8-K filed on December 31, 2015 (Commission File No. 1-8400)).</w:t>
      </w:r>
    </w:p>
    <w:p>
      <w:pPr>
        <w:spacing w:after="0" w:line="10" w:lineRule="exact"/>
        <w:rPr>
          <w:rFonts w:ascii="Arial" w:cs="Arial" w:eastAsia="Arial" w:hAnsi="Arial"/>
          <w:sz w:val="15"/>
          <w:szCs w:val="15"/>
          <w:b w:val="1"/>
          <w:bCs w:val="1"/>
          <w:u w:val="single" w:color="auto"/>
          <w:color w:val="00162F"/>
        </w:rPr>
      </w:pPr>
    </w:p>
    <w:p>
      <w:pPr>
        <w:jc w:val="both"/>
        <w:ind w:left="900" w:right="40" w:hanging="845"/>
        <w:spacing w:after="0" w:line="223" w:lineRule="auto"/>
        <w:tabs>
          <w:tab w:leader="none" w:pos="880" w:val="left"/>
        </w:tabs>
        <w:rPr>
          <w:sz w:val="20"/>
          <w:szCs w:val="20"/>
          <w:color w:val="auto"/>
        </w:rPr>
      </w:pPr>
      <w:r>
        <w:rPr>
          <w:rFonts w:ascii="Arial" w:cs="Arial" w:eastAsia="Arial" w:hAnsi="Arial"/>
          <w:sz w:val="20"/>
          <w:szCs w:val="20"/>
          <w:color w:val="00162F"/>
        </w:rPr>
        <w:t>3.1</w:t>
      </w:r>
      <w:r>
        <w:rPr>
          <w:sz w:val="20"/>
          <w:szCs w:val="20"/>
          <w:color w:val="auto"/>
        </w:rPr>
        <w:tab/>
      </w:r>
      <w:r>
        <w:rPr>
          <w:rFonts w:ascii="Arial" w:cs="Arial" w:eastAsia="Arial" w:hAnsi="Arial"/>
          <w:sz w:val="20"/>
          <w:szCs w:val="20"/>
          <w:color w:val="00162F"/>
        </w:rPr>
        <w:t>Restated Certificate of Incorporation of American Airlines Group Inc., including the Certificate of Designations, Powers, Preferences and Rights of the American Airlines Group Inc. Series A Convertible Preferred Stock attached as Annex I thereto (incorporated by reference to Exhibit 3.1 to AAG’s Current Report on Form 8-K filed on December 9, 2013 (Commission File No. 1-8400)).</w:t>
      </w:r>
    </w:p>
    <w:p>
      <w:pPr>
        <w:spacing w:after="0" w:line="21" w:lineRule="exact"/>
        <w:rPr>
          <w:rFonts w:ascii="Arial" w:cs="Arial" w:eastAsia="Arial" w:hAnsi="Arial"/>
          <w:sz w:val="15"/>
          <w:szCs w:val="15"/>
          <w:b w:val="1"/>
          <w:bCs w:val="1"/>
          <w:u w:val="single" w:color="auto"/>
          <w:color w:val="00162F"/>
        </w:rPr>
      </w:pPr>
    </w:p>
    <w:p>
      <w:pPr>
        <w:jc w:val="both"/>
        <w:ind w:left="900" w:right="40" w:hanging="845"/>
        <w:spacing w:after="0" w:line="229" w:lineRule="auto"/>
        <w:tabs>
          <w:tab w:leader="none" w:pos="880" w:val="left"/>
        </w:tabs>
        <w:rPr>
          <w:sz w:val="20"/>
          <w:szCs w:val="20"/>
          <w:color w:val="auto"/>
        </w:rPr>
      </w:pPr>
      <w:r>
        <w:rPr>
          <w:rFonts w:ascii="Arial" w:cs="Arial" w:eastAsia="Arial" w:hAnsi="Arial"/>
          <w:sz w:val="20"/>
          <w:szCs w:val="20"/>
          <w:color w:val="00162F"/>
        </w:rPr>
        <w:t>3.2</w:t>
      </w:r>
      <w:r>
        <w:rPr>
          <w:sz w:val="20"/>
          <w:szCs w:val="20"/>
          <w:color w:val="auto"/>
        </w:rPr>
        <w:tab/>
      </w:r>
      <w:r>
        <w:rPr>
          <w:rFonts w:ascii="Arial" w:cs="Arial" w:eastAsia="Arial" w:hAnsi="Arial"/>
          <w:sz w:val="20"/>
          <w:szCs w:val="20"/>
          <w:color w:val="00162F"/>
        </w:rPr>
        <w:t>Certificate of Amendment of Restated Certificate of Incorporation of American Airlines Group Inc. (incorporated by reference to Exhibit 3.1 to AAG’s Current Report on Form 8-K filed on June 13, 2018 (Commission File No. 1-8400)).</w:t>
      </w:r>
    </w:p>
    <w:p>
      <w:pPr>
        <w:spacing w:after="0" w:line="10" w:lineRule="exact"/>
        <w:rPr>
          <w:rFonts w:ascii="Arial" w:cs="Arial" w:eastAsia="Arial" w:hAnsi="Arial"/>
          <w:sz w:val="15"/>
          <w:szCs w:val="15"/>
          <w:b w:val="1"/>
          <w:bCs w:val="1"/>
          <w:u w:val="single" w:color="auto"/>
          <w:color w:val="00162F"/>
        </w:rPr>
      </w:pPr>
    </w:p>
    <w:p>
      <w:pPr>
        <w:jc w:val="both"/>
        <w:ind w:left="900" w:right="40" w:hanging="845"/>
        <w:spacing w:after="0" w:line="229" w:lineRule="auto"/>
        <w:tabs>
          <w:tab w:leader="none" w:pos="880" w:val="left"/>
        </w:tabs>
        <w:rPr>
          <w:sz w:val="20"/>
          <w:szCs w:val="20"/>
          <w:color w:val="auto"/>
        </w:rPr>
      </w:pPr>
      <w:r>
        <w:rPr>
          <w:rFonts w:ascii="Arial" w:cs="Arial" w:eastAsia="Arial" w:hAnsi="Arial"/>
          <w:sz w:val="20"/>
          <w:szCs w:val="20"/>
          <w:color w:val="00162F"/>
        </w:rPr>
        <w:t>3.3</w:t>
      </w:r>
      <w:r>
        <w:rPr>
          <w:sz w:val="20"/>
          <w:szCs w:val="20"/>
          <w:color w:val="auto"/>
        </w:rPr>
        <w:tab/>
      </w:r>
      <w:r>
        <w:rPr>
          <w:rFonts w:ascii="Arial" w:cs="Arial" w:eastAsia="Arial" w:hAnsi="Arial"/>
          <w:sz w:val="20"/>
          <w:szCs w:val="20"/>
          <w:color w:val="00162F"/>
        </w:rPr>
        <w:t>Fifth Amended and Restated Bylaws of American Airlines Group Inc. (incorporated by reference to Exhibit 3.1 to American Airlines Group Inc.’s Current Report on Form 8-K filed on August 7, 2025 (Commission File No. 1-8400)).</w:t>
      </w:r>
    </w:p>
    <w:p>
      <w:pPr>
        <w:spacing w:after="0" w:line="10" w:lineRule="exact"/>
        <w:rPr>
          <w:rFonts w:ascii="Arial" w:cs="Arial" w:eastAsia="Arial" w:hAnsi="Arial"/>
          <w:sz w:val="15"/>
          <w:szCs w:val="15"/>
          <w:b w:val="1"/>
          <w:bCs w:val="1"/>
          <w:u w:val="single" w:color="auto"/>
          <w:color w:val="00162F"/>
        </w:rPr>
      </w:pPr>
    </w:p>
    <w:p>
      <w:pPr>
        <w:jc w:val="both"/>
        <w:ind w:left="900" w:right="40" w:hanging="845"/>
        <w:spacing w:after="0" w:line="229" w:lineRule="auto"/>
        <w:tabs>
          <w:tab w:leader="none" w:pos="880" w:val="left"/>
        </w:tabs>
        <w:rPr>
          <w:sz w:val="20"/>
          <w:szCs w:val="20"/>
          <w:color w:val="auto"/>
        </w:rPr>
      </w:pPr>
      <w:r>
        <w:rPr>
          <w:rFonts w:ascii="Arial" w:cs="Arial" w:eastAsia="Arial" w:hAnsi="Arial"/>
          <w:sz w:val="20"/>
          <w:szCs w:val="20"/>
          <w:color w:val="00162F"/>
        </w:rPr>
        <w:t>3.4</w:t>
      </w:r>
      <w:r>
        <w:rPr>
          <w:sz w:val="20"/>
          <w:szCs w:val="20"/>
          <w:color w:val="auto"/>
        </w:rPr>
        <w:tab/>
      </w:r>
      <w:r>
        <w:rPr>
          <w:rFonts w:ascii="Arial" w:cs="Arial" w:eastAsia="Arial" w:hAnsi="Arial"/>
          <w:sz w:val="20"/>
          <w:szCs w:val="20"/>
          <w:color w:val="00162F"/>
        </w:rPr>
        <w:t>Amended and Restated Certificate of Incorporation of American Airlines, Inc. (incorporated by reference to Exhibit 3.3 to AAG’s Annual Report on Form 10-K for the year ended December 31, 2013 (Commission File No. 1-8400)).</w:t>
      </w:r>
    </w:p>
    <w:p>
      <w:pPr>
        <w:spacing w:after="0" w:line="10" w:lineRule="exact"/>
        <w:rPr>
          <w:rFonts w:ascii="Arial" w:cs="Arial" w:eastAsia="Arial" w:hAnsi="Arial"/>
          <w:sz w:val="15"/>
          <w:szCs w:val="15"/>
          <w:b w:val="1"/>
          <w:bCs w:val="1"/>
          <w:u w:val="single" w:color="auto"/>
          <w:color w:val="00162F"/>
        </w:rPr>
      </w:pPr>
    </w:p>
    <w:p>
      <w:pPr>
        <w:jc w:val="both"/>
        <w:ind w:left="900" w:right="40" w:hanging="845"/>
        <w:spacing w:after="0" w:line="241" w:lineRule="auto"/>
        <w:tabs>
          <w:tab w:leader="none" w:pos="880" w:val="left"/>
        </w:tabs>
        <w:rPr>
          <w:sz w:val="20"/>
          <w:szCs w:val="20"/>
          <w:color w:val="auto"/>
        </w:rPr>
      </w:pPr>
      <w:r>
        <w:rPr>
          <w:rFonts w:ascii="Arial" w:cs="Arial" w:eastAsia="Arial" w:hAnsi="Arial"/>
          <w:sz w:val="20"/>
          <w:szCs w:val="20"/>
          <w:color w:val="00162F"/>
        </w:rPr>
        <w:t>3.5</w:t>
      </w:r>
      <w:r>
        <w:rPr>
          <w:sz w:val="20"/>
          <w:szCs w:val="20"/>
          <w:color w:val="auto"/>
        </w:rPr>
        <w:tab/>
      </w:r>
      <w:r>
        <w:rPr>
          <w:rFonts w:ascii="Arial" w:cs="Arial" w:eastAsia="Arial" w:hAnsi="Arial"/>
          <w:sz w:val="20"/>
          <w:szCs w:val="20"/>
          <w:color w:val="00162F"/>
        </w:rPr>
        <w:t>Amended and Restated Bylaws of American Airlines, Inc. (incorporated by reference to Exhibit 3.4 to AAG’s Annual Report on Form 10-K for the year ended December 31, 2013 (Commission File No. 1-8400)).</w:t>
      </w:r>
    </w:p>
    <w:p>
      <w:pPr>
        <w:spacing w:after="0" w:line="13" w:lineRule="exact"/>
        <w:rPr>
          <w:rFonts w:ascii="Arial" w:cs="Arial" w:eastAsia="Arial" w:hAnsi="Arial"/>
          <w:sz w:val="15"/>
          <w:szCs w:val="15"/>
          <w:b w:val="1"/>
          <w:bCs w:val="1"/>
          <w:u w:val="single" w:color="auto"/>
          <w:color w:val="00162F"/>
        </w:rPr>
      </w:pPr>
    </w:p>
    <w:p>
      <w:pPr>
        <w:jc w:val="both"/>
        <w:ind w:left="900" w:right="40" w:hanging="845"/>
        <w:spacing w:after="0" w:line="247" w:lineRule="auto"/>
        <w:tabs>
          <w:tab w:leader="none" w:pos="880" w:val="left"/>
        </w:tabs>
        <w:rPr>
          <w:sz w:val="20"/>
          <w:szCs w:val="20"/>
          <w:color w:val="auto"/>
        </w:rPr>
      </w:pPr>
      <w:r>
        <w:rPr>
          <w:rFonts w:ascii="Arial" w:cs="Arial" w:eastAsia="Arial" w:hAnsi="Arial"/>
          <w:sz w:val="20"/>
          <w:szCs w:val="20"/>
          <w:color w:val="00162F"/>
        </w:rPr>
        <w:t>3.6</w:t>
      </w:r>
      <w:r>
        <w:rPr>
          <w:sz w:val="20"/>
          <w:szCs w:val="20"/>
          <w:color w:val="auto"/>
        </w:rPr>
        <w:tab/>
      </w:r>
      <w:r>
        <w:rPr>
          <w:rFonts w:ascii="Arial" w:cs="Arial" w:eastAsia="Arial" w:hAnsi="Arial"/>
          <w:sz w:val="20"/>
          <w:szCs w:val="20"/>
          <w:color w:val="00162F"/>
        </w:rPr>
        <w:t>Certificate of Designations of Series B Junior Participating Preferred Stock of American Airlines Group Inc., filed with the Secretary of State of the State of Delaware on December 21, 2021 (incorporated by reference to Exhibit 3.1 to AAG’s Current Report on Form 8-K filed on December 22, 2021 (Commission File No. 1-8400)).</w:t>
      </w:r>
    </w:p>
    <w:p>
      <w:pPr>
        <w:ind w:left="40"/>
        <w:spacing w:after="0" w:line="220" w:lineRule="auto"/>
        <w:tabs>
          <w:tab w:leader="none" w:pos="880" w:val="left"/>
        </w:tabs>
        <w:rPr>
          <w:sz w:val="20"/>
          <w:szCs w:val="20"/>
          <w:color w:val="auto"/>
        </w:rPr>
      </w:pPr>
      <w:r>
        <w:rPr>
          <w:rFonts w:ascii="Arial" w:cs="Arial" w:eastAsia="Arial" w:hAnsi="Arial"/>
          <w:sz w:val="20"/>
          <w:szCs w:val="20"/>
          <w:color w:val="00162F"/>
        </w:rPr>
        <w:t>4.1</w:t>
      </w:r>
      <w:r>
        <w:rPr>
          <w:sz w:val="20"/>
          <w:szCs w:val="20"/>
          <w:color w:val="auto"/>
        </w:rPr>
        <w:tab/>
      </w:r>
      <w:r>
        <w:rPr>
          <w:rFonts w:ascii="Arial" w:cs="Arial" w:eastAsia="Arial" w:hAnsi="Arial"/>
          <w:sz w:val="19"/>
          <w:szCs w:val="19"/>
          <w:color w:val="00162F"/>
        </w:rPr>
        <w:t>Description of securities registered under Section 12 of the Exchange Act (incorporated by reference to Exhibit</w:t>
      </w:r>
    </w:p>
    <w:p>
      <w:pPr>
        <w:ind w:left="900"/>
        <w:spacing w:after="0" w:line="206" w:lineRule="auto"/>
        <w:rPr>
          <w:sz w:val="20"/>
          <w:szCs w:val="20"/>
          <w:color w:val="auto"/>
        </w:rPr>
      </w:pPr>
      <w:r>
        <w:rPr>
          <w:rFonts w:ascii="Arial" w:cs="Arial" w:eastAsia="Arial" w:hAnsi="Arial"/>
          <w:sz w:val="20"/>
          <w:szCs w:val="20"/>
          <w:color w:val="00162F"/>
        </w:rPr>
        <w:t>4.1 to AAG’s Annual Report on Form 10-K for the year ended December 31, 2021 (Commission File No.</w:t>
      </w:r>
    </w:p>
    <w:p>
      <w:pPr>
        <w:spacing w:after="0" w:line="1" w:lineRule="exact"/>
        <w:rPr>
          <w:rFonts w:ascii="Arial" w:cs="Arial" w:eastAsia="Arial" w:hAnsi="Arial"/>
          <w:sz w:val="15"/>
          <w:szCs w:val="15"/>
          <w:b w:val="1"/>
          <w:bCs w:val="1"/>
          <w:u w:val="single" w:color="auto"/>
          <w:color w:val="00162F"/>
        </w:rPr>
      </w:pPr>
    </w:p>
    <w:p>
      <w:pPr>
        <w:ind w:left="900"/>
        <w:spacing w:after="0"/>
        <w:rPr>
          <w:sz w:val="20"/>
          <w:szCs w:val="20"/>
          <w:color w:val="auto"/>
        </w:rPr>
      </w:pPr>
      <w:r>
        <w:rPr>
          <w:rFonts w:ascii="Arial" w:cs="Arial" w:eastAsia="Arial" w:hAnsi="Arial"/>
          <w:sz w:val="20"/>
          <w:szCs w:val="20"/>
          <w:color w:val="00162F"/>
        </w:rPr>
        <w:t>1-8400)).</w:t>
      </w:r>
    </w:p>
    <w:p>
      <w:pPr>
        <w:spacing w:after="0" w:line="37" w:lineRule="exact"/>
        <w:rPr>
          <w:rFonts w:ascii="Arial" w:cs="Arial" w:eastAsia="Arial" w:hAnsi="Arial"/>
          <w:sz w:val="15"/>
          <w:szCs w:val="15"/>
          <w:b w:val="1"/>
          <w:bCs w:val="1"/>
          <w:u w:val="single" w:color="auto"/>
          <w:color w:val="00162F"/>
        </w:rPr>
      </w:pPr>
    </w:p>
    <w:p>
      <w:pPr>
        <w:jc w:val="both"/>
        <w:ind w:left="900" w:right="40" w:hanging="845"/>
        <w:spacing w:after="0" w:line="229" w:lineRule="auto"/>
        <w:tabs>
          <w:tab w:leader="none" w:pos="880" w:val="left"/>
        </w:tabs>
        <w:rPr>
          <w:sz w:val="20"/>
          <w:szCs w:val="20"/>
          <w:color w:val="auto"/>
        </w:rPr>
      </w:pPr>
      <w:r>
        <w:rPr>
          <w:rFonts w:ascii="Arial" w:cs="Arial" w:eastAsia="Arial" w:hAnsi="Arial"/>
          <w:sz w:val="20"/>
          <w:szCs w:val="20"/>
          <w:color w:val="00162F"/>
        </w:rPr>
        <w:t>4.2</w:t>
      </w:r>
      <w:r>
        <w:rPr>
          <w:sz w:val="20"/>
          <w:szCs w:val="20"/>
          <w:color w:val="auto"/>
        </w:rPr>
        <w:tab/>
      </w:r>
      <w:r>
        <w:rPr>
          <w:rFonts w:ascii="Arial" w:cs="Arial" w:eastAsia="Arial" w:hAnsi="Arial"/>
          <w:sz w:val="20"/>
          <w:szCs w:val="20"/>
          <w:color w:val="00162F"/>
        </w:rPr>
        <w:t>Pass Through Trust Agreement, dated as of September 16, 2014, between American Airlines, Inc. and Wilmington Trust Company, as Trustee (incorporated by reference to Exhibit 4.1 to American’s Current Report on Form 8-K filed on September 17, 2014 (Commission File No. 1-2691)).</w:t>
      </w:r>
    </w:p>
    <w:p>
      <w:pPr>
        <w:spacing w:after="0" w:line="10" w:lineRule="exact"/>
        <w:rPr>
          <w:rFonts w:ascii="Arial" w:cs="Arial" w:eastAsia="Arial" w:hAnsi="Arial"/>
          <w:sz w:val="15"/>
          <w:szCs w:val="15"/>
          <w:b w:val="1"/>
          <w:bCs w:val="1"/>
          <w:u w:val="single" w:color="auto"/>
          <w:color w:val="00162F"/>
        </w:rPr>
      </w:pPr>
    </w:p>
    <w:p>
      <w:pPr>
        <w:jc w:val="both"/>
        <w:ind w:left="900" w:right="40" w:hanging="845"/>
        <w:spacing w:after="0" w:line="223" w:lineRule="auto"/>
        <w:tabs>
          <w:tab w:leader="none" w:pos="880" w:val="left"/>
        </w:tabs>
        <w:rPr>
          <w:sz w:val="20"/>
          <w:szCs w:val="20"/>
          <w:color w:val="auto"/>
        </w:rPr>
      </w:pPr>
      <w:r>
        <w:rPr>
          <w:rFonts w:ascii="Arial" w:cs="Arial" w:eastAsia="Arial" w:hAnsi="Arial"/>
          <w:sz w:val="20"/>
          <w:szCs w:val="20"/>
          <w:color w:val="00162F"/>
        </w:rPr>
        <w:t>4.3</w:t>
      </w:r>
      <w:r>
        <w:rPr>
          <w:sz w:val="20"/>
          <w:szCs w:val="20"/>
          <w:color w:val="auto"/>
        </w:rPr>
        <w:tab/>
      </w:r>
      <w:r>
        <w:rPr>
          <w:rFonts w:ascii="Arial" w:cs="Arial" w:eastAsia="Arial" w:hAnsi="Arial"/>
          <w:sz w:val="20"/>
          <w:szCs w:val="20"/>
          <w:color w:val="00162F"/>
        </w:rPr>
        <w:t>Trust Supplement No. 2014-1A, dated as of September 16, 2014, between American Airlines, Inc. and Wilmington Trust Company, as Trustee, to the Pass Through Trust Agreement, dated as of September 16, 2014 (incorporated by reference to Exhibit 4.2 to American’s Current Report on Form 8-K filed on September 17, 2014 (Commission File No. 1-2691)).</w:t>
      </w:r>
    </w:p>
    <w:p>
      <w:pPr>
        <w:spacing w:after="0" w:line="21" w:lineRule="exact"/>
        <w:rPr>
          <w:rFonts w:ascii="Arial" w:cs="Arial" w:eastAsia="Arial" w:hAnsi="Arial"/>
          <w:sz w:val="15"/>
          <w:szCs w:val="15"/>
          <w:b w:val="1"/>
          <w:bCs w:val="1"/>
          <w:u w:val="single" w:color="auto"/>
          <w:color w:val="00162F"/>
        </w:rPr>
      </w:pPr>
    </w:p>
    <w:p>
      <w:pPr>
        <w:jc w:val="both"/>
        <w:ind w:left="900" w:right="40" w:hanging="845"/>
        <w:spacing w:after="0" w:line="223" w:lineRule="auto"/>
        <w:tabs>
          <w:tab w:leader="none" w:pos="880" w:val="left"/>
        </w:tabs>
        <w:rPr>
          <w:sz w:val="20"/>
          <w:szCs w:val="20"/>
          <w:color w:val="auto"/>
        </w:rPr>
      </w:pPr>
      <w:r>
        <w:rPr>
          <w:rFonts w:ascii="Arial" w:cs="Arial" w:eastAsia="Arial" w:hAnsi="Arial"/>
          <w:sz w:val="20"/>
          <w:szCs w:val="20"/>
          <w:color w:val="00162F"/>
        </w:rPr>
        <w:t>4.4</w:t>
      </w:r>
      <w:r>
        <w:rPr>
          <w:sz w:val="20"/>
          <w:szCs w:val="20"/>
          <w:color w:val="auto"/>
        </w:rPr>
        <w:tab/>
      </w:r>
      <w:r>
        <w:rPr>
          <w:rFonts w:ascii="Arial" w:cs="Arial" w:eastAsia="Arial" w:hAnsi="Arial"/>
          <w:sz w:val="20"/>
          <w:szCs w:val="20"/>
          <w:color w:val="00162F"/>
        </w:rPr>
        <w:t>Trust Supplement No. 2014-1B, dated as of September 16, 2014, between American Airlines, Inc. and Wilmington Trust Company, as Trustee, to the Pass Through Trust Agreement, dated as of September 16, 2014 (incorporated by reference to Exhibit 4.3 to American’s Current Report on Form 8-K filed on September 17, 2014 (Commission File No. 1-2691)).</w:t>
      </w:r>
    </w:p>
    <w:p>
      <w:pPr>
        <w:spacing w:after="0" w:line="21" w:lineRule="exact"/>
        <w:rPr>
          <w:rFonts w:ascii="Arial" w:cs="Arial" w:eastAsia="Arial" w:hAnsi="Arial"/>
          <w:sz w:val="15"/>
          <w:szCs w:val="15"/>
          <w:b w:val="1"/>
          <w:bCs w:val="1"/>
          <w:u w:val="single" w:color="auto"/>
          <w:color w:val="00162F"/>
        </w:rPr>
      </w:pPr>
    </w:p>
    <w:p>
      <w:pPr>
        <w:jc w:val="both"/>
        <w:ind w:left="900" w:right="40" w:hanging="845"/>
        <w:spacing w:after="0" w:line="217" w:lineRule="auto"/>
        <w:tabs>
          <w:tab w:leader="none" w:pos="880" w:val="left"/>
        </w:tabs>
        <w:rPr>
          <w:sz w:val="20"/>
          <w:szCs w:val="20"/>
          <w:color w:val="auto"/>
        </w:rPr>
      </w:pPr>
      <w:r>
        <w:rPr>
          <w:rFonts w:ascii="Arial" w:cs="Arial" w:eastAsia="Arial" w:hAnsi="Arial"/>
          <w:sz w:val="20"/>
          <w:szCs w:val="20"/>
          <w:color w:val="00162F"/>
        </w:rPr>
        <w:t>4.5</w:t>
      </w:r>
      <w:r>
        <w:rPr>
          <w:sz w:val="20"/>
          <w:szCs w:val="20"/>
          <w:color w:val="auto"/>
        </w:rPr>
        <w:tab/>
      </w:r>
      <w:r>
        <w:rPr>
          <w:rFonts w:ascii="Arial" w:cs="Arial" w:eastAsia="Arial" w:hAnsi="Arial"/>
          <w:sz w:val="20"/>
          <w:szCs w:val="20"/>
          <w:color w:val="00162F"/>
        </w:rPr>
        <w:t>Intercreditor Agreement (2014-1), dated as of September 16, 2014, among Wilmington Trust Company, as Trustee of the American Airlines Pass Through Trust 2014-1A and as Trustee of the American Airlines Pass Through Trust 2014-1B, Crédit Agricole Corporate and Investment Bank, acting through its New York Branch, as Class A Liquidity Provider and Class B Liquidity Provider, and Wilmington Trust Company, as Subordination Agent (incorporated by reference to Exhibit 4.4 to American’s Current Report on Form 8-K filed on September 17, 2014 (Commission File No. 1-2691)).</w:t>
      </w:r>
    </w:p>
    <w:p>
      <w:pPr>
        <w:spacing w:after="0" w:line="14" w:lineRule="exact"/>
        <w:rPr>
          <w:rFonts w:ascii="Arial" w:cs="Arial" w:eastAsia="Arial" w:hAnsi="Arial"/>
          <w:sz w:val="15"/>
          <w:szCs w:val="15"/>
          <w:b w:val="1"/>
          <w:bCs w:val="1"/>
          <w:u w:val="single" w:color="auto"/>
          <w:color w:val="00162F"/>
        </w:rPr>
      </w:pPr>
    </w:p>
    <w:p>
      <w:pPr>
        <w:jc w:val="both"/>
        <w:ind w:left="900" w:right="40" w:hanging="845"/>
        <w:spacing w:after="0" w:line="223" w:lineRule="auto"/>
        <w:tabs>
          <w:tab w:leader="none" w:pos="880" w:val="left"/>
        </w:tabs>
        <w:rPr>
          <w:sz w:val="20"/>
          <w:szCs w:val="20"/>
          <w:color w:val="auto"/>
        </w:rPr>
      </w:pPr>
      <w:r>
        <w:rPr>
          <w:rFonts w:ascii="Arial" w:cs="Arial" w:eastAsia="Arial" w:hAnsi="Arial"/>
          <w:sz w:val="20"/>
          <w:szCs w:val="20"/>
          <w:color w:val="00162F"/>
        </w:rPr>
        <w:t>4.6</w:t>
      </w:r>
      <w:r>
        <w:rPr>
          <w:sz w:val="20"/>
          <w:szCs w:val="20"/>
          <w:color w:val="auto"/>
        </w:rPr>
        <w:tab/>
      </w:r>
      <w:r>
        <w:rPr>
          <w:rFonts w:ascii="Arial" w:cs="Arial" w:eastAsia="Arial" w:hAnsi="Arial"/>
          <w:sz w:val="20"/>
          <w:szCs w:val="20"/>
          <w:color w:val="00162F"/>
        </w:rPr>
        <w:t>Amendment No. 1 to Intercreditor Agreement (2014- 1), dated as of June 24, 2015, among American Airlines, Inc., Credit Agricole Corporate and Investment Bank, as Class A and Class B liquidity provider and Wilmington Trust Company, as subordination agent and trustee (incorporated by reference to Exhibit 10.6 to AAG’s Quarterly Report on Form 10-Q for the quarter ended June 30, 2015 (Commission File No. 1-8400)).</w:t>
      </w:r>
    </w:p>
    <w:p>
      <w:pPr>
        <w:spacing w:after="0" w:line="21" w:lineRule="exact"/>
        <w:rPr>
          <w:rFonts w:ascii="Arial" w:cs="Arial" w:eastAsia="Arial" w:hAnsi="Arial"/>
          <w:sz w:val="15"/>
          <w:szCs w:val="15"/>
          <w:b w:val="1"/>
          <w:bCs w:val="1"/>
          <w:u w:val="single" w:color="auto"/>
          <w:color w:val="00162F"/>
        </w:rPr>
      </w:pPr>
    </w:p>
    <w:p>
      <w:pPr>
        <w:jc w:val="both"/>
        <w:ind w:left="900" w:right="40" w:hanging="845"/>
        <w:spacing w:after="0" w:line="220" w:lineRule="auto"/>
        <w:tabs>
          <w:tab w:leader="none" w:pos="880" w:val="left"/>
        </w:tabs>
        <w:rPr>
          <w:sz w:val="20"/>
          <w:szCs w:val="20"/>
          <w:color w:val="auto"/>
        </w:rPr>
      </w:pPr>
      <w:r>
        <w:rPr>
          <w:rFonts w:ascii="Arial" w:cs="Arial" w:eastAsia="Arial" w:hAnsi="Arial"/>
          <w:sz w:val="20"/>
          <w:szCs w:val="20"/>
          <w:color w:val="00162F"/>
        </w:rPr>
        <w:t>4.7</w:t>
      </w:r>
      <w:r>
        <w:rPr>
          <w:sz w:val="20"/>
          <w:szCs w:val="20"/>
          <w:color w:val="auto"/>
        </w:rPr>
        <w:tab/>
      </w:r>
      <w:r>
        <w:rPr>
          <w:rFonts w:ascii="Arial" w:cs="Arial" w:eastAsia="Arial" w:hAnsi="Arial"/>
          <w:sz w:val="20"/>
          <w:szCs w:val="20"/>
          <w:color w:val="00162F"/>
        </w:rPr>
        <w:t>Note Purchase Agreement, dated as of September 16, 2014,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4.9 to American’s Current Report on Form 8-K filed on September 17, 2014 (Commission File No. 1-2691)).</w:t>
      </w:r>
    </w:p>
    <w:p>
      <w:pPr>
        <w:sectPr>
          <w:pgSz w:w="11880" w:h="15480" w:orient="portrait"/>
          <w:cols w:equalWidth="0" w:num="1">
            <w:col w:w="10680"/>
          </w:cols>
          <w:pgMar w:left="600" w:top="992" w:right="600" w:bottom="0" w:gutter="0" w:footer="0" w:header="0"/>
        </w:sectPr>
      </w:pPr>
    </w:p>
    <w:p>
      <w:pPr>
        <w:spacing w:after="0" w:line="200" w:lineRule="exact"/>
        <w:rPr>
          <w:rFonts w:ascii="Arial" w:cs="Arial" w:eastAsia="Arial" w:hAnsi="Arial"/>
          <w:sz w:val="15"/>
          <w:szCs w:val="15"/>
          <w:b w:val="1"/>
          <w:bCs w:val="1"/>
          <w:u w:val="single" w:color="auto"/>
          <w:color w:val="00162F"/>
        </w:rPr>
      </w:pPr>
    </w:p>
    <w:p>
      <w:pPr>
        <w:spacing w:after="0" w:line="201" w:lineRule="exact"/>
        <w:rPr>
          <w:rFonts w:ascii="Arial" w:cs="Arial" w:eastAsia="Arial" w:hAnsi="Arial"/>
          <w:sz w:val="15"/>
          <w:szCs w:val="15"/>
          <w:b w:val="1"/>
          <w:bCs w:val="1"/>
          <w:u w:val="single" w:color="auto"/>
          <w:color w:val="00162F"/>
        </w:rPr>
      </w:pPr>
    </w:p>
    <w:p>
      <w:pPr>
        <w:jc w:val="center"/>
        <w:spacing w:after="0"/>
        <w:rPr>
          <w:sz w:val="20"/>
          <w:szCs w:val="20"/>
          <w:color w:val="auto"/>
        </w:rPr>
      </w:pPr>
      <w:r>
        <w:rPr>
          <w:rFonts w:ascii="Arial" w:cs="Arial" w:eastAsia="Arial" w:hAnsi="Arial"/>
          <w:sz w:val="19"/>
          <w:szCs w:val="19"/>
          <w:color w:val="00162F"/>
        </w:rPr>
        <w:t>176</w:t>
      </w:r>
    </w:p>
    <w:p>
      <w:pPr>
        <w:sectPr>
          <w:pgSz w:w="11880" w:h="15480" w:orient="portrait"/>
          <w:cols w:equalWidth="0" w:num="1">
            <w:col w:w="10680"/>
          </w:cols>
          <w:pgMar w:left="600" w:top="992" w:right="600" w:bottom="0" w:gutter="0" w:footer="0" w:header="0"/>
          <w:type w:val="continuous"/>
        </w:sectPr>
      </w:pPr>
    </w:p>
    <w:bookmarkStart w:id="177" w:name="page178"/>
    <w:bookmarkEnd w:id="177"/>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4.8</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(Exhibit B to Note Purchase Agreement) (incorporated by reference to Exhibit 4.10 to American’s Current Report on Form 8-K filed on September 17, 2014 (Commission File No. 1-2691)).</w:t>
      </w:r>
    </w:p>
    <w:p>
      <w:pPr>
        <w:spacing w:after="0" w:line="14"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4.9</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(Exhibit C to Note Purchase Agreement) (incorporated by reference to Exhibit 4.11 to American’s Current Report on Form 8-K filed on September 17, 2014 (Commission File No. 1-2691)).</w:t>
      </w:r>
    </w:p>
    <w:p>
      <w:pPr>
        <w:spacing w:after="0" w:line="21"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4.10</w:t>
      </w:r>
      <w:r>
        <w:rPr>
          <w:sz w:val="20"/>
          <w:szCs w:val="20"/>
          <w:color w:val="auto"/>
        </w:rPr>
        <w:tab/>
      </w:r>
      <w:r>
        <w:rPr>
          <w:rFonts w:ascii="Arial" w:cs="Arial" w:eastAsia="Arial" w:hAnsi="Arial"/>
          <w:sz w:val="20"/>
          <w:szCs w:val="20"/>
          <w:color w:val="00162F"/>
        </w:rPr>
        <w:t>Revolving Credit Agreement (2014-1A), dated as of September 16, 2014, between Wilmington Trust Company, as Subordination Agent, as agent and trustee for the trustee of the American Airlines Pass Through Trust 2014-1A, as Borrower, and Crédit Agricole Corporate and Investment Bank, acting through its New York Branch, as Liquidity Provider (incorporated by reference to Exhibit 4.14 to American’s Current Report on Form 8-K filed on September 17, 2014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4.11</w:t>
      </w:r>
      <w:r>
        <w:rPr>
          <w:sz w:val="20"/>
          <w:szCs w:val="20"/>
          <w:color w:val="auto"/>
        </w:rPr>
        <w:tab/>
      </w:r>
      <w:r>
        <w:rPr>
          <w:rFonts w:ascii="Arial" w:cs="Arial" w:eastAsia="Arial" w:hAnsi="Arial"/>
          <w:sz w:val="20"/>
          <w:szCs w:val="20"/>
          <w:color w:val="00162F"/>
        </w:rPr>
        <w:t>Revolving Credit Agreement (2014-1B), dated as of September 16, 2014, between Wilmington Trust Company, as Subordination Agent, as agent and trustee for the trustee of the American Airlines Pass Through Trust 2014-1B, as Borrower, and Crédit Agricole Corporate and Investment Bank, acting through its New York Branch, as Liquidity Provider (incorporated by reference to Exhibit 4.15 to American’s Current Report on Form 8-K filed on September 17, 2014 (Commission File No. 1-2691)).</w:t>
      </w:r>
    </w:p>
    <w:p>
      <w:pPr>
        <w:spacing w:after="0" w:line="15"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4.12</w:t>
      </w:r>
      <w:r>
        <w:rPr>
          <w:sz w:val="20"/>
          <w:szCs w:val="20"/>
          <w:color w:val="auto"/>
        </w:rPr>
        <w:tab/>
      </w:r>
      <w:r>
        <w:rPr>
          <w:rFonts w:ascii="Arial" w:cs="Arial" w:eastAsia="Arial" w:hAnsi="Arial"/>
          <w:sz w:val="20"/>
          <w:szCs w:val="20"/>
          <w:color w:val="00162F"/>
        </w:rPr>
        <w:t>Trust Supplement No. 2015-1A, dated as of March 16, 2015, between American Airlines, Inc. and Wilmington Trust Company, as Trustee, to the Pass Through Trust Agreement, dated as of September 16, 2014 (incorporated by reference to Exhibit 4.2 to American’s Current Report on Form 8-K filed on March 16, 2015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4.13</w:t>
      </w:r>
      <w:r>
        <w:rPr>
          <w:sz w:val="20"/>
          <w:szCs w:val="20"/>
          <w:color w:val="auto"/>
        </w:rPr>
        <w:tab/>
      </w:r>
      <w:r>
        <w:rPr>
          <w:rFonts w:ascii="Arial" w:cs="Arial" w:eastAsia="Arial" w:hAnsi="Arial"/>
          <w:sz w:val="20"/>
          <w:szCs w:val="20"/>
          <w:color w:val="00162F"/>
        </w:rPr>
        <w:t>Trust Supplement No. 2015-1B, dated as of March 16, 2015, between American Airlines, Inc. and Wilmington Trust Company, as Trustee, to the Pass Through Trust Agreement, dated as of September 16, 2014 (incorporated by reference to Exhibit 4.3 to American’s Current Report on Form 8-K filed on March 16, 2015 (Commission File No. 1-2691)).</w:t>
      </w:r>
    </w:p>
    <w:p>
      <w:pPr>
        <w:spacing w:after="0" w:line="21"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4.14</w:t>
      </w:r>
      <w:r>
        <w:rPr>
          <w:sz w:val="20"/>
          <w:szCs w:val="20"/>
          <w:color w:val="auto"/>
        </w:rPr>
        <w:tab/>
      </w:r>
      <w:r>
        <w:rPr>
          <w:rFonts w:ascii="Arial" w:cs="Arial" w:eastAsia="Arial" w:hAnsi="Arial"/>
          <w:sz w:val="20"/>
          <w:szCs w:val="20"/>
          <w:color w:val="00162F"/>
        </w:rPr>
        <w:t>Intercreditor Agreement (2015-1), dated as of March 16, 2015, among Wilmington Trust Company, as Trustee of the American Airlines Pass Through Trust 2015-1A and as Trustee of the American Airlines Pass Through Trust 2015-1B, Crédit Agricole Corporate and Investment Bank, acting through its New York Branch, as Class A Liquidity Provider and Class B Liquidity Provider, and Wilmington Trust Company, as Subordination Agent (incorporated by reference to Exhibit 4.4 to American’s Current Report on Form 8-K filed on March 16, 2015 (Commission File No. 1-2691)).</w:t>
      </w:r>
    </w:p>
    <w:p>
      <w:pPr>
        <w:spacing w:after="0" w:line="14"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4.15</w:t>
      </w:r>
      <w:r>
        <w:rPr>
          <w:sz w:val="20"/>
          <w:szCs w:val="20"/>
          <w:color w:val="auto"/>
        </w:rPr>
        <w:tab/>
      </w:r>
      <w:r>
        <w:rPr>
          <w:rFonts w:ascii="Arial" w:cs="Arial" w:eastAsia="Arial" w:hAnsi="Arial"/>
          <w:sz w:val="20"/>
          <w:szCs w:val="20"/>
          <w:color w:val="00162F"/>
        </w:rPr>
        <w:t>Note Purchase Agreement, dated as of March 16, 2015,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4.9 to American’s Current Report on Form 8-K filed on March 16, 2015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4.16</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4.10 to American’s Current Report on Form 8-K filed on March 16, 2015 (Commission File No. 1-2691)).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4.17</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4.11 to American’s Current Report on Form 8-K filed on March 16, 2015 (Commission File No. 1-2691)).</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4.18</w:t>
      </w:r>
      <w:r>
        <w:rPr>
          <w:sz w:val="20"/>
          <w:szCs w:val="20"/>
          <w:color w:val="auto"/>
        </w:rPr>
        <w:tab/>
      </w:r>
      <w:r>
        <w:rPr>
          <w:rFonts w:ascii="Arial" w:cs="Arial" w:eastAsia="Arial" w:hAnsi="Arial"/>
          <w:sz w:val="20"/>
          <w:szCs w:val="20"/>
          <w:color w:val="00162F"/>
        </w:rPr>
        <w:t>Form of Pass Through Trust Certificate, Series 2015-1A (incorporated by reference to Exhibit A to Exhibit 4.2 to American’s Current Report on Form 8-K filed on March 16, 2015 (Commission File No. 1-2691)).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4.19</w:t>
      </w:r>
      <w:r>
        <w:rPr>
          <w:sz w:val="20"/>
          <w:szCs w:val="20"/>
          <w:color w:val="auto"/>
        </w:rPr>
        <w:tab/>
      </w:r>
      <w:r>
        <w:rPr>
          <w:rFonts w:ascii="Arial" w:cs="Arial" w:eastAsia="Arial" w:hAnsi="Arial"/>
          <w:sz w:val="20"/>
          <w:szCs w:val="20"/>
          <w:color w:val="00162F"/>
        </w:rPr>
        <w:t>Form of Pass Through Trust Certificate, Series 2015-1B (incorporated by reference to Exhibit A to Exhibit 4.3 to American’s Current Report on Form 8-K filed on March 16, 2015 (Commission File No. 1-2691)).</w:t>
      </w:r>
    </w:p>
    <w:p>
      <w:pPr>
        <w:spacing w:after="0" w:line="13"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4.20</w:t>
      </w:r>
      <w:r>
        <w:rPr>
          <w:sz w:val="20"/>
          <w:szCs w:val="20"/>
          <w:color w:val="auto"/>
        </w:rPr>
        <w:tab/>
      </w:r>
      <w:r>
        <w:rPr>
          <w:rFonts w:ascii="Arial" w:cs="Arial" w:eastAsia="Arial" w:hAnsi="Arial"/>
          <w:sz w:val="20"/>
          <w:szCs w:val="20"/>
          <w:color w:val="00162F"/>
        </w:rPr>
        <w:t>Revolving Credit Agreement (2015-1A), dated as of March 16, 2015, between Wilmington Trust Company, as Subordination Agent, as agent and trustee for the trustee of the American Airlines Pass Through Trust 2015- 1A, as Borrower, and Crédit Agricole Corporate and Investment Bank, acting through its New York Branch, as Liquidity Provider (incorporated by reference to Exhibit 4.14 to American’s Current Report on Form 8-K filed on March 16, 2015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4.21</w:t>
      </w:r>
      <w:r>
        <w:rPr>
          <w:sz w:val="20"/>
          <w:szCs w:val="20"/>
          <w:color w:val="auto"/>
        </w:rPr>
        <w:tab/>
      </w:r>
      <w:r>
        <w:rPr>
          <w:rFonts w:ascii="Arial" w:cs="Arial" w:eastAsia="Arial" w:hAnsi="Arial"/>
          <w:sz w:val="20"/>
          <w:szCs w:val="20"/>
          <w:color w:val="00162F"/>
        </w:rPr>
        <w:t>Revolving Credit Agreement (2015-1B), dated as of March 16, 2015, between Wilmington Trust Company, as Subordination Agent, as agent and trustee for the trustee of the American Airlines Pass Through Trust 2015- 1B, as Borrower, and Crédit Agricole Corporate and Investment Bank, acting through its New York Branch, as Liquidity Provider (incorporated by reference to Exhibit 4.15 to American’s Current Report on Form 8-K filed on March 16, 2015 (Commission File No. 1-2691)).</w:t>
      </w:r>
    </w:p>
    <w:p>
      <w:pPr>
        <w:sectPr>
          <w:pgSz w:w="11880" w:h="15480" w:orient="portrait"/>
          <w:cols w:equalWidth="0" w:num="1">
            <w:col w:w="10600"/>
          </w:cols>
          <w:pgMar w:left="640" w:top="1071" w:right="640" w:bottom="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177</w:t>
      </w:r>
    </w:p>
    <w:p>
      <w:pPr>
        <w:sectPr>
          <w:pgSz w:w="11880" w:h="15480" w:orient="portrait"/>
          <w:cols w:equalWidth="0" w:num="1">
            <w:col w:w="10600"/>
          </w:cols>
          <w:pgMar w:left="640" w:top="1071" w:right="640" w:bottom="0" w:gutter="0" w:footer="0" w:header="0"/>
          <w:type w:val="continuous"/>
        </w:sectPr>
      </w:pPr>
    </w:p>
    <w:bookmarkStart w:id="178" w:name="page179"/>
    <w:bookmarkEnd w:id="178"/>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4.22</w:t>
      </w:r>
      <w:r>
        <w:rPr>
          <w:sz w:val="20"/>
          <w:szCs w:val="20"/>
          <w:color w:val="auto"/>
        </w:rPr>
        <w:tab/>
      </w:r>
      <w:r>
        <w:rPr>
          <w:rFonts w:ascii="Arial" w:cs="Arial" w:eastAsia="Arial" w:hAnsi="Arial"/>
          <w:sz w:val="20"/>
          <w:szCs w:val="20"/>
          <w:color w:val="00162F"/>
        </w:rPr>
        <w:t>Trust Supplement No. 2015-2AA, dated as of September 24, 2015, between American Airlines, Inc. and Wilmington Trust Company, as Trustee, to the Pass Through Trust Agreement, dated as of September 16, 2014 (incorporated by reference to Exhibit 4.2 to American’s Current Report on Form 8-K filed on September 24, 2015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4.23</w:t>
      </w:r>
      <w:r>
        <w:rPr>
          <w:sz w:val="20"/>
          <w:szCs w:val="20"/>
          <w:color w:val="auto"/>
        </w:rPr>
        <w:tab/>
      </w:r>
      <w:r>
        <w:rPr>
          <w:rFonts w:ascii="Arial" w:cs="Arial" w:eastAsia="Arial" w:hAnsi="Arial"/>
          <w:sz w:val="20"/>
          <w:szCs w:val="20"/>
          <w:color w:val="00162F"/>
        </w:rPr>
        <w:t>Trust Supplement No. 2015-2A, dated as of September 24, 2015, between American Airlines, Inc. and Wilmington Trust Company, as Trustee, to the Pass Through Trust Agreement, dated as of September 16, 2014 (incorporated by reference to Exhibit 4.3 to American’s Current Report on Form 8-K filed on September 24, 2015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4.24</w:t>
      </w:r>
      <w:r>
        <w:rPr>
          <w:sz w:val="20"/>
          <w:szCs w:val="20"/>
          <w:color w:val="auto"/>
        </w:rPr>
        <w:tab/>
      </w:r>
      <w:r>
        <w:rPr>
          <w:rFonts w:ascii="Arial" w:cs="Arial" w:eastAsia="Arial" w:hAnsi="Arial"/>
          <w:sz w:val="20"/>
          <w:szCs w:val="20"/>
          <w:color w:val="00162F"/>
        </w:rPr>
        <w:t>Trust Supplement No. 2015-2B, dated as of September 24, 2015, between American Airlines, Inc. and Wilmington Trust Company, as Trustee, to the Pass Through Trust Agreement, dated as of September 16, 2014 (incorporated by reference to Exhibit 4.4 to American’s Current Report on Form 8-K filed on September 24, 2015 (Commission File No. 1-2691)).</w:t>
      </w:r>
    </w:p>
    <w:p>
      <w:pPr>
        <w:spacing w:after="0" w:line="21" w:lineRule="exact"/>
        <w:rPr>
          <w:sz w:val="20"/>
          <w:szCs w:val="20"/>
          <w:color w:val="auto"/>
        </w:rPr>
      </w:pPr>
    </w:p>
    <w:p>
      <w:pPr>
        <w:jc w:val="both"/>
        <w:ind w:left="860" w:hanging="845"/>
        <w:spacing w:after="0" w:line="227" w:lineRule="auto"/>
        <w:tabs>
          <w:tab w:leader="none" w:pos="840" w:val="left"/>
        </w:tabs>
        <w:rPr>
          <w:sz w:val="20"/>
          <w:szCs w:val="20"/>
          <w:color w:val="auto"/>
        </w:rPr>
      </w:pPr>
      <w:r>
        <w:rPr>
          <w:rFonts w:ascii="Arial" w:cs="Arial" w:eastAsia="Arial" w:hAnsi="Arial"/>
          <w:sz w:val="20"/>
          <w:szCs w:val="20"/>
          <w:color w:val="00162F"/>
        </w:rPr>
        <w:t>4.25</w:t>
      </w:r>
      <w:r>
        <w:rPr>
          <w:sz w:val="20"/>
          <w:szCs w:val="20"/>
          <w:color w:val="auto"/>
        </w:rPr>
        <w:tab/>
      </w:r>
      <w:r>
        <w:rPr>
          <w:rFonts w:ascii="Arial" w:cs="Arial" w:eastAsia="Arial" w:hAnsi="Arial"/>
          <w:sz w:val="19"/>
          <w:szCs w:val="19"/>
          <w:color w:val="00162F"/>
        </w:rPr>
        <w:t>Intercreditor Agreement (2015-2), dated as of September 24, 2015, among Wilmington Trust Company, as Trustee of the American Airlines Pass Through Trust 2015-2AA, as Trustee of the American Airlines Pass Through Trust 2015-2A and as Trustee of the American Airlines Pass Through Trust 2015-2B, Commonwealth Bank of Australia, New York Branch, as Class AA Liquidity Provider, Crédit Agricole Corporate and Investment Bank, acting through its New York Branch, as Class A Liquidity Provider and Class B Liquidity Provider, and Wilmington Trust Company, as Subordination Agent (incorporated by reference to Exhibit 4.5 to American’s Current Report on Form 8-K filed on September 24, 2015 (Commission File No. 1-2691)).</w:t>
      </w:r>
    </w:p>
    <w:p>
      <w:pPr>
        <w:spacing w:after="0" w:line="23"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4.26</w:t>
      </w:r>
      <w:r>
        <w:rPr>
          <w:sz w:val="20"/>
          <w:szCs w:val="20"/>
          <w:color w:val="auto"/>
        </w:rPr>
        <w:tab/>
      </w:r>
      <w:r>
        <w:rPr>
          <w:rFonts w:ascii="Arial" w:cs="Arial" w:eastAsia="Arial" w:hAnsi="Arial"/>
          <w:sz w:val="20"/>
          <w:szCs w:val="20"/>
          <w:color w:val="00162F"/>
        </w:rPr>
        <w:t>Note Purchase Agreement, dated as of September 24, 2015, among American Airlines, Inc., Wilmington Trust Company, as Pass Through Trustee under each of the Pass Through Trust Agreements and Wilmington Trust Company, as Subordination Agent (incorporated by reference to Exhibit 4.6 to American’s Current Report on Form 8-K filed on September 24, 2015 (Commission File No. 1-2691)).</w:t>
      </w:r>
    </w:p>
    <w:p>
      <w:pPr>
        <w:spacing w:after="0" w:line="21"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4.27</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B to Exhibit 4.6 to American’s Current Report on Form 8-K filed on September 24, 2015 (Commission File No. 1-2691)).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4.28</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C to Exhibit 4.6 to American’s Current Report on Form 8-K filed on September 24, 2015 (Commission File No. 1-2691)).</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4.29</w:t>
      </w:r>
      <w:r>
        <w:rPr>
          <w:sz w:val="20"/>
          <w:szCs w:val="20"/>
          <w:color w:val="auto"/>
        </w:rPr>
        <w:tab/>
      </w:r>
      <w:r>
        <w:rPr>
          <w:rFonts w:ascii="Arial" w:cs="Arial" w:eastAsia="Arial" w:hAnsi="Arial"/>
          <w:sz w:val="20"/>
          <w:szCs w:val="20"/>
          <w:color w:val="00162F"/>
        </w:rPr>
        <w:t>Form of Pass Through Trust Certificate, Series 2015-2AA (incorporated by reference to Exhibit A to Exhibit 4.2 to American’s Current Report on Form 8-K filed on September 24, 2015 (Commission File No. 1-2691)).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4.30</w:t>
      </w:r>
      <w:r>
        <w:rPr>
          <w:sz w:val="20"/>
          <w:szCs w:val="20"/>
          <w:color w:val="auto"/>
        </w:rPr>
        <w:tab/>
      </w:r>
      <w:r>
        <w:rPr>
          <w:rFonts w:ascii="Arial" w:cs="Arial" w:eastAsia="Arial" w:hAnsi="Arial"/>
          <w:sz w:val="20"/>
          <w:szCs w:val="20"/>
          <w:color w:val="00162F"/>
        </w:rPr>
        <w:t>Form of Pass Through Trust Certificate, Series 2015-2A (incorporated by reference to Exhibit A to Exhibit 4.3 to American’s Current Report on Form 8-K filed on September 24, 2015 (Commission File No. 1-2691)).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4.31</w:t>
      </w:r>
      <w:r>
        <w:rPr>
          <w:sz w:val="20"/>
          <w:szCs w:val="20"/>
          <w:color w:val="auto"/>
        </w:rPr>
        <w:tab/>
      </w:r>
      <w:r>
        <w:rPr>
          <w:rFonts w:ascii="Arial" w:cs="Arial" w:eastAsia="Arial" w:hAnsi="Arial"/>
          <w:sz w:val="20"/>
          <w:szCs w:val="20"/>
          <w:color w:val="00162F"/>
        </w:rPr>
        <w:t>Form of Pass Through Trust Certificate, Series 2015-2B (incorporated by reference to Exhibit A to Exhibit 4.4 to American’s Current Report on Form 8-K filed on September 24, 2015 (Commission File No. 1-2691)).</w:t>
      </w:r>
    </w:p>
    <w:p>
      <w:pPr>
        <w:spacing w:after="0" w:line="13"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4.32</w:t>
      </w:r>
      <w:r>
        <w:rPr>
          <w:sz w:val="20"/>
          <w:szCs w:val="20"/>
          <w:color w:val="auto"/>
        </w:rPr>
        <w:tab/>
      </w:r>
      <w:r>
        <w:rPr>
          <w:rFonts w:ascii="Arial" w:cs="Arial" w:eastAsia="Arial" w:hAnsi="Arial"/>
          <w:sz w:val="20"/>
          <w:szCs w:val="20"/>
          <w:color w:val="00162F"/>
        </w:rPr>
        <w:t>Revolving Credit Agreement (2015-2AA), dated as of September 24, 2015, between Wilmington Trust Company, as Subordination Agent, as agent and trustee for the trustee of the American Airlines Pass Through Trust 2015-2AA, as Borrower, and Commonwealth Bank of Australia, New York Branch, as Liquidity Provider (incorporated by reference to Exhibit 4.12 to American’s Current Report on Form 8-K filed on September 24, 2015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4.33</w:t>
      </w:r>
      <w:r>
        <w:rPr>
          <w:sz w:val="20"/>
          <w:szCs w:val="20"/>
          <w:color w:val="auto"/>
        </w:rPr>
        <w:tab/>
      </w:r>
      <w:r>
        <w:rPr>
          <w:rFonts w:ascii="Arial" w:cs="Arial" w:eastAsia="Arial" w:hAnsi="Arial"/>
          <w:sz w:val="20"/>
          <w:szCs w:val="20"/>
          <w:color w:val="00162F"/>
        </w:rPr>
        <w:t>Revolving Credit Agreement (2015-2A), dated as of September 24, 2015, between Wilmington Trust Company, as Subordination Agent, as agent and trustee for the trustee of the American Airlines Pass Through Trust 2015-2A, as Borrower, and Crédit Agricole Corporate and Investment Bank, acting through its New York Branch, as Liquidity Provider (incorporated by reference to Exhibit 4.13 to American’s Current Report on Form 8-K filed on September 24, 2015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4.34</w:t>
      </w:r>
      <w:r>
        <w:rPr>
          <w:sz w:val="20"/>
          <w:szCs w:val="20"/>
          <w:color w:val="auto"/>
        </w:rPr>
        <w:tab/>
      </w:r>
      <w:r>
        <w:rPr>
          <w:rFonts w:ascii="Arial" w:cs="Arial" w:eastAsia="Arial" w:hAnsi="Arial"/>
          <w:sz w:val="20"/>
          <w:szCs w:val="20"/>
          <w:color w:val="00162F"/>
        </w:rPr>
        <w:t>Revolving Credit Agreement (2015-2B), dated as of September 24, 2015, between Wilmington Trust Company, as Subordination Agent, as agent and trustee for the trustee of the American Airlines Pass Through Trust 2015-2B, as Borrower, and Crédit Agricole Corporate and Investment Bank, acting through its New York Branch, as Liquidity Provider (incorporated by reference to Exhibit 4.14 to American’s Current Report on Form 8-K filed on September 24, 2015 (Commission File No. 1-2691)).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4.35</w:t>
      </w:r>
      <w:r>
        <w:rPr>
          <w:sz w:val="20"/>
          <w:szCs w:val="20"/>
          <w:color w:val="auto"/>
        </w:rPr>
        <w:tab/>
      </w:r>
      <w:r>
        <w:rPr>
          <w:rFonts w:ascii="Arial" w:cs="Arial" w:eastAsia="Arial" w:hAnsi="Arial"/>
          <w:sz w:val="19"/>
          <w:szCs w:val="19"/>
          <w:color w:val="00162F"/>
        </w:rPr>
        <w:t>Assumption Agreement, dated as of December 30, 2015, by American Airlines, Inc. for the benefit of Wilmington Trust Company, as pass through trustee, subordination agent, and paying agent, and Wilmington Trust, National Association, as escrow agent, in each case, under the Note Purchase Agreement, dated as of April 24, 2013, among American Airlines, Inc. (as successor in interest to US Airways, Inc.), Wilmington Trust Company, Wilmington Trust, National Association and Wilmington Trust Company (incorporated by reference to Exhibit 10.2 to AAG’s Current Report on Form 8-K filed on December 31, 2015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178</w:t>
      </w:r>
    </w:p>
    <w:p>
      <w:pPr>
        <w:sectPr>
          <w:pgSz w:w="11880" w:h="15480" w:orient="portrait"/>
          <w:cols w:equalWidth="0" w:num="1">
            <w:col w:w="10600"/>
          </w:cols>
          <w:pgMar w:left="640" w:top="1071" w:right="640" w:bottom="0" w:gutter="0" w:footer="0" w:header="0"/>
          <w:type w:val="continuous"/>
        </w:sectPr>
      </w:pPr>
    </w:p>
    <w:bookmarkStart w:id="179" w:name="page180"/>
    <w:bookmarkEnd w:id="179"/>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4.36</w:t>
      </w:r>
      <w:r>
        <w:rPr>
          <w:sz w:val="20"/>
          <w:szCs w:val="20"/>
          <w:color w:val="auto"/>
        </w:rPr>
        <w:tab/>
      </w:r>
      <w:r>
        <w:rPr>
          <w:rFonts w:ascii="Arial" w:cs="Arial" w:eastAsia="Arial" w:hAnsi="Arial"/>
          <w:sz w:val="20"/>
          <w:szCs w:val="20"/>
          <w:color w:val="00162F"/>
        </w:rPr>
        <w:t>Trust Supplement No. 2016-1AA, dated as of January 19, 2016, between American Airlines, Inc. and Wilmington Trust Company, as Trustee, to the Pass Through Trust Agreement, dated as of September 16, 2014 (incorporated by reference to Exhibit 4.2 to American’s Current Report on Form 8-K filed on January 21, 2016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4.37</w:t>
      </w:r>
      <w:r>
        <w:rPr>
          <w:sz w:val="20"/>
          <w:szCs w:val="20"/>
          <w:color w:val="auto"/>
        </w:rPr>
        <w:tab/>
      </w:r>
      <w:r>
        <w:rPr>
          <w:rFonts w:ascii="Arial" w:cs="Arial" w:eastAsia="Arial" w:hAnsi="Arial"/>
          <w:sz w:val="20"/>
          <w:szCs w:val="20"/>
          <w:color w:val="00162F"/>
        </w:rPr>
        <w:t>Trust Supplement No. 2016-1A, dated as of January 19, 2016, between American Airlines, Inc. and Wilmington Trust Company, as Trustee, to the Pass Through Trust Agreement, dated as of September 16, 2014 (incorporated by reference to Exhibit 4.3 to American’s Current Report on Form 8-K filed on January 21, 2016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4.38</w:t>
      </w:r>
      <w:r>
        <w:rPr>
          <w:sz w:val="20"/>
          <w:szCs w:val="20"/>
          <w:color w:val="auto"/>
        </w:rPr>
        <w:tab/>
      </w:r>
      <w:r>
        <w:rPr>
          <w:rFonts w:ascii="Arial" w:cs="Arial" w:eastAsia="Arial" w:hAnsi="Arial"/>
          <w:sz w:val="20"/>
          <w:szCs w:val="20"/>
          <w:color w:val="00162F"/>
        </w:rPr>
        <w:t>Trust Supplement No. 2016-1B, dated as of January 19, 2016, between American Airlines, Inc. and Wilmington Trust Company, as Trustee, to the Pass Through Trust Agreement, dated as of September 16, 2014 (incorporated by reference to Exhibit 4.4 to American’s Current Report on Form 8-K filed on January 21, 2016 (Commission File No. 1-2691)).</w:t>
      </w:r>
    </w:p>
    <w:p>
      <w:pPr>
        <w:spacing w:after="0" w:line="21"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4.39</w:t>
      </w:r>
      <w:r>
        <w:rPr>
          <w:sz w:val="20"/>
          <w:szCs w:val="20"/>
          <w:color w:val="auto"/>
        </w:rPr>
        <w:tab/>
      </w:r>
      <w:r>
        <w:rPr>
          <w:rFonts w:ascii="Arial" w:cs="Arial" w:eastAsia="Arial" w:hAnsi="Arial"/>
          <w:sz w:val="20"/>
          <w:szCs w:val="20"/>
          <w:color w:val="00162F"/>
        </w:rPr>
        <w:t>Intercreditor Agreement (2016-1), dated as of January 19, 2016, among Wilmington Trust Company, as Trustee of the American Airlines Pass Through Trust 2016-1AA, as Trustee of the American Airlines Pass Through Trust 2016- 1A and as Trustee of the American Airlines Pass Through Trust 2016-1B, KfW IPEX-Bank GmbH, as Class AA Liquidity Provider, Class A Liquidity Provider and Class B Liquidity Provider, and Wilmington Trust Company, as Subordination Agent (incorporated by reference to exhibit 4.5 to American’s Current Report on Form 8-K filed on January 21, 2016 (Commission File No. 1-2691)).</w:t>
      </w:r>
    </w:p>
    <w:p>
      <w:pPr>
        <w:spacing w:after="0" w:line="14"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4.40</w:t>
      </w:r>
      <w:r>
        <w:rPr>
          <w:sz w:val="20"/>
          <w:szCs w:val="20"/>
          <w:color w:val="auto"/>
        </w:rPr>
        <w:tab/>
      </w:r>
      <w:r>
        <w:rPr>
          <w:rFonts w:ascii="Arial" w:cs="Arial" w:eastAsia="Arial" w:hAnsi="Arial"/>
          <w:sz w:val="20"/>
          <w:szCs w:val="20"/>
          <w:color w:val="00162F"/>
        </w:rPr>
        <w:t>Note Purchase Agreement, dated as of January 19, 2016, among American Airlines, Inc., Wilmington Trust Company, as Pass Through Trustee under each of the Pass Through Trust Agreements, and Wilmington Trust Company, as Subordination Agent (incorporated by reference to Exhibit 4.6 to American’s Current Report on Form 8-K filed on January 21, 2016 (Commission File No. 1-2691)).</w:t>
      </w:r>
    </w:p>
    <w:p>
      <w:pPr>
        <w:spacing w:after="0" w:line="21"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4.41</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B to Exhibit 4.6 to American’s Current Report on Form 8-K filed on January 21, 2016 (Commission File No. 1-2691)).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4.42</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C to Exhibit 4.6 to American’s Current Report on Form 8-K filed on January 21, 2016 (Commission File No. 1-2691)).</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4.43</w:t>
      </w:r>
      <w:r>
        <w:rPr>
          <w:sz w:val="20"/>
          <w:szCs w:val="20"/>
          <w:color w:val="auto"/>
        </w:rPr>
        <w:tab/>
      </w:r>
      <w:r>
        <w:rPr>
          <w:rFonts w:ascii="Arial" w:cs="Arial" w:eastAsia="Arial" w:hAnsi="Arial"/>
          <w:sz w:val="20"/>
          <w:szCs w:val="20"/>
          <w:color w:val="00162F"/>
        </w:rPr>
        <w:t>Form of Pass Through Trust Certificate, Series 2016-1AA (incorporated by reference to Exhibit A to Exhibit 4.2 to American’s Current Report on Form 8-K filed on January 21, 2016 (Commission File No. 1-2691)).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4.44</w:t>
      </w:r>
      <w:r>
        <w:rPr>
          <w:sz w:val="20"/>
          <w:szCs w:val="20"/>
          <w:color w:val="auto"/>
        </w:rPr>
        <w:tab/>
      </w:r>
      <w:r>
        <w:rPr>
          <w:rFonts w:ascii="Arial" w:cs="Arial" w:eastAsia="Arial" w:hAnsi="Arial"/>
          <w:sz w:val="20"/>
          <w:szCs w:val="20"/>
          <w:color w:val="00162F"/>
        </w:rPr>
        <w:t>Form of Pass Through Trust Certificate, Series 2016-1A (incorporated by reference to Exhibit A to Exhibit 4.3 to American’s Current Report on Form 8-K filed on January 21, 2016 (Commission File No. 1-2691)).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4.45</w:t>
      </w:r>
      <w:r>
        <w:rPr>
          <w:sz w:val="20"/>
          <w:szCs w:val="20"/>
          <w:color w:val="auto"/>
        </w:rPr>
        <w:tab/>
      </w:r>
      <w:r>
        <w:rPr>
          <w:rFonts w:ascii="Arial" w:cs="Arial" w:eastAsia="Arial" w:hAnsi="Arial"/>
          <w:sz w:val="20"/>
          <w:szCs w:val="20"/>
          <w:color w:val="00162F"/>
        </w:rPr>
        <w:t>Form of Pass Through Trust Certificate, Series 2016-1B (incorporated by reference to Exhibit A to Exhibit 4.4 to American’s Current Report on Form 8-K filed on January 21, 2016 (Commission File No. 1-2691)).</w:t>
      </w:r>
    </w:p>
    <w:p>
      <w:pPr>
        <w:spacing w:after="0" w:line="13" w:lineRule="exact"/>
        <w:rPr>
          <w:sz w:val="20"/>
          <w:szCs w:val="20"/>
          <w:color w:val="auto"/>
        </w:rPr>
      </w:pPr>
    </w:p>
    <w:p>
      <w:pPr>
        <w:jc w:val="both"/>
        <w:ind w:left="860" w:hanging="845"/>
        <w:spacing w:after="0" w:line="235" w:lineRule="auto"/>
        <w:tabs>
          <w:tab w:leader="none" w:pos="840" w:val="left"/>
        </w:tabs>
        <w:rPr>
          <w:sz w:val="20"/>
          <w:szCs w:val="20"/>
          <w:color w:val="auto"/>
        </w:rPr>
      </w:pPr>
      <w:r>
        <w:rPr>
          <w:rFonts w:ascii="Arial" w:cs="Arial" w:eastAsia="Arial" w:hAnsi="Arial"/>
          <w:sz w:val="20"/>
          <w:szCs w:val="20"/>
          <w:color w:val="00162F"/>
        </w:rPr>
        <w:t>4.46</w:t>
      </w:r>
      <w:r>
        <w:rPr>
          <w:sz w:val="20"/>
          <w:szCs w:val="20"/>
          <w:color w:val="auto"/>
        </w:rPr>
        <w:tab/>
      </w:r>
      <w:r>
        <w:rPr>
          <w:rFonts w:ascii="Arial" w:cs="Arial" w:eastAsia="Arial" w:hAnsi="Arial"/>
          <w:sz w:val="19"/>
          <w:szCs w:val="19"/>
          <w:color w:val="00162F"/>
        </w:rPr>
        <w:t>Revolving Credit Agreement (2016-1AA), dated as of January 19, 2016, between Wilmington Trust Company, as Subordination Agent, as agent and trustee for the trustee of the American Airlines Pass Through Trust 2016-1AA, as Borrower, and KfW IPEX-Bank GmbH, as Liquidity Provider (incorporated by reference to Exhibit 4.12 to American’s Current Report on Form 8-K filed on January 21, 2016 (Commission File No. 1-2691)).</w:t>
      </w:r>
    </w:p>
    <w:p>
      <w:pPr>
        <w:spacing w:after="0" w:line="20"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4.47</w:t>
      </w:r>
      <w:r>
        <w:rPr>
          <w:sz w:val="20"/>
          <w:szCs w:val="20"/>
          <w:color w:val="auto"/>
        </w:rPr>
        <w:tab/>
      </w:r>
      <w:r>
        <w:rPr>
          <w:rFonts w:ascii="Arial" w:cs="Arial" w:eastAsia="Arial" w:hAnsi="Arial"/>
          <w:sz w:val="20"/>
          <w:szCs w:val="20"/>
          <w:color w:val="00162F"/>
        </w:rPr>
        <w:t>Revolving Credit Agreement (2016-1A), dated as of January 19, 2016, between Wilmington Trust Company, as Subordination Agent, as agent and trustee for the trustee of the American Airlines Pass Through Trust 2016-1A, as Borrower, and KfW IPEX-Bank GmbH, as Liquidity Provider (incorporated by reference to Exhibit 4.13 to American’s Current Report on Form 8-K filed on January 21, 2016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4.48</w:t>
      </w:r>
      <w:r>
        <w:rPr>
          <w:sz w:val="20"/>
          <w:szCs w:val="20"/>
          <w:color w:val="auto"/>
        </w:rPr>
        <w:tab/>
      </w:r>
      <w:r>
        <w:rPr>
          <w:rFonts w:ascii="Arial" w:cs="Arial" w:eastAsia="Arial" w:hAnsi="Arial"/>
          <w:sz w:val="20"/>
          <w:szCs w:val="20"/>
          <w:color w:val="00162F"/>
        </w:rPr>
        <w:t>Revolving Credit Agreement (2016-1B), dated as of January 19, 2016, between Wilmington Trust Company, as Subordination Agent, as agent and trustee for the trustee of the American Airlines Pass Through Trust 2016-1B, as Borrower, and KfW IPEX-Bank GmbH, as Liquidity Provider (incorporated by reference to Exhibit 4.14 to American’s Current Report on Form 8-K filed on January 21, 2016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4.49</w:t>
      </w:r>
      <w:r>
        <w:rPr>
          <w:sz w:val="20"/>
          <w:szCs w:val="20"/>
          <w:color w:val="auto"/>
        </w:rPr>
        <w:tab/>
      </w:r>
      <w:r>
        <w:rPr>
          <w:rFonts w:ascii="Arial" w:cs="Arial" w:eastAsia="Arial" w:hAnsi="Arial"/>
          <w:sz w:val="20"/>
          <w:szCs w:val="20"/>
          <w:color w:val="00162F"/>
        </w:rPr>
        <w:t>Trust Supplement No. 2016-2AA, dated as of May 16, 2016, between American Airlines, Inc. and Wilmington Trust Company, as Trustee, to the Pass Through Trust Agreement, dated as of September 16, 2014 (incorporated by reference to Exhibit 4.2 to American’s Current Report on Form 8-K filed on May 17, 2016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4.50</w:t>
      </w:r>
      <w:r>
        <w:rPr>
          <w:sz w:val="20"/>
          <w:szCs w:val="20"/>
          <w:color w:val="auto"/>
        </w:rPr>
        <w:tab/>
      </w:r>
      <w:r>
        <w:rPr>
          <w:rFonts w:ascii="Arial" w:cs="Arial" w:eastAsia="Arial" w:hAnsi="Arial"/>
          <w:sz w:val="20"/>
          <w:szCs w:val="20"/>
          <w:color w:val="00162F"/>
        </w:rPr>
        <w:t>Trust Supplement No. 2016-2A, dated as of May 16, 2016, between American Airlines, Inc. and Wilmington Trust Company, as Trustee, to the Pass Through Trust Agreement, dated as of September 16, 2014 (incorporated by reference to Exhibit 4.3 to American’s Current Report on Form 8-K filed on May 17, 2016 (Commission File No. 1-2691)).</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179</w:t>
      </w:r>
    </w:p>
    <w:p>
      <w:pPr>
        <w:sectPr>
          <w:pgSz w:w="11880" w:h="15480" w:orient="portrait"/>
          <w:cols w:equalWidth="0" w:num="1">
            <w:col w:w="10600"/>
          </w:cols>
          <w:pgMar w:left="640" w:top="1071" w:right="640" w:bottom="0" w:gutter="0" w:footer="0" w:header="0"/>
          <w:type w:val="continuous"/>
        </w:sectPr>
      </w:pPr>
    </w:p>
    <w:bookmarkStart w:id="180" w:name="page181"/>
    <w:bookmarkEnd w:id="180"/>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4.51</w:t>
      </w:r>
      <w:r>
        <w:rPr>
          <w:sz w:val="20"/>
          <w:szCs w:val="20"/>
          <w:color w:val="auto"/>
        </w:rPr>
        <w:tab/>
      </w:r>
      <w:r>
        <w:rPr>
          <w:rFonts w:ascii="Arial" w:cs="Arial" w:eastAsia="Arial" w:hAnsi="Arial"/>
          <w:sz w:val="20"/>
          <w:szCs w:val="20"/>
          <w:color w:val="00162F"/>
        </w:rPr>
        <w:t>Intercreditor Agreement (2016-2), dated as of May 16, 2016, among Wilmington Trust Company, as Trustee of the American Airlines Pass Through Trust 2016-2AA and as Trustee of the American Airlines Pass Through Trust 2016-2A, KfW IPEX-Bank GmbH, as Class AA Liquidity Provider and Class A Liquidity Provider, and Wilmington Trust Company, as Subordination Agent (incorporated by reference to Exhibit 4.4 to American’s Current Report on Form 8-K filed on May 17, 2016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4.52</w:t>
      </w:r>
      <w:r>
        <w:rPr>
          <w:sz w:val="20"/>
          <w:szCs w:val="20"/>
          <w:color w:val="auto"/>
        </w:rPr>
        <w:tab/>
      </w:r>
      <w:r>
        <w:rPr>
          <w:rFonts w:ascii="Arial" w:cs="Arial" w:eastAsia="Arial" w:hAnsi="Arial"/>
          <w:sz w:val="20"/>
          <w:szCs w:val="20"/>
          <w:color w:val="00162F"/>
        </w:rPr>
        <w:t>Note Purchase Agreement, dated as of May 16, 2016,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4.9 to American’s Current Report on Form 8-K filed on May 17, 2016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4.53</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B to Exhibit 4.9 to American’s Current Report on Form 8-K filed on May 17, 2016 (Commission File No. 1-2691)).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4.54</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C to Exhibit 4.9 to American’s Current Report on Form 8-K filed on May 17, 2016 (Commission File No. 1-2691)).</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4.55</w:t>
      </w:r>
      <w:r>
        <w:rPr>
          <w:sz w:val="20"/>
          <w:szCs w:val="20"/>
          <w:color w:val="auto"/>
        </w:rPr>
        <w:tab/>
      </w:r>
      <w:r>
        <w:rPr>
          <w:rFonts w:ascii="Arial" w:cs="Arial" w:eastAsia="Arial" w:hAnsi="Arial"/>
          <w:sz w:val="20"/>
          <w:szCs w:val="20"/>
          <w:color w:val="00162F"/>
        </w:rPr>
        <w:t>Form of Pass Through Trust Certificate, Series 2016-2AA (incorporated by reference to Exhibit A to Exhibit 4.2 to American’s Current Report on Form 8-K filed on May 17, 2016 (Commission File No. 1-2691)).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4.56</w:t>
      </w:r>
      <w:r>
        <w:rPr>
          <w:sz w:val="20"/>
          <w:szCs w:val="20"/>
          <w:color w:val="auto"/>
        </w:rPr>
        <w:tab/>
      </w:r>
      <w:r>
        <w:rPr>
          <w:rFonts w:ascii="Arial" w:cs="Arial" w:eastAsia="Arial" w:hAnsi="Arial"/>
          <w:sz w:val="20"/>
          <w:szCs w:val="20"/>
          <w:color w:val="00162F"/>
        </w:rPr>
        <w:t>Form of Pass Through Trust Certificate, Series 2016-2A (incorporated by reference to Exhibit A to Exhibit 4.3 to American’s Current Report on Form 8-K filed on May 17, 2016 (Commission File No. 1-2691)).</w:t>
      </w:r>
    </w:p>
    <w:p>
      <w:pPr>
        <w:spacing w:after="0" w:line="13"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4.57</w:t>
      </w:r>
      <w:r>
        <w:rPr>
          <w:sz w:val="20"/>
          <w:szCs w:val="20"/>
          <w:color w:val="auto"/>
        </w:rPr>
        <w:tab/>
      </w:r>
      <w:r>
        <w:rPr>
          <w:rFonts w:ascii="Arial" w:cs="Arial" w:eastAsia="Arial" w:hAnsi="Arial"/>
          <w:sz w:val="20"/>
          <w:szCs w:val="20"/>
          <w:color w:val="00162F"/>
        </w:rPr>
        <w:t>Revolving Credit Agreement (2016-2AA), dated as of May 16, 2016, between Wilmington Trust Company, as Subordination Agent, as agent and trustee for the trustee of the American Airlines Pass Through Trust 2016-2AA, as Borrower, and KfW IPEX-Bank GmbH, as Liquidity Provider (incorporated by reference to Exhibit 4.14 to American’s Current Report on Form 8-K filed on May 17, 2016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4.58</w:t>
      </w:r>
      <w:r>
        <w:rPr>
          <w:sz w:val="20"/>
          <w:szCs w:val="20"/>
          <w:color w:val="auto"/>
        </w:rPr>
        <w:tab/>
      </w:r>
      <w:r>
        <w:rPr>
          <w:rFonts w:ascii="Arial" w:cs="Arial" w:eastAsia="Arial" w:hAnsi="Arial"/>
          <w:sz w:val="20"/>
          <w:szCs w:val="20"/>
          <w:color w:val="00162F"/>
        </w:rPr>
        <w:t>Revolving Credit Agreement (2016-2A), dated as of May 16, 2016, between Wilmington Trust Company, as Subordination Agent, as agent and trustee for the trustee of the American Airlines Pass Through Trust 2016-2A, as Borrower, and KfW IPEX-Bank GmbH, as Liquidity Provider (incorporated by reference to Exhibit 4.15 to American’s Current Report on Form 8-K filed on May 17, 2016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4.59</w:t>
      </w:r>
      <w:r>
        <w:rPr>
          <w:sz w:val="20"/>
          <w:szCs w:val="20"/>
          <w:color w:val="auto"/>
        </w:rPr>
        <w:tab/>
      </w:r>
      <w:r>
        <w:rPr>
          <w:rFonts w:ascii="Arial" w:cs="Arial" w:eastAsia="Arial" w:hAnsi="Arial"/>
          <w:sz w:val="20"/>
          <w:szCs w:val="20"/>
          <w:color w:val="00162F"/>
        </w:rPr>
        <w:t>Trust Supplement No. 2016-2B, dated as of July 8, 2016, between American Airlines, Inc. and Wilmington Trust Company, as Trustee, to the Pass Through Trust Agreement, dated as of September 16, 2014 (incorporated by reference to Exhibit 4.2 to American’s Current Report on Form 8-K filed on July 12, 2016 (Commission File No. 1-2691)).</w:t>
      </w:r>
    </w:p>
    <w:p>
      <w:pPr>
        <w:spacing w:after="0" w:line="21"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4.60</w:t>
      </w:r>
      <w:r>
        <w:rPr>
          <w:sz w:val="20"/>
          <w:szCs w:val="20"/>
          <w:color w:val="auto"/>
        </w:rPr>
        <w:tab/>
      </w:r>
      <w:r>
        <w:rPr>
          <w:rFonts w:ascii="Arial" w:cs="Arial" w:eastAsia="Arial" w:hAnsi="Arial"/>
          <w:sz w:val="20"/>
          <w:szCs w:val="20"/>
          <w:color w:val="00162F"/>
        </w:rPr>
        <w:t>Amended and Restated Intercreditor Agreement (2016-2), dated as of July 8, 2016, among Wilmington Trust Company, as Trustee of the American Airlines Pass Through Trust 2016-2AA, as Trustee of the American Airlines Pass Through Trust 2016-2A and as Trustee of the American Airlines Pass Through Trust 2016-2B, KfW IPEX-Bank GmbH, as Class AA Liquidity Provider, Class A Liquidity Provider and Class B Liquidity Provider, and Wilmington Trust Company, as Subordination Agent (incorporated by reference to Exhibit 4.3 to American’s Current Report on Form 8-K filed on July 12, 2016 (Commission File No. 1-2691)).</w:t>
      </w:r>
    </w:p>
    <w:p>
      <w:pPr>
        <w:spacing w:after="0" w:line="14"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4.61</w:t>
      </w:r>
      <w:r>
        <w:rPr>
          <w:sz w:val="20"/>
          <w:szCs w:val="20"/>
          <w:color w:val="auto"/>
        </w:rPr>
        <w:tab/>
      </w:r>
      <w:r>
        <w:rPr>
          <w:rFonts w:ascii="Arial" w:cs="Arial" w:eastAsia="Arial" w:hAnsi="Arial"/>
          <w:sz w:val="20"/>
          <w:szCs w:val="20"/>
          <w:color w:val="00162F"/>
        </w:rPr>
        <w:t>Amended and Restated Note Purchase Agreement, dated as of July 8, 2016,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4.6 to American’s Current Report on Form 8-K filed on July 12, 2016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4.62</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B to Exhibit 4.6 to American’s Current Report on Form 8-K filed on July 12, 2016 (Commission File No. 1-2691)).</w:t>
      </w:r>
    </w:p>
    <w:p>
      <w:pPr>
        <w:spacing w:after="0" w:line="15"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4.63</w:t>
      </w:r>
      <w:r>
        <w:rPr>
          <w:sz w:val="20"/>
          <w:szCs w:val="20"/>
          <w:color w:val="auto"/>
        </w:rPr>
        <w:tab/>
      </w:r>
      <w:r>
        <w:rPr>
          <w:rFonts w:ascii="Arial" w:cs="Arial" w:eastAsia="Arial" w:hAnsi="Arial"/>
          <w:sz w:val="20"/>
          <w:szCs w:val="20"/>
          <w:color w:val="00162F"/>
        </w:rPr>
        <w:t>Form of First Amendment to Participation Agreement (First Amendment to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D to Exhibit 4.6 to American’s Current Report on Form 8-K filed on July 12, 2016 (Commission File No. 1-2691)).</w:t>
      </w:r>
    </w:p>
    <w:p>
      <w:pPr>
        <w:spacing w:after="0" w:line="14"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4.64</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C to Exhibit 4.6 to American’s Current Report on Form 8-K filed on July 12, 2016 (Commission File No. 1-2691)).</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180</w:t>
      </w:r>
    </w:p>
    <w:p>
      <w:pPr>
        <w:sectPr>
          <w:pgSz w:w="11880" w:h="15480" w:orient="portrait"/>
          <w:cols w:equalWidth="0" w:num="1">
            <w:col w:w="10600"/>
          </w:cols>
          <w:pgMar w:left="640" w:top="1071" w:right="640" w:bottom="0" w:gutter="0" w:footer="0" w:header="0"/>
          <w:type w:val="continuous"/>
        </w:sectPr>
      </w:pPr>
    </w:p>
    <w:bookmarkStart w:id="181" w:name="page182"/>
    <w:bookmarkEnd w:id="181"/>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4.65</w:t>
      </w:r>
      <w:r>
        <w:rPr>
          <w:sz w:val="20"/>
          <w:szCs w:val="20"/>
          <w:color w:val="auto"/>
        </w:rPr>
        <w:tab/>
      </w:r>
      <w:r>
        <w:rPr>
          <w:rFonts w:ascii="Arial" w:cs="Arial" w:eastAsia="Arial" w:hAnsi="Arial"/>
          <w:sz w:val="20"/>
          <w:szCs w:val="20"/>
          <w:color w:val="00162F"/>
        </w:rPr>
        <w:t>Form of First Amendment to Indenture and Security Agreement (First Amendment to Indenture and Security Agreement between American Airlines, Inc., and Wilmington Trust Company, as Loan Trustee) (incorporated by reference to Exhibit E to Exhibit 4.6 to American’s Current Report on Form 8-K filed on July 12, 2016 (Commission File No. 1-2691)).</w:t>
      </w:r>
    </w:p>
    <w:p>
      <w:pPr>
        <w:spacing w:after="0" w:line="21"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4.66</w:t>
      </w:r>
      <w:r>
        <w:rPr>
          <w:sz w:val="20"/>
          <w:szCs w:val="20"/>
          <w:color w:val="auto"/>
        </w:rPr>
        <w:tab/>
      </w:r>
      <w:r>
        <w:rPr>
          <w:rFonts w:ascii="Arial" w:cs="Arial" w:eastAsia="Arial" w:hAnsi="Arial"/>
          <w:sz w:val="20"/>
          <w:szCs w:val="20"/>
          <w:color w:val="00162F"/>
        </w:rPr>
        <w:t>Form of Pass Through Trust Certificate, Series 2016-2B (incorporated by reference to Exhibit A to Exhibit 4.2 to American’s Current Report on Form 8-K filed on July 12, 2016 (Commission File No. 1-2691)).</w:t>
      </w:r>
    </w:p>
    <w:p>
      <w:pPr>
        <w:spacing w:after="0" w:line="13"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4.67</w:t>
      </w:r>
      <w:r>
        <w:rPr>
          <w:sz w:val="20"/>
          <w:szCs w:val="20"/>
          <w:color w:val="auto"/>
        </w:rPr>
        <w:tab/>
      </w:r>
      <w:r>
        <w:rPr>
          <w:rFonts w:ascii="Arial" w:cs="Arial" w:eastAsia="Arial" w:hAnsi="Arial"/>
          <w:sz w:val="20"/>
          <w:szCs w:val="20"/>
          <w:color w:val="00162F"/>
        </w:rPr>
        <w:t>Revolving Credit Agreement (2016-2B), dated as of July 8, 2016, between Wilmington Trust Company, as Subordination Agent, as agent and trustee for the trustee of the American Airlines Pass Through Trust 2016- 2B, as Borrower, and KfW IPEX Bank GmbH, as Liquidity Provider (incorporated by reference to Exhibit 4.12 to American’s Current Report on Form 8-K filed on July 12, 2016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4.68</w:t>
      </w:r>
      <w:r>
        <w:rPr>
          <w:sz w:val="20"/>
          <w:szCs w:val="20"/>
          <w:color w:val="auto"/>
        </w:rPr>
        <w:tab/>
      </w:r>
      <w:r>
        <w:rPr>
          <w:rFonts w:ascii="Arial" w:cs="Arial" w:eastAsia="Arial" w:hAnsi="Arial"/>
          <w:sz w:val="20"/>
          <w:szCs w:val="20"/>
          <w:color w:val="00162F"/>
        </w:rPr>
        <w:t>Trust Supplement No. 2016-3AA, dated as of October 3, 2016, between American Airlines, Inc. and Wilmington Trust Company, as Trustee, to the Pass Through Trust Agreement, dated as of September 16, 2014 (incorporated by reference to Exhibit 4.2 to American’s Current Report on Form 8-K filed on October 4, 2016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4.69</w:t>
      </w:r>
      <w:r>
        <w:rPr>
          <w:sz w:val="20"/>
          <w:szCs w:val="20"/>
          <w:color w:val="auto"/>
        </w:rPr>
        <w:tab/>
      </w:r>
      <w:r>
        <w:rPr>
          <w:rFonts w:ascii="Arial" w:cs="Arial" w:eastAsia="Arial" w:hAnsi="Arial"/>
          <w:sz w:val="20"/>
          <w:szCs w:val="20"/>
          <w:color w:val="00162F"/>
        </w:rPr>
        <w:t>Trust Supplement No. 2016-3A, dated as of October 3, 2016, between American Airlines, Inc. and Wilmington Trust Company, as Trustee, to the Pass Through Trust Agreement, dated as of September 16, 2014 (incorporated by reference to Exhibit 4.3 to American’s Current Report on Form 8-K filed on October 4, 2016 (Commission File No. 1-2691)).</w:t>
      </w:r>
    </w:p>
    <w:p>
      <w:pPr>
        <w:spacing w:after="0" w:line="21"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4.70</w:t>
      </w:r>
      <w:r>
        <w:rPr>
          <w:sz w:val="20"/>
          <w:szCs w:val="20"/>
          <w:color w:val="auto"/>
        </w:rPr>
        <w:tab/>
      </w:r>
      <w:r>
        <w:rPr>
          <w:rFonts w:ascii="Arial" w:cs="Arial" w:eastAsia="Arial" w:hAnsi="Arial"/>
          <w:sz w:val="20"/>
          <w:szCs w:val="20"/>
          <w:color w:val="00162F"/>
        </w:rPr>
        <w:t>Intercreditor Agreement (2016-3), dated as of October 3, 2016, among Wilmington Trust Company, as Trustee of the American Airlines Pass Through Trust 2016-3AA and as Trustee of the American Airlines Pass Through Trust 2016-3A, KfW IPEX-Bank GmbH, as Class AA Liquidity Provider and Class A Liquidity Provider, and Wilmington Trust Company, as Subordination Agent (incorporated by reference to Exhibit 4.4 to American’s Current Report on Form 8-K filed on October 4, 2016 (Commission File No. 1-2691)).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4.71</w:t>
      </w:r>
      <w:r>
        <w:rPr>
          <w:sz w:val="20"/>
          <w:szCs w:val="20"/>
          <w:color w:val="auto"/>
        </w:rPr>
        <w:tab/>
      </w:r>
      <w:r>
        <w:rPr>
          <w:rFonts w:ascii="Arial" w:cs="Arial" w:eastAsia="Arial" w:hAnsi="Arial"/>
          <w:sz w:val="19"/>
          <w:szCs w:val="19"/>
          <w:color w:val="00162F"/>
        </w:rPr>
        <w:t>Amended and Restated Intercreditor Agreement (2016-3), dated as of October 4, 2017, among Wilmington Trust Company, as Trustee of the American Airlines Pass Through Trust 2016-3AA, as Trustee of the American Airlines Pass Through Trust 2016-3A and as Trustee of the American Airlines Pass Through Trust 2016-3B, KfW IPEX-Bank GmbH, as Class AA Liquidity Provider, Class A Liquidity Provider and Class B Liquidity Provider, and Wilmington Trust Company, as Subordination Agent (incorporated by reference to Exhibit 4.3 to American’s Current Report on Form 8-K filed on October 5, 2017 (Commission File No. 1-2691)).</w:t>
      </w:r>
    </w:p>
    <w:p>
      <w:pPr>
        <w:spacing w:after="0" w:line="11"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4.72</w:t>
      </w:r>
      <w:r>
        <w:rPr>
          <w:sz w:val="20"/>
          <w:szCs w:val="20"/>
          <w:color w:val="auto"/>
        </w:rPr>
        <w:tab/>
      </w:r>
      <w:r>
        <w:rPr>
          <w:rFonts w:ascii="Arial" w:cs="Arial" w:eastAsia="Arial" w:hAnsi="Arial"/>
          <w:sz w:val="20"/>
          <w:szCs w:val="20"/>
          <w:color w:val="00162F"/>
        </w:rPr>
        <w:t>Note Purchase Agreement, dated as of October 3, 2016,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4.9 to American’s Current Report on Form 8-K filed on October 4, 2016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4.73</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B to Exhibit 4.9 to American’s Current Report on Form 8-K filed on October 4, 2016 (Commission File No. 1-2691)).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4.74</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C to Exhibit 4.9 to American’s Current Report on Form 8-K filed on October 4, 2016 (Commission File No. 1-2691)).</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4.75</w:t>
      </w:r>
      <w:r>
        <w:rPr>
          <w:sz w:val="20"/>
          <w:szCs w:val="20"/>
          <w:color w:val="auto"/>
        </w:rPr>
        <w:tab/>
      </w:r>
      <w:r>
        <w:rPr>
          <w:rFonts w:ascii="Arial" w:cs="Arial" w:eastAsia="Arial" w:hAnsi="Arial"/>
          <w:sz w:val="20"/>
          <w:szCs w:val="20"/>
          <w:color w:val="00162F"/>
        </w:rPr>
        <w:t>Form of Pass Through Trust Certificate, Series 2016-3AA (incorporated by reference to Exhibit A to Exhibit 4.2 to American’s Current Report on Form 8-K filed on October 4, 2016 (Commission File No. 1-2691)).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4.76</w:t>
      </w:r>
      <w:r>
        <w:rPr>
          <w:sz w:val="20"/>
          <w:szCs w:val="20"/>
          <w:color w:val="auto"/>
        </w:rPr>
        <w:tab/>
      </w:r>
      <w:r>
        <w:rPr>
          <w:rFonts w:ascii="Arial" w:cs="Arial" w:eastAsia="Arial" w:hAnsi="Arial"/>
          <w:sz w:val="20"/>
          <w:szCs w:val="20"/>
          <w:color w:val="00162F"/>
        </w:rPr>
        <w:t>Form of Pass Through Trust Certificate, Series 2016-3A (incorporated by reference to Exhibit A to Exhibit 4.3 to American’s Current Report on Form 8-K filed on October 4, 2016 (Commission File No. 1-2691)).</w:t>
      </w:r>
    </w:p>
    <w:p>
      <w:pPr>
        <w:spacing w:after="0" w:line="13" w:lineRule="exact"/>
        <w:rPr>
          <w:sz w:val="20"/>
          <w:szCs w:val="20"/>
          <w:color w:val="auto"/>
        </w:rPr>
      </w:pPr>
    </w:p>
    <w:p>
      <w:pPr>
        <w:jc w:val="both"/>
        <w:ind w:left="860" w:hanging="845"/>
        <w:spacing w:after="0" w:line="235" w:lineRule="auto"/>
        <w:tabs>
          <w:tab w:leader="none" w:pos="840" w:val="left"/>
        </w:tabs>
        <w:rPr>
          <w:sz w:val="20"/>
          <w:szCs w:val="20"/>
          <w:color w:val="auto"/>
        </w:rPr>
      </w:pPr>
      <w:r>
        <w:rPr>
          <w:rFonts w:ascii="Arial" w:cs="Arial" w:eastAsia="Arial" w:hAnsi="Arial"/>
          <w:sz w:val="20"/>
          <w:szCs w:val="20"/>
          <w:color w:val="00162F"/>
        </w:rPr>
        <w:t>4.77</w:t>
      </w:r>
      <w:r>
        <w:rPr>
          <w:sz w:val="20"/>
          <w:szCs w:val="20"/>
          <w:color w:val="auto"/>
        </w:rPr>
        <w:tab/>
      </w:r>
      <w:r>
        <w:rPr>
          <w:rFonts w:ascii="Arial" w:cs="Arial" w:eastAsia="Arial" w:hAnsi="Arial"/>
          <w:sz w:val="19"/>
          <w:szCs w:val="19"/>
          <w:color w:val="00162F"/>
        </w:rPr>
        <w:t>Revolving Credit Agreement (2016-3AA), dated as of October 3, 2016, between Wilmington Trust Company, as Subordination Agent, as agent and trustee for the trustee of the American Airlines Pass Through Trust 2016-3AA, as Borrower, and KfW IPEX-Bank GmbH, as Liquidity Provider (incorporated by reference to Exhibit 4.14 to American’s Current Report on Form 8-K filed on October 4, 2016 (Commission File No. 1-2691)).</w:t>
      </w:r>
    </w:p>
    <w:p>
      <w:pPr>
        <w:spacing w:after="0" w:line="20"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4.78</w:t>
      </w:r>
      <w:r>
        <w:rPr>
          <w:sz w:val="20"/>
          <w:szCs w:val="20"/>
          <w:color w:val="auto"/>
        </w:rPr>
        <w:tab/>
      </w:r>
      <w:r>
        <w:rPr>
          <w:rFonts w:ascii="Arial" w:cs="Arial" w:eastAsia="Arial" w:hAnsi="Arial"/>
          <w:sz w:val="20"/>
          <w:szCs w:val="20"/>
          <w:color w:val="00162F"/>
        </w:rPr>
        <w:t>Revolving Credit Agreement (2016-3A), dated as of October 3, 2016, between Wilmington Trust Company, as Subordination Agent, as agent and trustee for the trustee of the American Airlines Pass Through Trust 2016-3A, as Borrower, and KfW IPEX-Bank GmbH, as Liquidity Provider (incorporated by reference to Exhibit 4.15 to American’s Current Report on Form 8-K filed on October 4, 2016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4.79</w:t>
      </w:r>
      <w:r>
        <w:rPr>
          <w:sz w:val="20"/>
          <w:szCs w:val="20"/>
          <w:color w:val="auto"/>
        </w:rPr>
        <w:tab/>
      </w:r>
      <w:r>
        <w:rPr>
          <w:rFonts w:ascii="Arial" w:cs="Arial" w:eastAsia="Arial" w:hAnsi="Arial"/>
          <w:sz w:val="20"/>
          <w:szCs w:val="20"/>
          <w:color w:val="00162F"/>
        </w:rPr>
        <w:t>Trust Supplement No. 2017-1AA, dated as of January 13, 2017, between American Airlines, Inc. and Wilmington Trust Company, as Trustee, to the Pass Through Trust Agreement, dated as of September 16, 2014 (incorporated by reference to Exhibit 4.2 to American’s Current Report on Form 8-K filed on January 17, 2017 (Commission File No. 1-02691)).</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181</w:t>
      </w:r>
    </w:p>
    <w:p>
      <w:pPr>
        <w:sectPr>
          <w:pgSz w:w="11880" w:h="15480" w:orient="portrait"/>
          <w:cols w:equalWidth="0" w:num="1">
            <w:col w:w="10600"/>
          </w:cols>
          <w:pgMar w:left="640" w:top="1071" w:right="640" w:bottom="0" w:gutter="0" w:footer="0" w:header="0"/>
          <w:type w:val="continuous"/>
        </w:sectPr>
      </w:pPr>
    </w:p>
    <w:bookmarkStart w:id="182" w:name="page183"/>
    <w:bookmarkEnd w:id="182"/>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4.80</w:t>
      </w:r>
      <w:r>
        <w:rPr>
          <w:sz w:val="20"/>
          <w:szCs w:val="20"/>
          <w:color w:val="auto"/>
        </w:rPr>
        <w:tab/>
      </w:r>
      <w:r>
        <w:rPr>
          <w:rFonts w:ascii="Arial" w:cs="Arial" w:eastAsia="Arial" w:hAnsi="Arial"/>
          <w:sz w:val="20"/>
          <w:szCs w:val="20"/>
          <w:color w:val="00162F"/>
        </w:rPr>
        <w:t>Trust Supplement No. 2017-1A, dated as of January 13, 2017, between American Airlines, Inc. and Wilmington Trust Company, as Trustee, to the Pass Through Trust Agreement, dated as of September 16, 2014, (incorporated by reference to Exhibit 4.3 to American’s Current Report on Form 8-K filed on January 17, 2017 (Commission File No. 1-02691)).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4.81</w:t>
      </w:r>
      <w:r>
        <w:rPr>
          <w:sz w:val="20"/>
          <w:szCs w:val="20"/>
          <w:color w:val="auto"/>
        </w:rPr>
        <w:tab/>
      </w:r>
      <w:r>
        <w:rPr>
          <w:rFonts w:ascii="Arial" w:cs="Arial" w:eastAsia="Arial" w:hAnsi="Arial"/>
          <w:sz w:val="20"/>
          <w:szCs w:val="20"/>
          <w:color w:val="00162F"/>
        </w:rPr>
        <w:t>Trust Supplement No. 2017-1B, dated as of January 13, 2017, between American Airlines, Inc. and Wilmington Trust Company, as Trustee, to the Pass Through Trust Agreement, dated as of September 16, 2014 (incorporated by reference to Exhibit 4.4 to American’s Current Report on Form 8-K filed on January 17, 2017 (Commission File No. 1-02691)).</w:t>
      </w:r>
    </w:p>
    <w:p>
      <w:pPr>
        <w:spacing w:after="0" w:line="21"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4.82</w:t>
      </w:r>
      <w:r>
        <w:rPr>
          <w:sz w:val="20"/>
          <w:szCs w:val="20"/>
          <w:color w:val="auto"/>
        </w:rPr>
        <w:tab/>
      </w:r>
      <w:r>
        <w:rPr>
          <w:rFonts w:ascii="Arial" w:cs="Arial" w:eastAsia="Arial" w:hAnsi="Arial"/>
          <w:sz w:val="20"/>
          <w:szCs w:val="20"/>
          <w:color w:val="00162F"/>
        </w:rPr>
        <w:t>Intercreditor Agreement (2017-1), dated as of January 13, 2017, among Wilmington Trust Company, as Trustee of the American Airlines Pass Through Trust 2017-1AA, as Trustee of the American Airlines Pass Through Trust 2017- 1A and as Trustee of the American Airlines Pass Through Trust 2017-1B, Citibank N.A., as Class AA Liquidity Provider, Class A Liquidity Provider and Class B Liquidity Provider, and Wilmington Trust Company, as Subordination Agent (incorporated by reference to Exhibit 4.5 to American’s Current Report on Form 8-K filed on January 17, 2017 (Commission File No. 1-02691)).</w:t>
      </w:r>
    </w:p>
    <w:p>
      <w:pPr>
        <w:spacing w:after="0" w:line="14"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4.83</w:t>
      </w:r>
      <w:r>
        <w:rPr>
          <w:sz w:val="20"/>
          <w:szCs w:val="20"/>
          <w:color w:val="auto"/>
        </w:rPr>
        <w:tab/>
      </w:r>
      <w:r>
        <w:rPr>
          <w:rFonts w:ascii="Arial" w:cs="Arial" w:eastAsia="Arial" w:hAnsi="Arial"/>
          <w:sz w:val="20"/>
          <w:szCs w:val="20"/>
          <w:color w:val="00162F"/>
        </w:rPr>
        <w:t>Note Purchase Agreement, dated as of January 13, 2017,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4.12 to American’s Current Report on Form 8-K filed on January 17, 2017 (Commission File No. 1-02691)).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4.84</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B to Exhibit 4.12 to American’s Current Report on Form 8-K filed on January 17, 2017 (Commission File No. 1-02691)).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4.85</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C to Exhibit 4.12 to American’s Current Report on Form 8-K filed on January 17, 2017 (Commission File No. 1-02691)).</w:t>
      </w:r>
    </w:p>
    <w:p>
      <w:pPr>
        <w:spacing w:after="0" w:line="228" w:lineRule="auto"/>
        <w:tabs>
          <w:tab w:leader="none" w:pos="840" w:val="left"/>
        </w:tabs>
        <w:rPr>
          <w:sz w:val="20"/>
          <w:szCs w:val="20"/>
          <w:color w:val="auto"/>
        </w:rPr>
      </w:pPr>
      <w:r>
        <w:rPr>
          <w:rFonts w:ascii="Arial" w:cs="Arial" w:eastAsia="Arial" w:hAnsi="Arial"/>
          <w:sz w:val="20"/>
          <w:szCs w:val="20"/>
          <w:color w:val="00162F"/>
        </w:rPr>
        <w:t>4.86</w:t>
      </w:r>
      <w:r>
        <w:rPr>
          <w:sz w:val="20"/>
          <w:szCs w:val="20"/>
          <w:color w:val="auto"/>
        </w:rPr>
        <w:tab/>
      </w:r>
      <w:r>
        <w:rPr>
          <w:rFonts w:ascii="Arial" w:cs="Arial" w:eastAsia="Arial" w:hAnsi="Arial"/>
          <w:sz w:val="19"/>
          <w:szCs w:val="19"/>
          <w:color w:val="00162F"/>
        </w:rPr>
        <w:t>Form of Pass Through Trust Certificate, Series 2017-1AA (incorporated by reference to Exhibit A to Exhibit 4.2</w:t>
      </w:r>
    </w:p>
    <w:p>
      <w:pPr>
        <w:jc w:val="center"/>
        <w:spacing w:after="0"/>
        <w:rPr>
          <w:sz w:val="20"/>
          <w:szCs w:val="20"/>
          <w:color w:val="auto"/>
        </w:rPr>
      </w:pPr>
      <w:r>
        <w:rPr>
          <w:rFonts w:ascii="Arial" w:cs="Arial" w:eastAsia="Arial" w:hAnsi="Arial"/>
          <w:sz w:val="20"/>
          <w:szCs w:val="20"/>
          <w:color w:val="00162F"/>
        </w:rPr>
        <w:t>to American’s Current Report on Form 8-K filed on January 17, 2017 (Commission File No. 1-02691)).</w:t>
      </w:r>
    </w:p>
    <w:p>
      <w:pPr>
        <w:spacing w:after="0" w:line="47"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4.87</w:t>
      </w:r>
      <w:r>
        <w:rPr>
          <w:sz w:val="20"/>
          <w:szCs w:val="20"/>
          <w:color w:val="auto"/>
        </w:rPr>
        <w:tab/>
      </w:r>
      <w:r>
        <w:rPr>
          <w:rFonts w:ascii="Arial" w:cs="Arial" w:eastAsia="Arial" w:hAnsi="Arial"/>
          <w:sz w:val="20"/>
          <w:szCs w:val="20"/>
          <w:color w:val="00162F"/>
        </w:rPr>
        <w:t>Form of Pass Through Trust Certificate, Series 2017-1A (incorporated by reference to Exhibit A to Exhibit 4.3 to American’s Current Report on Form 8-K filed on January 17, 2017 (Commission File No. 1-02691)).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4.88</w:t>
      </w:r>
      <w:r>
        <w:rPr>
          <w:sz w:val="20"/>
          <w:szCs w:val="20"/>
          <w:color w:val="auto"/>
        </w:rPr>
        <w:tab/>
      </w:r>
      <w:r>
        <w:rPr>
          <w:rFonts w:ascii="Arial" w:cs="Arial" w:eastAsia="Arial" w:hAnsi="Arial"/>
          <w:sz w:val="20"/>
          <w:szCs w:val="20"/>
          <w:color w:val="00162F"/>
        </w:rPr>
        <w:t>Form of Pass Through Trust Certificate, Series 2017-1B (incorporated by reference to Exhibit A to Exhibit 4.4 to American’s Current Report on Form 8-K filed on January 17, 2017 (Commission File No. 1-02691)).</w:t>
      </w:r>
    </w:p>
    <w:p>
      <w:pPr>
        <w:spacing w:after="0" w:line="13"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4.89</w:t>
      </w:r>
      <w:r>
        <w:rPr>
          <w:sz w:val="20"/>
          <w:szCs w:val="20"/>
          <w:color w:val="auto"/>
        </w:rPr>
        <w:tab/>
      </w:r>
      <w:r>
        <w:rPr>
          <w:rFonts w:ascii="Arial" w:cs="Arial" w:eastAsia="Arial" w:hAnsi="Arial"/>
          <w:sz w:val="20"/>
          <w:szCs w:val="20"/>
          <w:color w:val="00162F"/>
        </w:rPr>
        <w:t>Revolving Credit Agreement (2017-1AA), dated as of January 13, 2017, between Wilmington Trust Company, as Subordination Agent, as agent and trustee for the trustee of the American Airlines Pass Through Trust 2017-1AA, as Borrower, and Citibank N.A., as Liquidity Provider (incorporated by reference to Exhibit 4.18 to American’s Current Report on Form 8-K filed on January 17, 2017 (Commission File No. 1-02691)).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4.90</w:t>
      </w:r>
      <w:r>
        <w:rPr>
          <w:sz w:val="20"/>
          <w:szCs w:val="20"/>
          <w:color w:val="auto"/>
        </w:rPr>
        <w:tab/>
      </w:r>
      <w:r>
        <w:rPr>
          <w:rFonts w:ascii="Arial" w:cs="Arial" w:eastAsia="Arial" w:hAnsi="Arial"/>
          <w:sz w:val="20"/>
          <w:szCs w:val="20"/>
          <w:color w:val="00162F"/>
        </w:rPr>
        <w:t>Revolving Credit Agreement (2017-1A), dated as of January 13, 2017, between Wilmington Trust Company, as Subordination Agent, as agent and trustee for the trustee of the American Airlines Pass Through Trust 2017-1A, as Borrower, and Citibank N.A., as Liquidity Provider (incorporated by reference to Exhibit 4.19 to American’s Current Report on Form 8-K filed on January 17, 2017 (Commission File No. 1-02691)).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4.91</w:t>
      </w:r>
      <w:r>
        <w:rPr>
          <w:sz w:val="20"/>
          <w:szCs w:val="20"/>
          <w:color w:val="auto"/>
        </w:rPr>
        <w:tab/>
      </w:r>
      <w:r>
        <w:rPr>
          <w:rFonts w:ascii="Arial" w:cs="Arial" w:eastAsia="Arial" w:hAnsi="Arial"/>
          <w:sz w:val="20"/>
          <w:szCs w:val="20"/>
          <w:color w:val="00162F"/>
        </w:rPr>
        <w:t>Revolving Credit Agreement (2017-1B), dated as of January 13, 2017, between Wilmington Trust Company, as Subordination Agent, as agent and trustee for the trustee of the American Airlines Pass Through Trust 2017-1B, as Borrower, and Citibank N.A., as Liquidity Provider (incorporated by reference to Exhibit 4.20 to American’s Current Report on Form 8-K filed on January 17, 2017 (Commission File No. 1-02691)).</w:t>
      </w:r>
    </w:p>
    <w:p>
      <w:pPr>
        <w:spacing w:after="0" w:line="21" w:lineRule="exact"/>
        <w:rPr>
          <w:sz w:val="20"/>
          <w:szCs w:val="20"/>
          <w:color w:val="auto"/>
        </w:rPr>
      </w:pPr>
    </w:p>
    <w:p>
      <w:pPr>
        <w:jc w:val="both"/>
        <w:ind w:left="860" w:hanging="845"/>
        <w:spacing w:after="0" w:line="235" w:lineRule="auto"/>
        <w:tabs>
          <w:tab w:leader="none" w:pos="840" w:val="left"/>
        </w:tabs>
        <w:rPr>
          <w:sz w:val="20"/>
          <w:szCs w:val="20"/>
          <w:color w:val="auto"/>
        </w:rPr>
      </w:pPr>
      <w:r>
        <w:rPr>
          <w:rFonts w:ascii="Arial" w:cs="Arial" w:eastAsia="Arial" w:hAnsi="Arial"/>
          <w:sz w:val="20"/>
          <w:szCs w:val="20"/>
          <w:color w:val="00162F"/>
        </w:rPr>
        <w:t>4.92</w:t>
      </w:r>
      <w:r>
        <w:rPr>
          <w:sz w:val="20"/>
          <w:szCs w:val="20"/>
          <w:color w:val="auto"/>
        </w:rPr>
        <w:tab/>
      </w:r>
      <w:r>
        <w:rPr>
          <w:rFonts w:ascii="Arial" w:cs="Arial" w:eastAsia="Arial" w:hAnsi="Arial"/>
          <w:sz w:val="19"/>
          <w:szCs w:val="19"/>
          <w:color w:val="00162F"/>
        </w:rPr>
        <w:t>Acknowledgment and Agreement (2017-1), dated as of March 31, 2017, by and among American Airlines Inc., Citibank, N.A., as initial Liquidity Provider, National Australia Bank Limited, as Replacement Liquidity Provider, and Wilmington Trust Company, as Subordination Agent and trustee (incorporated by reference to Exhibit 4.20 to AAG’s Quarterly Report on Form 10-Q for the quarter ended March 31, 2017 (Commission File No. 1-8400)).</w:t>
      </w:r>
    </w:p>
    <w:p>
      <w:pPr>
        <w:spacing w:after="0" w:line="20"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4.93</w:t>
      </w:r>
      <w:r>
        <w:rPr>
          <w:sz w:val="20"/>
          <w:szCs w:val="20"/>
          <w:color w:val="auto"/>
        </w:rPr>
        <w:tab/>
      </w:r>
      <w:r>
        <w:rPr>
          <w:rFonts w:ascii="Arial" w:cs="Arial" w:eastAsia="Arial" w:hAnsi="Arial"/>
          <w:sz w:val="20"/>
          <w:szCs w:val="20"/>
          <w:color w:val="00162F"/>
        </w:rPr>
        <w:t>Revolving Credit Agreement (2017-1AA), dated as of March 31, 2017, between Wilmington Trust Company, as Subordination Agent, as agent and trustee for the trustee of the American Airlines Pass Through Trust 2017-1AA, as Borrower, and National Australia Bank Limited, as Liquidity Provider (incorporated by reference to Exhibit 4.21 to AAG’s Quarterly Report on Form 10-Q for the quarter ended March 31, 2017 (Commission File No. 1-8400)).</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4.94</w:t>
      </w:r>
      <w:r>
        <w:rPr>
          <w:sz w:val="20"/>
          <w:szCs w:val="20"/>
          <w:color w:val="auto"/>
        </w:rPr>
        <w:tab/>
      </w:r>
      <w:r>
        <w:rPr>
          <w:rFonts w:ascii="Arial" w:cs="Arial" w:eastAsia="Arial" w:hAnsi="Arial"/>
          <w:sz w:val="20"/>
          <w:szCs w:val="20"/>
          <w:color w:val="00162F"/>
        </w:rPr>
        <w:t>Revolving Credit Agreement (2017-1A), dated as of March 31, 2017, between Wilmington Trust Company, as Subordination Agent, as agent and trustee for the trustee of the American Airlines Pass Through Trust 2017-1A, as Borrower, and National Australia Bank Limited, as Liquidity Provider (incorporated by reference to Exhibit 4.22 to AAG’s Quarterly Report on Form 10-Q for the quarter ended March 31, 2017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182</w:t>
      </w:r>
    </w:p>
    <w:p>
      <w:pPr>
        <w:sectPr>
          <w:pgSz w:w="11880" w:h="15480" w:orient="portrait"/>
          <w:cols w:equalWidth="0" w:num="1">
            <w:col w:w="10600"/>
          </w:cols>
          <w:pgMar w:left="640" w:top="1071" w:right="640" w:bottom="0" w:gutter="0" w:footer="0" w:header="0"/>
          <w:type w:val="continuous"/>
        </w:sectPr>
      </w:pPr>
    </w:p>
    <w:bookmarkStart w:id="183" w:name="page184"/>
    <w:bookmarkEnd w:id="183"/>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4.95</w:t>
      </w:r>
      <w:r>
        <w:rPr>
          <w:sz w:val="20"/>
          <w:szCs w:val="20"/>
          <w:color w:val="auto"/>
        </w:rPr>
        <w:tab/>
      </w:r>
      <w:r>
        <w:rPr>
          <w:rFonts w:ascii="Arial" w:cs="Arial" w:eastAsia="Arial" w:hAnsi="Arial"/>
          <w:sz w:val="20"/>
          <w:szCs w:val="20"/>
          <w:color w:val="00162F"/>
        </w:rPr>
        <w:t>Revolving Credit Agreement (2017-1B), dated as of March 31, 2017, between Wilmington Trust Company, as Subordination Agent, as agent and trustee for the trustee of the American Airlines Pass Through Trust 2017-1B, as Borrower, and National Australia Bank Limited, as Liquidity Provider (incorporated by reference to Exhibit 4.23 to AAG’s Quarterly Report on Form 10-Q for the quarter ended March 31, 2017 (Commission File No. 1-8400)).</w:t>
      </w:r>
    </w:p>
    <w:p>
      <w:pPr>
        <w:spacing w:after="0" w:line="15"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4.96</w:t>
      </w:r>
      <w:r>
        <w:rPr>
          <w:sz w:val="20"/>
          <w:szCs w:val="20"/>
          <w:color w:val="auto"/>
        </w:rPr>
        <w:tab/>
      </w:r>
      <w:r>
        <w:rPr>
          <w:rFonts w:ascii="Arial" w:cs="Arial" w:eastAsia="Arial" w:hAnsi="Arial"/>
          <w:sz w:val="20"/>
          <w:szCs w:val="20"/>
          <w:color w:val="00162F"/>
        </w:rPr>
        <w:t>Trust Supplement No. 2017-2AA, dated as of August 14, 2017, between American Airlines, Inc. and Wilmington Trust Company, as Trustee, to the Pass Through Trust Agreement, dated as of September 16, 2014 (incorporated by reference to Exhibit 4.2 to American’s Current Report on Form 8-K filed on August 14, 2017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4.97</w:t>
      </w:r>
      <w:r>
        <w:rPr>
          <w:sz w:val="20"/>
          <w:szCs w:val="20"/>
          <w:color w:val="auto"/>
        </w:rPr>
        <w:tab/>
      </w:r>
      <w:r>
        <w:rPr>
          <w:rFonts w:ascii="Arial" w:cs="Arial" w:eastAsia="Arial" w:hAnsi="Arial"/>
          <w:sz w:val="20"/>
          <w:szCs w:val="20"/>
          <w:color w:val="00162F"/>
        </w:rPr>
        <w:t>Trust Supplement No. 2017-2A, dated as of August 14, 2017, between American Airlines, Inc. and Wilmington Trust Company, as Trustee, to the Pass Through Trust Agreement, dated as of September 16, 2014 (incorporated by reference to Exhibit 4.3 to American’s Current Report on Form 8-K filed on August 14, 2017 (Commission File No. 1-2691)).</w:t>
      </w:r>
    </w:p>
    <w:p>
      <w:pPr>
        <w:spacing w:after="0" w:line="21"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4.98</w:t>
      </w:r>
      <w:r>
        <w:rPr>
          <w:sz w:val="20"/>
          <w:szCs w:val="20"/>
          <w:color w:val="auto"/>
        </w:rPr>
        <w:tab/>
      </w:r>
      <w:r>
        <w:rPr>
          <w:rFonts w:ascii="Arial" w:cs="Arial" w:eastAsia="Arial" w:hAnsi="Arial"/>
          <w:sz w:val="20"/>
          <w:szCs w:val="20"/>
          <w:color w:val="00162F"/>
        </w:rPr>
        <w:t>Intercreditor Agreement (2017-2), dated as of August 14, 2017, among Wilmington Trust Company, as Trustee of the American Airlines Pass Through Trust 2017-2AA and as Trustee of the American Airlines Pass Through Trust 2017-2A, National Australia Bank Limited, as Class AA Liquidity Provider and Class A Liquidity Provider, and Wilmington Trust Company, as Subordination Agent (incorporated by reference to Exhibit 4.4 to American’s Current Report on Form 8-K filed on August 14, 2017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4.99</w:t>
      </w:r>
      <w:r>
        <w:rPr>
          <w:sz w:val="20"/>
          <w:szCs w:val="20"/>
          <w:color w:val="auto"/>
        </w:rPr>
        <w:tab/>
      </w:r>
      <w:r>
        <w:rPr>
          <w:rFonts w:ascii="Arial" w:cs="Arial" w:eastAsia="Arial" w:hAnsi="Arial"/>
          <w:sz w:val="20"/>
          <w:szCs w:val="20"/>
          <w:color w:val="00162F"/>
        </w:rPr>
        <w:t>Note Purchase Agreement, dated as of August 14, 2017,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4.9 to American’s Current Report on Form 8-K filed on August 14, 2017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4.100</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B to Exhibit 4.9 to American’s Current Report on Form 8-K filed on August 14, 2017 (Commission File No. 1-2691)).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4.101</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C to Exhibit 4.9 to American’s Current Report on Form 8-K filed on August 14, 2017 (Commission File No. 1-2691)).</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4.102</w:t>
      </w:r>
      <w:r>
        <w:rPr>
          <w:sz w:val="20"/>
          <w:szCs w:val="20"/>
          <w:color w:val="auto"/>
        </w:rPr>
        <w:tab/>
      </w:r>
      <w:r>
        <w:rPr>
          <w:rFonts w:ascii="Arial" w:cs="Arial" w:eastAsia="Arial" w:hAnsi="Arial"/>
          <w:sz w:val="20"/>
          <w:szCs w:val="20"/>
          <w:color w:val="00162F"/>
        </w:rPr>
        <w:t>Form of Pass Through Trust Certificate, Series 2017-2AA (incorporated by reference to Exhibit A to Exhibit 4.2 to American’s Current Report on Form 8-K filed on August 14, 2017 (Commission File No. 1-2691)).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4.103</w:t>
      </w:r>
      <w:r>
        <w:rPr>
          <w:sz w:val="20"/>
          <w:szCs w:val="20"/>
          <w:color w:val="auto"/>
        </w:rPr>
        <w:tab/>
      </w:r>
      <w:r>
        <w:rPr>
          <w:rFonts w:ascii="Arial" w:cs="Arial" w:eastAsia="Arial" w:hAnsi="Arial"/>
          <w:sz w:val="20"/>
          <w:szCs w:val="20"/>
          <w:color w:val="00162F"/>
        </w:rPr>
        <w:t>Form of Pass Through Trust Certificate, Series 2017-2A (incorporated by reference to Exhibit A to Exhibit 4.3 to American’s Current Report on Form 8-K filed on August 14, 2017 (Commission File No. 1-2691)).</w:t>
      </w:r>
    </w:p>
    <w:p>
      <w:pPr>
        <w:spacing w:after="0" w:line="13"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4.104</w:t>
      </w:r>
      <w:r>
        <w:rPr>
          <w:sz w:val="20"/>
          <w:szCs w:val="20"/>
          <w:color w:val="auto"/>
        </w:rPr>
        <w:tab/>
      </w:r>
      <w:r>
        <w:rPr>
          <w:rFonts w:ascii="Arial" w:cs="Arial" w:eastAsia="Arial" w:hAnsi="Arial"/>
          <w:sz w:val="20"/>
          <w:szCs w:val="20"/>
          <w:color w:val="00162F"/>
        </w:rPr>
        <w:t>Revolving Credit Agreement (2017-2AA), dated as of August 14, 2017, between Wilmington Trust Company, as Subordination Agent, as agent and trustee for the trustee of the American Airlines Pass Through Trust 2017-2AA, as Borrower, and National Australia Bank Limited, as Liquidity Provider (incorporated by reference to Exhibit 4.14 to American’s Current Report on Form 8-K filed on August 14, 2017 (Commission File No. 1-2691)).</w:t>
      </w:r>
    </w:p>
    <w:p>
      <w:pPr>
        <w:spacing w:after="0" w:line="15" w:lineRule="exact"/>
        <w:rPr>
          <w:sz w:val="20"/>
          <w:szCs w:val="20"/>
          <w:color w:val="auto"/>
        </w:rPr>
      </w:pPr>
    </w:p>
    <w:p>
      <w:pPr>
        <w:jc w:val="both"/>
        <w:ind w:left="860" w:hanging="845"/>
        <w:spacing w:after="0" w:line="235" w:lineRule="auto"/>
        <w:tabs>
          <w:tab w:leader="none" w:pos="840" w:val="left"/>
        </w:tabs>
        <w:rPr>
          <w:sz w:val="20"/>
          <w:szCs w:val="20"/>
          <w:color w:val="auto"/>
        </w:rPr>
      </w:pPr>
      <w:r>
        <w:rPr>
          <w:rFonts w:ascii="Arial" w:cs="Arial" w:eastAsia="Arial" w:hAnsi="Arial"/>
          <w:sz w:val="20"/>
          <w:szCs w:val="20"/>
          <w:color w:val="00162F"/>
        </w:rPr>
        <w:t>4.105</w:t>
      </w:r>
      <w:r>
        <w:rPr>
          <w:sz w:val="20"/>
          <w:szCs w:val="20"/>
          <w:color w:val="auto"/>
        </w:rPr>
        <w:tab/>
      </w:r>
      <w:r>
        <w:rPr>
          <w:rFonts w:ascii="Arial" w:cs="Arial" w:eastAsia="Arial" w:hAnsi="Arial"/>
          <w:sz w:val="19"/>
          <w:szCs w:val="19"/>
          <w:color w:val="00162F"/>
        </w:rPr>
        <w:t>Revolving Credit Agreement (2017-2A), dated as of August 14, 2017, between Wilmington Trust Company, as Subordination Agent, as agent and trustee for the trustee of the American Airlines Pass Through Trust 2017-2A, as Borrower, and National Australia Bank Limited, as Liquidity Provider (incorporated by reference to Exhibit 4.15 to American’s Current Report on Form 8-K filed on August 14, 2017 (Commission File No. 1-2691)).</w:t>
      </w:r>
    </w:p>
    <w:p>
      <w:pPr>
        <w:spacing w:after="0" w:line="20"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4.106</w:t>
      </w:r>
      <w:r>
        <w:rPr>
          <w:sz w:val="20"/>
          <w:szCs w:val="20"/>
          <w:color w:val="auto"/>
        </w:rPr>
        <w:tab/>
      </w:r>
      <w:r>
        <w:rPr>
          <w:rFonts w:ascii="Arial" w:cs="Arial" w:eastAsia="Arial" w:hAnsi="Arial"/>
          <w:sz w:val="20"/>
          <w:szCs w:val="20"/>
          <w:color w:val="00162F"/>
        </w:rPr>
        <w:t>Trust Supplement No. 2016-3B, dated as of October 4, 2017, between American Airlines, Inc. and Wilmington Trust Company, as Trustee, to the Pass Through Trust Agreement, dated as of September 16, 2014 (incorporated by reference to Exhibit 4.2 to American’s Current Report on Form 8-K filed on October 5, 2017 (Commission File No. 1-2691)).</w:t>
      </w:r>
    </w:p>
    <w:p>
      <w:pPr>
        <w:spacing w:after="0" w:line="21"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4.107</w:t>
      </w:r>
      <w:r>
        <w:rPr>
          <w:sz w:val="20"/>
          <w:szCs w:val="20"/>
          <w:color w:val="auto"/>
        </w:rPr>
        <w:tab/>
      </w:r>
      <w:r>
        <w:rPr>
          <w:rFonts w:ascii="Arial" w:cs="Arial" w:eastAsia="Arial" w:hAnsi="Arial"/>
          <w:sz w:val="20"/>
          <w:szCs w:val="20"/>
          <w:color w:val="00162F"/>
        </w:rPr>
        <w:t>Amended and Restated Note Purchase Agreement, dated as of October 4, 2017, amending the Note Purchase Agreement, dated as of October 3, 2016, among American Airlines, Inc., Wilmington Trust Company, as Pass Through Trustee under each of the Pass Through Trust Agreements, and Wilmington Trust Company, as Subordination Agent (incorporated by reference to Exhibit 4.4 to American’s Current Report on Form 8-K filed on October 5, 2017 (Commission File No. 1-2691)).</w:t>
      </w:r>
    </w:p>
    <w:p>
      <w:pPr>
        <w:spacing w:after="0" w:line="15"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4.108</w:t>
      </w:r>
      <w:r>
        <w:rPr>
          <w:sz w:val="20"/>
          <w:szCs w:val="20"/>
          <w:color w:val="auto"/>
        </w:rPr>
        <w:tab/>
      </w:r>
      <w:r>
        <w:rPr>
          <w:rFonts w:ascii="Arial" w:cs="Arial" w:eastAsia="Arial" w:hAnsi="Arial"/>
          <w:sz w:val="20"/>
          <w:szCs w:val="20"/>
          <w:color w:val="00162F"/>
        </w:rPr>
        <w:t>Form of First Amendment to Participation Agreement (First Amendment to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A to Exhibit 4.4 to American’s Current Report on Form 8-K filed on October 5, 2017 (Commission File No. 1-2691)).</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183</w:t>
      </w:r>
    </w:p>
    <w:p>
      <w:pPr>
        <w:sectPr>
          <w:pgSz w:w="11880" w:h="15480" w:orient="portrait"/>
          <w:cols w:equalWidth="0" w:num="1">
            <w:col w:w="10600"/>
          </w:cols>
          <w:pgMar w:left="640" w:top="1071" w:right="640" w:bottom="0" w:gutter="0" w:footer="0" w:header="0"/>
          <w:type w:val="continuous"/>
        </w:sectPr>
      </w:pPr>
    </w:p>
    <w:bookmarkStart w:id="184" w:name="page185"/>
    <w:bookmarkEnd w:id="184"/>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4.109</w:t>
      </w:r>
      <w:r>
        <w:rPr>
          <w:sz w:val="20"/>
          <w:szCs w:val="20"/>
          <w:color w:val="auto"/>
        </w:rPr>
        <w:tab/>
      </w:r>
      <w:r>
        <w:rPr>
          <w:rFonts w:ascii="Arial" w:cs="Arial" w:eastAsia="Arial" w:hAnsi="Arial"/>
          <w:sz w:val="20"/>
          <w:szCs w:val="20"/>
          <w:color w:val="00162F"/>
        </w:rPr>
        <w:t>Form of First Amendment to Indenture and Security Agreement (First Amendment to Indenture and Security Agreement between American Airlines, Inc., and Wilmington Trust Company, as Loan Trustee) (incorporated by reference to Exhibit E to Exhibit 4.6 to American’s Current Report on Form 8-K filed on October 6, 2017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4.110</w:t>
      </w:r>
      <w:r>
        <w:rPr>
          <w:sz w:val="20"/>
          <w:szCs w:val="20"/>
          <w:color w:val="auto"/>
        </w:rPr>
        <w:tab/>
      </w:r>
      <w:r>
        <w:rPr>
          <w:rFonts w:ascii="Arial" w:cs="Arial" w:eastAsia="Arial" w:hAnsi="Arial"/>
          <w:sz w:val="20"/>
          <w:szCs w:val="20"/>
          <w:color w:val="00162F"/>
        </w:rPr>
        <w:t>Form of First Amendment to Indenture and Security Agreement (First Amendment to Indenture and Security Agreement between American Airlines, Inc., and Wilmington Trust Company, as Loan Trustee) (incorporated by reference to Exhibit B to Exhibit 4.4 to American’s Current Report on Form 8-K filed on October 5, 2017 (Commission File No. 1-2691)).</w:t>
      </w:r>
    </w:p>
    <w:p>
      <w:pPr>
        <w:spacing w:after="0" w:line="21"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4.111</w:t>
      </w:r>
      <w:r>
        <w:rPr>
          <w:sz w:val="20"/>
          <w:szCs w:val="20"/>
          <w:color w:val="auto"/>
        </w:rPr>
        <w:tab/>
      </w:r>
      <w:r>
        <w:rPr>
          <w:rFonts w:ascii="Arial" w:cs="Arial" w:eastAsia="Arial" w:hAnsi="Arial"/>
          <w:sz w:val="20"/>
          <w:szCs w:val="20"/>
          <w:color w:val="00162F"/>
        </w:rPr>
        <w:t>Form of Pass Through Trust Certificate, Series 2016-3B (incorporated by reference to Exhibit A to Exhibit 4.2 to American’s Current Report on Form 8-K filed on October 5, 2017 (Commission File No. 1-2691)).</w:t>
      </w:r>
    </w:p>
    <w:p>
      <w:pPr>
        <w:spacing w:after="0" w:line="13"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4.112</w:t>
      </w:r>
      <w:r>
        <w:rPr>
          <w:sz w:val="20"/>
          <w:szCs w:val="20"/>
          <w:color w:val="auto"/>
        </w:rPr>
        <w:tab/>
      </w:r>
      <w:r>
        <w:rPr>
          <w:rFonts w:ascii="Arial" w:cs="Arial" w:eastAsia="Arial" w:hAnsi="Arial"/>
          <w:sz w:val="20"/>
          <w:szCs w:val="20"/>
          <w:color w:val="00162F"/>
        </w:rPr>
        <w:t>Revolving Credit Agreement (2016-3B), dated as of October 4, 2017, between Wilmington Trust Company, as Subordination Agent, as agent and trustee for the trustee of the American Airlines Pass Through Trust 2016-3B, as Borrower, and KfW IPEX-Bank GmbH, as Liquidity Provider 3B (incorporated by reference to Exhibit 4.8 to American’s Current Report on Form 8-K filed on October 5, 2017 (Commission File No. 1-2691)).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4.113</w:t>
      </w:r>
      <w:r>
        <w:rPr>
          <w:sz w:val="20"/>
          <w:szCs w:val="20"/>
          <w:color w:val="auto"/>
        </w:rPr>
        <w:tab/>
      </w:r>
      <w:r>
        <w:rPr>
          <w:rFonts w:ascii="Arial" w:cs="Arial" w:eastAsia="Arial" w:hAnsi="Arial"/>
          <w:sz w:val="20"/>
          <w:szCs w:val="20"/>
          <w:color w:val="00162F"/>
        </w:rPr>
        <w:t>Trust Supplement No. 2017-2B, dated as of October 5, 2017, between American Airlines, Inc. and Wilmington Trust Company, as Trustee, to the Pass Through Trust Agreement, dated as of September 16, 2014 (incorporated by reference to Exhibit 4.2 to American’s Current Report on Form 8-K filed on October 6, 2017 (Commission File No. 1-2691)).</w:t>
      </w:r>
    </w:p>
    <w:p>
      <w:pPr>
        <w:spacing w:after="0" w:line="21"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4.114</w:t>
      </w:r>
      <w:r>
        <w:rPr>
          <w:sz w:val="20"/>
          <w:szCs w:val="20"/>
          <w:color w:val="auto"/>
        </w:rPr>
        <w:tab/>
      </w:r>
      <w:r>
        <w:rPr>
          <w:rFonts w:ascii="Arial" w:cs="Arial" w:eastAsia="Arial" w:hAnsi="Arial"/>
          <w:sz w:val="19"/>
          <w:szCs w:val="19"/>
          <w:color w:val="00162F"/>
        </w:rPr>
        <w:t>Amended and Restated Intercreditor Agreement (2017-2), dated as of October 5, 2017, among Wilmington Trust Company, as Trustee of the American Airlines Pass Through Trust 2017-2AA, as Trustee of the American Airlines Pass Through Trust 2017- 2A and as Trustee of the American Airlines Pass Through Trust 2017-2B, National Australia Bank Limited, as Class AA Liquidity Provider, Class A Liquidity Provider and Class B Liquidity Provider, and Wilmington Trust Company, as Subordination Agent (incorporated by reference to Exhibit 4.3 to American’s Current Report on Form 8-K filed on October 6, 2017 (Commission File No. 1-2691)).</w:t>
      </w:r>
    </w:p>
    <w:p>
      <w:pPr>
        <w:spacing w:after="0" w:line="11"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4.115</w:t>
      </w:r>
      <w:r>
        <w:rPr>
          <w:sz w:val="20"/>
          <w:szCs w:val="20"/>
          <w:color w:val="auto"/>
        </w:rPr>
        <w:tab/>
      </w:r>
      <w:r>
        <w:rPr>
          <w:rFonts w:ascii="Arial" w:cs="Arial" w:eastAsia="Arial" w:hAnsi="Arial"/>
          <w:sz w:val="20"/>
          <w:szCs w:val="20"/>
          <w:color w:val="00162F"/>
        </w:rPr>
        <w:t>Amended and Restated Note Purchase Agreement, dated as of October 5, 2017,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4.6 to American’s Current Report on Form 8-K filed on October 6, 2017 (Commission File No. 1-2691)).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4.116</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B to Exhibit 4.6 to American’s Current Report on Form 8-K filed on October 6, 2017 (Commission File No. 1-2691)).</w:t>
      </w:r>
    </w:p>
    <w:p>
      <w:pPr>
        <w:spacing w:after="0" w:line="15"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4.117</w:t>
      </w:r>
      <w:r>
        <w:rPr>
          <w:sz w:val="20"/>
          <w:szCs w:val="20"/>
          <w:color w:val="auto"/>
        </w:rPr>
        <w:tab/>
      </w:r>
      <w:r>
        <w:rPr>
          <w:rFonts w:ascii="Arial" w:cs="Arial" w:eastAsia="Arial" w:hAnsi="Arial"/>
          <w:sz w:val="20"/>
          <w:szCs w:val="20"/>
          <w:color w:val="00162F"/>
        </w:rPr>
        <w:t>Form of First Amendment to Participation Agreement (First Amendment to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D to Exhibit 4.6 to American’s Current Report on Form 8-K filed on October 6, 2017 (Commission File No. 1-2691)).</w:t>
      </w:r>
    </w:p>
    <w:p>
      <w:pPr>
        <w:spacing w:after="0" w:line="14"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4.118</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C to Exhibit 4.6 to American’s Current Report on Form 8-K filed on October 6, 2017 (Commission File No. 1-2691)).</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4.119</w:t>
      </w:r>
      <w:r>
        <w:rPr>
          <w:sz w:val="20"/>
          <w:szCs w:val="20"/>
          <w:color w:val="auto"/>
        </w:rPr>
        <w:tab/>
      </w:r>
      <w:r>
        <w:rPr>
          <w:rFonts w:ascii="Arial" w:cs="Arial" w:eastAsia="Arial" w:hAnsi="Arial"/>
          <w:sz w:val="20"/>
          <w:szCs w:val="20"/>
          <w:color w:val="00162F"/>
        </w:rPr>
        <w:t>Form of Pass Through Trust Certificate, Series 2017-2B (incorporated by reference to Exhibit A to Exhibit 4.2 to American’s Current Report on Form 8-K filed on October 6, 2017 (Commission File No. 1-2691)).</w:t>
      </w:r>
    </w:p>
    <w:p>
      <w:pPr>
        <w:spacing w:after="0" w:line="13" w:lineRule="exact"/>
        <w:rPr>
          <w:sz w:val="20"/>
          <w:szCs w:val="20"/>
          <w:color w:val="auto"/>
        </w:rPr>
      </w:pPr>
    </w:p>
    <w:p>
      <w:pPr>
        <w:jc w:val="both"/>
        <w:ind w:left="860" w:hanging="845"/>
        <w:spacing w:after="0" w:line="235" w:lineRule="auto"/>
        <w:tabs>
          <w:tab w:leader="none" w:pos="840" w:val="left"/>
        </w:tabs>
        <w:rPr>
          <w:sz w:val="20"/>
          <w:szCs w:val="20"/>
          <w:color w:val="auto"/>
        </w:rPr>
      </w:pPr>
      <w:r>
        <w:rPr>
          <w:rFonts w:ascii="Arial" w:cs="Arial" w:eastAsia="Arial" w:hAnsi="Arial"/>
          <w:sz w:val="20"/>
          <w:szCs w:val="20"/>
          <w:color w:val="00162F"/>
        </w:rPr>
        <w:t>4.120</w:t>
      </w:r>
      <w:r>
        <w:rPr>
          <w:sz w:val="20"/>
          <w:szCs w:val="20"/>
          <w:color w:val="auto"/>
        </w:rPr>
        <w:tab/>
      </w:r>
      <w:r>
        <w:rPr>
          <w:rFonts w:ascii="Arial" w:cs="Arial" w:eastAsia="Arial" w:hAnsi="Arial"/>
          <w:sz w:val="19"/>
          <w:szCs w:val="19"/>
          <w:color w:val="00162F"/>
        </w:rPr>
        <w:t>Revolving Credit Agreement (2017-2B), dated as of October 5, 2017, between Wilmington Trust Company, as Subordination Agent, as agent and trustee for the trustee of the American Airlines Pass Through Trust 2017-2B, as Borrower, and National Australia Bank Limited, as Liquidity Provider (incorporated by reference to Exhibit 4.12 to American’s Current Report on Form 8-K filed on October 6, 2017 (Commission File No. 1-2691)).</w:t>
      </w:r>
    </w:p>
    <w:p>
      <w:pPr>
        <w:spacing w:after="0" w:line="20"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4.121</w:t>
      </w:r>
      <w:r>
        <w:rPr>
          <w:sz w:val="20"/>
          <w:szCs w:val="20"/>
          <w:color w:val="auto"/>
        </w:rPr>
        <w:tab/>
      </w:r>
      <w:r>
        <w:rPr>
          <w:rFonts w:ascii="Arial" w:cs="Arial" w:eastAsia="Arial" w:hAnsi="Arial"/>
          <w:sz w:val="20"/>
          <w:szCs w:val="20"/>
          <w:color w:val="00162F"/>
        </w:rPr>
        <w:t>Trust Supplement No. 2019-1AA, dated as of August 15, 2019, between American Airlines, Inc. and Wilmington Trust Company, as Trustee, to the Pass Through Trust Agreement, dated as of September 16, 2014 (incorporated by reference to Exhibit 4.2 to American’s Current Report on Form 8-K filed on August 15, 2019 (Commission File No. 1-02691)).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4.122</w:t>
      </w:r>
      <w:r>
        <w:rPr>
          <w:sz w:val="20"/>
          <w:szCs w:val="20"/>
          <w:color w:val="auto"/>
        </w:rPr>
        <w:tab/>
      </w:r>
      <w:r>
        <w:rPr>
          <w:rFonts w:ascii="Arial" w:cs="Arial" w:eastAsia="Arial" w:hAnsi="Arial"/>
          <w:sz w:val="20"/>
          <w:szCs w:val="20"/>
          <w:color w:val="00162F"/>
        </w:rPr>
        <w:t>Trust Supplement No. 2019-1A, dated as of August 15, 2019, between American Airlines, Inc. and Wilmington Trust Company, as Trustee, to the Pass Through Trust Agreement, dated as of September 16, 2014 (incorporated by reference to Exhibit 4.3 to American’s Current Report on Form 8-K filed on August 15, 2019 (Commission File No. 1-02691)).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4.123</w:t>
      </w:r>
      <w:r>
        <w:rPr>
          <w:sz w:val="20"/>
          <w:szCs w:val="20"/>
          <w:color w:val="auto"/>
        </w:rPr>
        <w:tab/>
      </w:r>
      <w:r>
        <w:rPr>
          <w:rFonts w:ascii="Arial" w:cs="Arial" w:eastAsia="Arial" w:hAnsi="Arial"/>
          <w:sz w:val="20"/>
          <w:szCs w:val="20"/>
          <w:color w:val="00162F"/>
        </w:rPr>
        <w:t>Trust Supplement No. 2019-1B, dated as of August 15, 2019, between American Airlines, Inc. and Wilmington Trust Company, as Trustee, to the Pass Through Trust Agreement, dated as of September 16, 2014 (incorporated by reference to Exhibit 4.4 to American’s Current Report on Form 8-K filed on August 15, 2019 (Commission File No. 1-02691)).</w:t>
      </w:r>
    </w:p>
    <w:p>
      <w:pPr>
        <w:sectPr>
          <w:pgSz w:w="11880" w:h="15480" w:orient="portrait"/>
          <w:cols w:equalWidth="0" w:num="1">
            <w:col w:w="10600"/>
          </w:cols>
          <w:pgMar w:left="640" w:top="1071" w:right="640" w:bottom="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184</w:t>
      </w:r>
    </w:p>
    <w:p>
      <w:pPr>
        <w:sectPr>
          <w:pgSz w:w="11880" w:h="15480" w:orient="portrait"/>
          <w:cols w:equalWidth="0" w:num="1">
            <w:col w:w="10600"/>
          </w:cols>
          <w:pgMar w:left="640" w:top="1071" w:right="640" w:bottom="0" w:gutter="0" w:footer="0" w:header="0"/>
          <w:type w:val="continuous"/>
        </w:sectPr>
      </w:pPr>
    </w:p>
    <w:bookmarkStart w:id="185" w:name="page186"/>
    <w:bookmarkEnd w:id="185"/>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4.124</w:t>
      </w:r>
      <w:r>
        <w:rPr>
          <w:sz w:val="20"/>
          <w:szCs w:val="20"/>
          <w:color w:val="auto"/>
        </w:rPr>
        <w:tab/>
      </w:r>
      <w:r>
        <w:rPr>
          <w:rFonts w:ascii="Arial" w:cs="Arial" w:eastAsia="Arial" w:hAnsi="Arial"/>
          <w:sz w:val="20"/>
          <w:szCs w:val="20"/>
          <w:color w:val="00162F"/>
        </w:rPr>
        <w:t>Intercreditor Agreement (2019-1), dated as of August 15, 2019, among Wilmington Trust Company, as Trustee of the American Airlines Pass Through Trust 2019-1AA, as Trustee of the American Airlines Pass Through Trust 2019- 1A and as Trustee of the American Airlines Pass Through Trust 2019-1B, National Australia Bank Limited, as Class AA Liquidity Provider, Class A Liquidity Provider and Class B Liquidity Provider, and Wilmington Trust Company, as Subordination Agent (incorporated by reference to Exhibit 4.5 to American’s Current Report on Form 8-K filed on August 15, 2019 (Commission File No. 1-02691)).</w:t>
      </w:r>
    </w:p>
    <w:p>
      <w:pPr>
        <w:spacing w:after="0" w:line="14"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4.125</w:t>
      </w:r>
      <w:r>
        <w:rPr>
          <w:sz w:val="20"/>
          <w:szCs w:val="20"/>
          <w:color w:val="auto"/>
        </w:rPr>
        <w:tab/>
      </w:r>
      <w:r>
        <w:rPr>
          <w:rFonts w:ascii="Arial" w:cs="Arial" w:eastAsia="Arial" w:hAnsi="Arial"/>
          <w:sz w:val="20"/>
          <w:szCs w:val="20"/>
          <w:color w:val="00162F"/>
        </w:rPr>
        <w:t>Note Purchase Agreement, dated as of August 15, 2019,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4.12 to American’s Current Report on Form 8-K filed on August 15, 2019 (Commission File No. 1-02691)).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4.126</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B to Exhibit 4.12 to American’s Current Report on Form 8-K filed on August 15, 2019 (Commission File No. 1-02691)).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4.127</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C to Exhibit 4.12 to American’s Current Report on Form 8-K filed on August 15, 2019 (Commission File No. 1-02691)).</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4.128</w:t>
      </w:r>
      <w:r>
        <w:rPr>
          <w:sz w:val="20"/>
          <w:szCs w:val="20"/>
          <w:color w:val="auto"/>
        </w:rPr>
        <w:tab/>
      </w:r>
      <w:r>
        <w:rPr>
          <w:rFonts w:ascii="Arial" w:cs="Arial" w:eastAsia="Arial" w:hAnsi="Arial"/>
          <w:sz w:val="20"/>
          <w:szCs w:val="20"/>
          <w:color w:val="00162F"/>
        </w:rPr>
        <w:t>Form of Pass Through Trust Certificate, Series 2019-1AA (incorporated by reference to Exhibit A to Exhibit 4.2 to American’s Current Report on Form 8-K filed on August 15, 2019 (Commission File No. 1-02691)).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4.129</w:t>
      </w:r>
      <w:r>
        <w:rPr>
          <w:sz w:val="20"/>
          <w:szCs w:val="20"/>
          <w:color w:val="auto"/>
        </w:rPr>
        <w:tab/>
      </w:r>
      <w:r>
        <w:rPr>
          <w:rFonts w:ascii="Arial" w:cs="Arial" w:eastAsia="Arial" w:hAnsi="Arial"/>
          <w:sz w:val="20"/>
          <w:szCs w:val="20"/>
          <w:color w:val="00162F"/>
        </w:rPr>
        <w:t>Form of Pass Through Trust Certificate, Series 2019-1A (incorporated by reference to Exhibit A to Exhibit 4.3 to American’s Current Report on Form 8-K filed on August 15, 2019 (Commission File No. 1-02691)).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4.130</w:t>
      </w:r>
      <w:r>
        <w:rPr>
          <w:sz w:val="20"/>
          <w:szCs w:val="20"/>
          <w:color w:val="auto"/>
        </w:rPr>
        <w:tab/>
      </w:r>
      <w:r>
        <w:rPr>
          <w:rFonts w:ascii="Arial" w:cs="Arial" w:eastAsia="Arial" w:hAnsi="Arial"/>
          <w:sz w:val="20"/>
          <w:szCs w:val="20"/>
          <w:color w:val="00162F"/>
        </w:rPr>
        <w:t>Form of Pass Through Trust Certificate, Series 2019-1B (incorporated by reference to Exhibit A to Exhibit 4.4 to American’s Current Report on Form 8-K filed on August 15, 2019 (Commission File No. 1-02691)).</w:t>
      </w:r>
    </w:p>
    <w:p>
      <w:pPr>
        <w:spacing w:after="0" w:line="13"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4.131</w:t>
      </w:r>
      <w:r>
        <w:rPr>
          <w:sz w:val="20"/>
          <w:szCs w:val="20"/>
          <w:color w:val="auto"/>
        </w:rPr>
        <w:tab/>
      </w:r>
      <w:r>
        <w:rPr>
          <w:rFonts w:ascii="Arial" w:cs="Arial" w:eastAsia="Arial" w:hAnsi="Arial"/>
          <w:sz w:val="20"/>
          <w:szCs w:val="20"/>
          <w:color w:val="00162F"/>
        </w:rPr>
        <w:t>Revolving Credit Agreement (2019-1AA), dated as of August 15, 2019, between Wilmington Trust Company, as Subordination Agent, as agent and trustee for the trustee of the American Airlines Pass Through Trust 2019-1AA, as Borrower, and National Australia Bank Limited, as Liquidity Provider (incorporated by reference to Exhibit 4.18 to American’s Current Report on Form 8-K filed on August 15, 2019 (Commission File No. 1-02691)).</w:t>
      </w:r>
    </w:p>
    <w:p>
      <w:pPr>
        <w:spacing w:after="0" w:line="15" w:lineRule="exact"/>
        <w:rPr>
          <w:sz w:val="20"/>
          <w:szCs w:val="20"/>
          <w:color w:val="auto"/>
        </w:rPr>
      </w:pPr>
    </w:p>
    <w:p>
      <w:pPr>
        <w:jc w:val="both"/>
        <w:ind w:left="860" w:hanging="845"/>
        <w:spacing w:after="0" w:line="235" w:lineRule="auto"/>
        <w:tabs>
          <w:tab w:leader="none" w:pos="840" w:val="left"/>
        </w:tabs>
        <w:rPr>
          <w:sz w:val="20"/>
          <w:szCs w:val="20"/>
          <w:color w:val="auto"/>
        </w:rPr>
      </w:pPr>
      <w:r>
        <w:rPr>
          <w:rFonts w:ascii="Arial" w:cs="Arial" w:eastAsia="Arial" w:hAnsi="Arial"/>
          <w:sz w:val="20"/>
          <w:szCs w:val="20"/>
          <w:color w:val="00162F"/>
        </w:rPr>
        <w:t>4.132</w:t>
      </w:r>
      <w:r>
        <w:rPr>
          <w:sz w:val="20"/>
          <w:szCs w:val="20"/>
          <w:color w:val="auto"/>
        </w:rPr>
        <w:tab/>
      </w:r>
      <w:r>
        <w:rPr>
          <w:rFonts w:ascii="Arial" w:cs="Arial" w:eastAsia="Arial" w:hAnsi="Arial"/>
          <w:sz w:val="19"/>
          <w:szCs w:val="19"/>
          <w:color w:val="00162F"/>
        </w:rPr>
        <w:t>Revolving Credit Agreement (2019-1A), dated as of August 15, 2019, between Wilmington Trust Company, as Subordination Agent, as agent and trustee for the trustee of the American Airlines Pass Through Trust 2019-1A, as Borrower, and National Australia Bank Limited, as Liquidity Provider (incorporated by reference to Exhibit 4.19 to American’s Current Report on Form 8-K filed on August 15, 2019 (Commission File No. 1-02691)).</w:t>
      </w:r>
    </w:p>
    <w:p>
      <w:pPr>
        <w:spacing w:after="0" w:line="20" w:lineRule="exact"/>
        <w:rPr>
          <w:sz w:val="20"/>
          <w:szCs w:val="20"/>
          <w:color w:val="auto"/>
        </w:rPr>
      </w:pPr>
    </w:p>
    <w:p>
      <w:pPr>
        <w:jc w:val="both"/>
        <w:ind w:left="860" w:hanging="845"/>
        <w:spacing w:after="0" w:line="235" w:lineRule="auto"/>
        <w:tabs>
          <w:tab w:leader="none" w:pos="840" w:val="left"/>
        </w:tabs>
        <w:rPr>
          <w:sz w:val="20"/>
          <w:szCs w:val="20"/>
          <w:color w:val="auto"/>
        </w:rPr>
      </w:pPr>
      <w:r>
        <w:rPr>
          <w:rFonts w:ascii="Arial" w:cs="Arial" w:eastAsia="Arial" w:hAnsi="Arial"/>
          <w:sz w:val="20"/>
          <w:szCs w:val="20"/>
          <w:color w:val="00162F"/>
        </w:rPr>
        <w:t>4.133</w:t>
      </w:r>
      <w:r>
        <w:rPr>
          <w:sz w:val="20"/>
          <w:szCs w:val="20"/>
          <w:color w:val="auto"/>
        </w:rPr>
        <w:tab/>
      </w:r>
      <w:r>
        <w:rPr>
          <w:rFonts w:ascii="Arial" w:cs="Arial" w:eastAsia="Arial" w:hAnsi="Arial"/>
          <w:sz w:val="19"/>
          <w:szCs w:val="19"/>
          <w:color w:val="00162F"/>
        </w:rPr>
        <w:t>Revolving Credit Agreement (2019-1B), dated as of August 15, 2019, between Wilmington Trust Company, as Subordination Agent, as agent and trustee for the trustee of the American Airlines Pass Through Trust 2019-1B, as Borrower, and National Australia Bank Limited, as Liquidity Provider (incorporated by reference to Exhibit 4.20 to American’s Current Report on Form 8-K filed on August 15, 2019 (Commission File No. 1-02691)).</w:t>
      </w:r>
    </w:p>
    <w:p>
      <w:pPr>
        <w:spacing w:after="0" w:line="20"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4.134</w:t>
      </w:r>
      <w:r>
        <w:rPr>
          <w:sz w:val="20"/>
          <w:szCs w:val="20"/>
          <w:color w:val="auto"/>
        </w:rPr>
        <w:tab/>
      </w:r>
      <w:r>
        <w:rPr>
          <w:rFonts w:ascii="Arial" w:cs="Arial" w:eastAsia="Arial" w:hAnsi="Arial"/>
          <w:sz w:val="20"/>
          <w:szCs w:val="20"/>
          <w:color w:val="00162F"/>
        </w:rPr>
        <w:t>Trust Supplement No. 2021-1A, dated as of November 8, 2021, between American Airlines, Inc. and Wilmington Trust Company, as Trustee, to the Pass Through Trust Agreement, dated as of September 16, 2014 (incorporated by reference to Exhibit 4.2 to American’s Current Report on Form 8-K filed on November 12, 2021 (Commission File No. 1-02691)).</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4.135</w:t>
      </w:r>
      <w:r>
        <w:rPr>
          <w:sz w:val="20"/>
          <w:szCs w:val="20"/>
          <w:color w:val="auto"/>
        </w:rPr>
        <w:tab/>
      </w:r>
      <w:r>
        <w:rPr>
          <w:rFonts w:ascii="Arial" w:cs="Arial" w:eastAsia="Arial" w:hAnsi="Arial"/>
          <w:sz w:val="20"/>
          <w:szCs w:val="20"/>
          <w:color w:val="00162F"/>
        </w:rPr>
        <w:t>Trust Supplement No. 2021-1B, dated as of November 8, 2021, between American Airlines, Inc. and Wilmington Trust Company, as Trustee, to the Pass Through Trust Agreement, dated as of September 16, 2014 (incorporated by reference to Exhibit 4.3 to American’s Current Report on Form 8-K filed on November 12, 2021 (Commission File No. 1-02691)).</w:t>
      </w:r>
    </w:p>
    <w:p>
      <w:pPr>
        <w:spacing w:after="0" w:line="8" w:lineRule="exact"/>
        <w:rPr>
          <w:sz w:val="20"/>
          <w:szCs w:val="20"/>
          <w:color w:val="auto"/>
        </w:rPr>
      </w:pPr>
    </w:p>
    <w:p>
      <w:pPr>
        <w:jc w:val="both"/>
        <w:ind w:left="860" w:hanging="845"/>
        <w:spacing w:after="0" w:line="238" w:lineRule="auto"/>
        <w:tabs>
          <w:tab w:leader="none" w:pos="840" w:val="left"/>
        </w:tabs>
        <w:rPr>
          <w:sz w:val="20"/>
          <w:szCs w:val="20"/>
          <w:color w:val="auto"/>
        </w:rPr>
      </w:pPr>
      <w:r>
        <w:rPr>
          <w:rFonts w:ascii="Arial" w:cs="Arial" w:eastAsia="Arial" w:hAnsi="Arial"/>
          <w:sz w:val="20"/>
          <w:szCs w:val="20"/>
          <w:color w:val="00162F"/>
        </w:rPr>
        <w:t>4.136</w:t>
      </w:r>
      <w:r>
        <w:rPr>
          <w:sz w:val="20"/>
          <w:szCs w:val="20"/>
          <w:color w:val="auto"/>
        </w:rPr>
        <w:tab/>
      </w:r>
      <w:r>
        <w:rPr>
          <w:rFonts w:ascii="Arial" w:cs="Arial" w:eastAsia="Arial" w:hAnsi="Arial"/>
          <w:sz w:val="20"/>
          <w:szCs w:val="20"/>
          <w:color w:val="00162F"/>
        </w:rPr>
        <w:t>Intercreditor Agreement (2021-1), dated as of November 8, 2021, among Wilmington Trust Company, as Trustee of the American Airlines Pass Through Trust 2021-1A and as Trustee of the American Airlines Pass Through Trust 2021-1B, Crédit Agricole Corporate and Investment Bank, acting through its New York Branch, as Class A Liquidity Provider and Class B Liquidity Provider, and Wilmington Trust Company, as Subordination Agent (incorporated by reference to Exhibit 4.4 to American’s Current Report on Form 8-K filed on November 12, 2021 (Commission File No. 1-02691)).</w:t>
      </w:r>
    </w:p>
    <w:p>
      <w:pPr>
        <w:spacing w:after="0" w:line="12" w:lineRule="exact"/>
        <w:rPr>
          <w:sz w:val="20"/>
          <w:szCs w:val="20"/>
          <w:color w:val="auto"/>
        </w:rPr>
      </w:pPr>
    </w:p>
    <w:p>
      <w:pPr>
        <w:jc w:val="both"/>
        <w:ind w:left="860" w:hanging="845"/>
        <w:spacing w:after="0"/>
        <w:tabs>
          <w:tab w:leader="none" w:pos="840" w:val="left"/>
        </w:tabs>
        <w:rPr>
          <w:sz w:val="20"/>
          <w:szCs w:val="20"/>
          <w:color w:val="auto"/>
        </w:rPr>
      </w:pPr>
      <w:r>
        <w:rPr>
          <w:rFonts w:ascii="Arial" w:cs="Arial" w:eastAsia="Arial" w:hAnsi="Arial"/>
          <w:sz w:val="20"/>
          <w:szCs w:val="20"/>
          <w:color w:val="00162F"/>
        </w:rPr>
        <w:t>4.137</w:t>
      </w:r>
      <w:r>
        <w:rPr>
          <w:sz w:val="20"/>
          <w:szCs w:val="20"/>
          <w:color w:val="auto"/>
        </w:rPr>
        <w:tab/>
      </w:r>
      <w:r>
        <w:rPr>
          <w:rFonts w:ascii="Arial" w:cs="Arial" w:eastAsia="Arial" w:hAnsi="Arial"/>
          <w:sz w:val="20"/>
          <w:szCs w:val="20"/>
          <w:color w:val="00162F"/>
        </w:rPr>
        <w:t>Note Purchase Agreement, dated as of November 8, 2021,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4.9 to American’s Current Report on Form 8-K filed on November 12, 2021 (Commission File No. 1-02691)).</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185</w:t>
      </w:r>
    </w:p>
    <w:p>
      <w:pPr>
        <w:sectPr>
          <w:pgSz w:w="11880" w:h="15480" w:orient="portrait"/>
          <w:cols w:equalWidth="0" w:num="1">
            <w:col w:w="10600"/>
          </w:cols>
          <w:pgMar w:left="640" w:top="1071" w:right="640" w:bottom="0" w:gutter="0" w:footer="0" w:header="0"/>
          <w:type w:val="continuous"/>
        </w:sectPr>
      </w:pPr>
    </w:p>
    <w:bookmarkStart w:id="186" w:name="page187"/>
    <w:bookmarkEnd w:id="186"/>
    <w:p>
      <w:pPr>
        <w:spacing w:after="0" w:line="263" w:lineRule="auto"/>
        <w:rPr>
          <w:sz w:val="20"/>
          <w:szCs w:val="20"/>
          <w:color w:val="auto"/>
        </w:rPr>
      </w:pPr>
      <w:r>
        <w:rPr>
          <w:rFonts w:ascii="Arial" w:cs="Arial" w:eastAsia="Arial" w:hAnsi="Arial"/>
          <w:sz w:val="15"/>
          <w:szCs w:val="15"/>
          <w:b w:val="1"/>
          <w:bCs w:val="1"/>
          <w:color w:val="00162F"/>
        </w:rPr>
        <w:t xml:space="preserve">Exhibit </w:t>
      </w:r>
      <w:r>
        <w:rPr>
          <w:rFonts w:ascii="Arial" w:cs="Arial" w:eastAsia="Arial" w:hAnsi="Arial"/>
          <w:sz w:val="15"/>
          <w:szCs w:val="15"/>
          <w:b w:val="1"/>
          <w:bCs w:val="1"/>
          <w:u w:val="single" w:color="auto"/>
          <w:color w:val="00162F"/>
        </w:rPr>
        <w:t>Number</w:t>
      </w:r>
    </w:p>
    <w:p>
      <w:pPr>
        <w:spacing w:after="0"/>
        <w:rPr>
          <w:sz w:val="20"/>
          <w:szCs w:val="20"/>
          <w:color w:val="auto"/>
        </w:rPr>
      </w:pPr>
      <w:r>
        <w:rPr>
          <w:rFonts w:ascii="Arial" w:cs="Arial" w:eastAsia="Arial" w:hAnsi="Arial"/>
          <w:sz w:val="20"/>
          <w:szCs w:val="20"/>
          <w:color w:val="00162F"/>
        </w:rPr>
        <w:t>4.138</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162F"/>
        </w:rPr>
        <w:t>Description</w:t>
      </w:r>
    </w:p>
    <w:p>
      <w:pPr>
        <w:spacing w:after="0" w:line="55" w:lineRule="exact"/>
        <w:rPr>
          <w:sz w:val="20"/>
          <w:szCs w:val="20"/>
          <w:color w:val="auto"/>
        </w:rPr>
      </w:pPr>
    </w:p>
    <w:p>
      <w:pPr>
        <w:jc w:val="both"/>
        <w:spacing w:after="0"/>
        <w:rPr>
          <w:sz w:val="20"/>
          <w:szCs w:val="20"/>
          <w:color w:val="auto"/>
        </w:rPr>
      </w:pP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B to Exhibit 4.9 to American’s Current Report on Form 8-K filed on November 12, 2021 (Commission File No. 1-02691)).</w:t>
      </w:r>
    </w:p>
    <w:p>
      <w:pPr>
        <w:spacing w:after="0" w:line="4" w:lineRule="exact"/>
        <w:rPr>
          <w:sz w:val="20"/>
          <w:szCs w:val="20"/>
          <w:color w:val="auto"/>
        </w:rPr>
      </w:pPr>
    </w:p>
    <w:p>
      <w:pPr>
        <w:sectPr>
          <w:pgSz w:w="11880" w:h="15480" w:orient="portrait"/>
          <w:cols w:equalWidth="0" w:num="2">
            <w:col w:w="600" w:space="260"/>
            <w:col w:w="9740"/>
          </w:cols>
          <w:pgMar w:left="640" w:top="1097" w:right="640" w:bottom="0" w:gutter="0" w:footer="0" w:header="0"/>
        </w:sectPr>
      </w:pPr>
    </w:p>
    <w:p>
      <w:pPr>
        <w:jc w:val="both"/>
        <w:ind w:left="860" w:hanging="845"/>
        <w:spacing w:after="0" w:line="247" w:lineRule="auto"/>
        <w:tabs>
          <w:tab w:leader="none" w:pos="840" w:val="left"/>
        </w:tabs>
        <w:rPr>
          <w:sz w:val="20"/>
          <w:szCs w:val="20"/>
          <w:color w:val="auto"/>
        </w:rPr>
      </w:pPr>
      <w:r>
        <w:rPr>
          <w:rFonts w:ascii="Arial" w:cs="Arial" w:eastAsia="Arial" w:hAnsi="Arial"/>
          <w:sz w:val="20"/>
          <w:szCs w:val="20"/>
          <w:color w:val="00162F"/>
        </w:rPr>
        <w:t>4.139</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C to Exhibit 4.9 to American’s Current Report on Form 8-K filed on November 12, 2021 (Commission File No. 1-02691)).</w:t>
      </w:r>
    </w:p>
    <w:p>
      <w:pPr>
        <w:spacing w:after="0" w:line="3" w:lineRule="exact"/>
        <w:rPr>
          <w:sz w:val="20"/>
          <w:szCs w:val="20"/>
          <w:color w:val="auto"/>
        </w:rPr>
      </w:pPr>
    </w:p>
    <w:p>
      <w:pPr>
        <w:jc w:val="center"/>
        <w:ind w:right="60"/>
        <w:spacing w:after="0" w:line="255" w:lineRule="auto"/>
        <w:rPr>
          <w:sz w:val="20"/>
          <w:szCs w:val="20"/>
          <w:color w:val="auto"/>
        </w:rPr>
      </w:pPr>
      <w:r>
        <w:rPr>
          <w:rFonts w:ascii="Arial" w:cs="Arial" w:eastAsia="Arial" w:hAnsi="Arial"/>
          <w:sz w:val="20"/>
          <w:szCs w:val="20"/>
          <w:color w:val="00162F"/>
        </w:rPr>
        <w:t>4.140   Form of Pass Through Trust Certificate, Series 2021-1A (incorporated by reference to Exhibit A to Exhibit 4.2 to American’s Current Report on Form 8-K filed on November 12, 2021 (Commission File No. 1-02691)).</w:t>
      </w:r>
    </w:p>
    <w:p>
      <w:pPr>
        <w:spacing w:after="0" w:line="1" w:lineRule="exact"/>
        <w:rPr>
          <w:sz w:val="20"/>
          <w:szCs w:val="20"/>
          <w:color w:val="auto"/>
        </w:rPr>
      </w:pPr>
    </w:p>
    <w:p>
      <w:pPr>
        <w:jc w:val="center"/>
        <w:spacing w:after="0" w:line="255" w:lineRule="auto"/>
        <w:rPr>
          <w:sz w:val="20"/>
          <w:szCs w:val="20"/>
          <w:color w:val="auto"/>
        </w:rPr>
      </w:pPr>
      <w:r>
        <w:rPr>
          <w:rFonts w:ascii="Arial" w:cs="Arial" w:eastAsia="Arial" w:hAnsi="Arial"/>
          <w:sz w:val="20"/>
          <w:szCs w:val="20"/>
          <w:color w:val="00162F"/>
        </w:rPr>
        <w:t>4.141   Form of Pass Through Trust Certificate, Series 2021-1B (incorporated by reference to Exhibit A to Exhibit 4.3 to American’s Current Report on Form 8-K filed on November 12, 2021 (Commission File No. 1-02691)).</w:t>
      </w:r>
    </w:p>
    <w:p>
      <w:pPr>
        <w:spacing w:after="0" w:line="1" w:lineRule="exact"/>
        <w:rPr>
          <w:sz w:val="20"/>
          <w:szCs w:val="20"/>
          <w:color w:val="auto"/>
        </w:rPr>
      </w:pPr>
    </w:p>
    <w:p>
      <w:pPr>
        <w:jc w:val="both"/>
        <w:ind w:left="860" w:hanging="845"/>
        <w:spacing w:after="0"/>
        <w:tabs>
          <w:tab w:leader="none" w:pos="840" w:val="left"/>
        </w:tabs>
        <w:rPr>
          <w:sz w:val="20"/>
          <w:szCs w:val="20"/>
          <w:color w:val="auto"/>
        </w:rPr>
      </w:pPr>
      <w:r>
        <w:rPr>
          <w:rFonts w:ascii="Arial" w:cs="Arial" w:eastAsia="Arial" w:hAnsi="Arial"/>
          <w:sz w:val="20"/>
          <w:szCs w:val="20"/>
          <w:color w:val="00162F"/>
        </w:rPr>
        <w:t>4.142</w:t>
      </w:r>
      <w:r>
        <w:rPr>
          <w:sz w:val="20"/>
          <w:szCs w:val="20"/>
          <w:color w:val="auto"/>
        </w:rPr>
        <w:tab/>
      </w:r>
      <w:r>
        <w:rPr>
          <w:rFonts w:ascii="Arial" w:cs="Arial" w:eastAsia="Arial" w:hAnsi="Arial"/>
          <w:sz w:val="20"/>
          <w:szCs w:val="20"/>
          <w:color w:val="00162F"/>
        </w:rPr>
        <w:t>Revolving Credit Agreement (2021-1A), dated as of November 8, 2021, between Wilmington Trust Company, as Subordination Agent, as agent and trustee for the trustee of the American Airlines Pass Through Trust 2021-1A, as Borrower, and Crédit Agricole Corporate and Investment Bank, acting through its New York Branch, as Liquidity Provider (incorporated by reference to Exhibit 4.14 to American’s Current Report on Form 8-K filed on November 12, 2021 (Commission File No. 1-02691)).</w:t>
      </w:r>
    </w:p>
    <w:p>
      <w:pPr>
        <w:spacing w:after="0" w:line="23" w:lineRule="exact"/>
        <w:rPr>
          <w:sz w:val="20"/>
          <w:szCs w:val="20"/>
          <w:color w:val="auto"/>
        </w:rPr>
      </w:pPr>
    </w:p>
    <w:p>
      <w:pPr>
        <w:jc w:val="both"/>
        <w:ind w:left="860" w:hanging="845"/>
        <w:spacing w:after="0"/>
        <w:tabs>
          <w:tab w:leader="none" w:pos="840" w:val="left"/>
        </w:tabs>
        <w:rPr>
          <w:sz w:val="20"/>
          <w:szCs w:val="20"/>
          <w:color w:val="auto"/>
        </w:rPr>
      </w:pPr>
      <w:r>
        <w:rPr>
          <w:rFonts w:ascii="Arial" w:cs="Arial" w:eastAsia="Arial" w:hAnsi="Arial"/>
          <w:sz w:val="20"/>
          <w:szCs w:val="20"/>
          <w:color w:val="00162F"/>
        </w:rPr>
        <w:t>4.143</w:t>
      </w:r>
      <w:r>
        <w:rPr>
          <w:sz w:val="20"/>
          <w:szCs w:val="20"/>
          <w:color w:val="auto"/>
        </w:rPr>
        <w:tab/>
      </w:r>
      <w:r>
        <w:rPr>
          <w:rFonts w:ascii="Arial" w:cs="Arial" w:eastAsia="Arial" w:hAnsi="Arial"/>
          <w:sz w:val="20"/>
          <w:szCs w:val="20"/>
          <w:color w:val="00162F"/>
        </w:rPr>
        <w:t>Revolving Credit Agreement (2021-1B), dated as of November 8, 2021, between Wilmington Trust Company, as Subordination Agent, as agent and trustee for the trustee of the American Airlines Pass Through Trust 2021-1B, as Borrower, and Crédit Agricole Corporate and Investment Bank, acting through its New York Branch, as Liquidity Provider (incorporated by reference to Exhibit 4.15 to American’s Current Report on Form 8-K filed on November 12, 2021 (Commission File No. 1-02691)).</w:t>
      </w:r>
    </w:p>
    <w:p>
      <w:pPr>
        <w:spacing w:after="0" w:line="23"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4.144</w:t>
      </w:r>
      <w:r>
        <w:rPr>
          <w:sz w:val="20"/>
          <w:szCs w:val="20"/>
          <w:color w:val="auto"/>
        </w:rPr>
        <w:tab/>
      </w:r>
      <w:r>
        <w:rPr>
          <w:rFonts w:ascii="Arial" w:cs="Arial" w:eastAsia="Arial" w:hAnsi="Arial"/>
          <w:sz w:val="20"/>
          <w:szCs w:val="20"/>
          <w:color w:val="00162F"/>
        </w:rPr>
        <w:t>Trust Supplement No. 2025-1A, dated as of November 12, 2025, between American Airlines, Inc. and Wilmington Trust Company, as Trustee, to the Pass Through Trust Agreement, dated as of September 16, 2014 (incorporated by reference to Exhibit 4.2 to American’s Current Report on Form 8-K filed on November 13, 2025 (Commission File No. 001-02691)).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4.145</w:t>
      </w:r>
      <w:r>
        <w:rPr>
          <w:sz w:val="20"/>
          <w:szCs w:val="20"/>
          <w:color w:val="auto"/>
        </w:rPr>
        <w:tab/>
      </w:r>
      <w:r>
        <w:rPr>
          <w:rFonts w:ascii="Arial" w:cs="Arial" w:eastAsia="Arial" w:hAnsi="Arial"/>
          <w:sz w:val="20"/>
          <w:szCs w:val="20"/>
          <w:color w:val="00162F"/>
        </w:rPr>
        <w:t>Trust Supplement No. 2025-1B, dated as of November 12, 2025, between American Airlines, Inc. and Wilmington Trust Company, as Trustee, to the Pass Through Trust Agreement, dated as of September 16, 2014 (incorporated by reference to Exhibit 4.3 to American’s Current Report on Form 8-K filed on November 13, 2025 (Commission File No. 001-02691)).</w:t>
      </w:r>
    </w:p>
    <w:p>
      <w:pPr>
        <w:spacing w:after="0" w:line="21"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4.146</w:t>
      </w:r>
      <w:r>
        <w:rPr>
          <w:sz w:val="20"/>
          <w:szCs w:val="20"/>
          <w:color w:val="auto"/>
        </w:rPr>
        <w:tab/>
      </w:r>
      <w:r>
        <w:rPr>
          <w:rFonts w:ascii="Arial" w:cs="Arial" w:eastAsia="Arial" w:hAnsi="Arial"/>
          <w:sz w:val="20"/>
          <w:szCs w:val="20"/>
          <w:color w:val="00162F"/>
        </w:rPr>
        <w:t>Intercreditor Agreement (2025-1), dated as of November 12, 2025, among Wilmington Trust Company, as Trustee of the American Airlines Pass Through Trust 2025-1A and as Trustee of the American Airlines Pass Through Trust 2025-1B, Natixis, New York Branch, as Class A Liquidity Provider and Class B Liquidity Provider, and Wilmington Trust Company, as Subordination Agent (incorporated by reference to Exhibit 4.4 to American’s Current Report on Form 8-K filed on November 13, 2025 (Commission File No. 001-02691)).</w:t>
      </w:r>
    </w:p>
    <w:p>
      <w:pPr>
        <w:spacing w:after="0" w:line="15"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4.147</w:t>
      </w:r>
      <w:r>
        <w:rPr>
          <w:sz w:val="20"/>
          <w:szCs w:val="20"/>
          <w:color w:val="auto"/>
        </w:rPr>
        <w:tab/>
      </w:r>
      <w:r>
        <w:rPr>
          <w:rFonts w:ascii="Arial" w:cs="Arial" w:eastAsia="Arial" w:hAnsi="Arial"/>
          <w:sz w:val="20"/>
          <w:szCs w:val="20"/>
          <w:color w:val="00162F"/>
        </w:rPr>
        <w:t>Deposit Agreement (Class A), dated as of November 12, 2025, between Wilmington Trust, National Association, as Escrow Agent, and Sumitomo Mitsui Banking Corporation, acting through its New York Branch, as Depositary (incorporated by reference to Exhibit 4.5 to American’s Current Report on Form 8-K filed on November 13, 2025 (Commission File No. 001-02691)).</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4.148</w:t>
      </w:r>
      <w:r>
        <w:rPr>
          <w:sz w:val="20"/>
          <w:szCs w:val="20"/>
          <w:color w:val="auto"/>
        </w:rPr>
        <w:tab/>
      </w:r>
      <w:r>
        <w:rPr>
          <w:rFonts w:ascii="Arial" w:cs="Arial" w:eastAsia="Arial" w:hAnsi="Arial"/>
          <w:sz w:val="20"/>
          <w:szCs w:val="20"/>
          <w:color w:val="00162F"/>
        </w:rPr>
        <w:t>Deposit Agreement (Class B), dated as of November 12, 2025, between Wilmington Trust, National Association, as Escrow Agent, and Sumitomo Mitsui Banking Corporation, acting through its New York Branch, as Depositary (incorporated by reference to Exhibit 4.6 to American’s Current Report on Form 8-K filed on November 13, 2025 (Commission File No. 001-02691)).</w:t>
      </w:r>
    </w:p>
    <w:p>
      <w:pPr>
        <w:spacing w:after="0" w:line="21"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4.149</w:t>
      </w:r>
      <w:r>
        <w:rPr>
          <w:sz w:val="20"/>
          <w:szCs w:val="20"/>
          <w:color w:val="auto"/>
        </w:rPr>
        <w:tab/>
      </w:r>
      <w:r>
        <w:rPr>
          <w:rFonts w:ascii="Arial" w:cs="Arial" w:eastAsia="Arial" w:hAnsi="Arial"/>
          <w:sz w:val="20"/>
          <w:szCs w:val="20"/>
          <w:color w:val="00162F"/>
        </w:rPr>
        <w:t>Escrow and Paying Agent Agreement (Class A), dated as of November 12, 2025, among Wilmington Trust, National Association, as Escrow Agent, J.P. Morgan Securities LLC and Deutsche Bank Securities, Inc., for themselves and on behalf of the several Underwriters, Wilmington Trust Company, not in its individual capacity, but solely as Pass Through Trustee for and on behalf of American Airlines Pass Through Trust 2025-1A, and Wilmington Trust Company, as Paying Agent (incorporated by reference to Exhibit 4.7 to American’s Current Report on Form 8-K filed on November 13, 2025 (Commission File No. 001-02691)).</w:t>
      </w:r>
    </w:p>
    <w:p>
      <w:pPr>
        <w:spacing w:after="0" w:line="14"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4.150</w:t>
      </w:r>
      <w:r>
        <w:rPr>
          <w:sz w:val="20"/>
          <w:szCs w:val="20"/>
          <w:color w:val="auto"/>
        </w:rPr>
        <w:tab/>
      </w:r>
      <w:r>
        <w:rPr>
          <w:rFonts w:ascii="Arial" w:cs="Arial" w:eastAsia="Arial" w:hAnsi="Arial"/>
          <w:sz w:val="20"/>
          <w:szCs w:val="20"/>
          <w:color w:val="00162F"/>
        </w:rPr>
        <w:t>Escrow and Paying Agent Agreement (Class B), dated as of November 12, 2025, among Wilmington Trust, National Association, as Escrow Agent, J.P. Morgan Securities LLC and Deutsche Bank Securities, Inc., for themselves and on behalf of the several Underwriters, Wilmington Trust Company, not in its individual capacity, but solely as Pass Through Trustee for and on behalf of American Airlines Pass Through Trust 2025-1B, and Wilmington Trust Company, as Paying Agent (incorporated by reference to Exhibit 4.8 to American’s Current Report on Form 8-K filed on November 13, 2025 (Commission File No. 001-02691)).</w:t>
      </w:r>
    </w:p>
    <w:p>
      <w:pPr>
        <w:sectPr>
          <w:pgSz w:w="11880" w:h="15480" w:orient="portrait"/>
          <w:cols w:equalWidth="0" w:num="1">
            <w:col w:w="10600"/>
          </w:cols>
          <w:pgMar w:left="640" w:top="1097"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186</w:t>
      </w:r>
    </w:p>
    <w:p>
      <w:pPr>
        <w:sectPr>
          <w:pgSz w:w="11880" w:h="15480" w:orient="portrait"/>
          <w:cols w:equalWidth="0" w:num="1">
            <w:col w:w="10600"/>
          </w:cols>
          <w:pgMar w:left="640" w:top="1097" w:right="640" w:bottom="0" w:gutter="0" w:footer="0" w:header="0"/>
          <w:type w:val="continuous"/>
        </w:sectPr>
      </w:pPr>
    </w:p>
    <w:bookmarkStart w:id="187" w:name="page188"/>
    <w:bookmarkEnd w:id="187"/>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4.151</w:t>
      </w:r>
      <w:r>
        <w:rPr>
          <w:sz w:val="20"/>
          <w:szCs w:val="20"/>
          <w:color w:val="auto"/>
        </w:rPr>
        <w:tab/>
      </w:r>
      <w:r>
        <w:rPr>
          <w:rFonts w:ascii="Arial" w:cs="Arial" w:eastAsia="Arial" w:hAnsi="Arial"/>
          <w:sz w:val="20"/>
          <w:szCs w:val="20"/>
          <w:color w:val="00162F"/>
        </w:rPr>
        <w:t>Note Purchase Agreement, dated as of November 12, 2025,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4.9 to American’s Current Report on Form 8-K filed on November 13, 2025 (Commission File No. 001-02691)).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4.152</w:t>
      </w:r>
      <w:r>
        <w:rPr>
          <w:sz w:val="20"/>
          <w:szCs w:val="20"/>
          <w:color w:val="auto"/>
        </w:rPr>
        <w:tab/>
      </w:r>
      <w:r>
        <w:rPr>
          <w:rFonts w:ascii="Arial" w:cs="Arial" w:eastAsia="Arial" w:hAnsi="Arial"/>
          <w:sz w:val="20"/>
          <w:szCs w:val="20"/>
          <w:color w:val="00162F"/>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4.10 to American’s Current Report on Form 8-K filed on November 13, 2025 (Commission File No. 001-02691)).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4.153</w:t>
      </w:r>
      <w:r>
        <w:rPr>
          <w:sz w:val="20"/>
          <w:szCs w:val="20"/>
          <w:color w:val="auto"/>
        </w:rPr>
        <w:tab/>
      </w:r>
      <w:r>
        <w:rPr>
          <w:rFonts w:ascii="Arial" w:cs="Arial" w:eastAsia="Arial" w:hAnsi="Arial"/>
          <w:sz w:val="20"/>
          <w:szCs w:val="20"/>
          <w:color w:val="00162F"/>
        </w:rPr>
        <w:t>Form of Indenture and Security Agreement (Indenture and Security Agreement between American Airlines, Inc., and Wilmington Trust Company, as Loan Trustee) (incorporated by reference to Exhibit 4.11 to American’s Current Report on Form 8-K filed on November 13, 2025 (Commission File No. 001-02691)).</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4.154</w:t>
      </w:r>
      <w:r>
        <w:rPr>
          <w:sz w:val="20"/>
          <w:szCs w:val="20"/>
          <w:color w:val="auto"/>
        </w:rPr>
        <w:tab/>
      </w:r>
      <w:r>
        <w:rPr>
          <w:rFonts w:ascii="Arial" w:cs="Arial" w:eastAsia="Arial" w:hAnsi="Arial"/>
          <w:sz w:val="20"/>
          <w:szCs w:val="20"/>
          <w:color w:val="00162F"/>
        </w:rPr>
        <w:t>Form of Pass Through Trust Certificate, Series 2025-1A (incorporated by reference to Exhibit 4.12 to American’s Current Report on Form 8-K filed on November 13, 2025 (Commission File No. 001-02691)).</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4.155</w:t>
      </w:r>
      <w:r>
        <w:rPr>
          <w:sz w:val="20"/>
          <w:szCs w:val="20"/>
          <w:color w:val="auto"/>
        </w:rPr>
        <w:tab/>
      </w:r>
      <w:r>
        <w:rPr>
          <w:rFonts w:ascii="Arial" w:cs="Arial" w:eastAsia="Arial" w:hAnsi="Arial"/>
          <w:sz w:val="20"/>
          <w:szCs w:val="20"/>
          <w:color w:val="00162F"/>
        </w:rPr>
        <w:t>Form of Pass Through Trust Certificate, Series 2025-1B (incorporated by reference to Exhibit 4.13 to American’s Current Report on Form 8-K filed on November 13, 2025 (Commission File No. 001-02691)).</w:t>
      </w:r>
    </w:p>
    <w:p>
      <w:pPr>
        <w:spacing w:after="0" w:line="13"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4.156</w:t>
      </w:r>
      <w:r>
        <w:rPr>
          <w:sz w:val="20"/>
          <w:szCs w:val="20"/>
          <w:color w:val="auto"/>
        </w:rPr>
        <w:tab/>
      </w:r>
      <w:r>
        <w:rPr>
          <w:rFonts w:ascii="Arial" w:cs="Arial" w:eastAsia="Arial" w:hAnsi="Arial"/>
          <w:sz w:val="20"/>
          <w:szCs w:val="20"/>
          <w:color w:val="00162F"/>
        </w:rPr>
        <w:t>Revolving Credit Agreement (2025-1A), dated as of November 12, 2025, between Wilmington Trust Company, as Subordination Agent, as agent and trustee for the trustee of the American Airlines Pass Through Trust 2025-1A, as Borrower, and Natixis, New York Branch, as Liquidity Provider (incorporated by reference to Exhibit 4.14 to American’s Current Report on Form 8-K filed on November 13, 2025 (Commission File No. 001-02691)).</w:t>
      </w:r>
    </w:p>
    <w:p>
      <w:pPr>
        <w:spacing w:after="0" w:line="15"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4.157</w:t>
      </w:r>
      <w:r>
        <w:rPr>
          <w:sz w:val="20"/>
          <w:szCs w:val="20"/>
          <w:color w:val="auto"/>
        </w:rPr>
        <w:tab/>
      </w:r>
      <w:r>
        <w:rPr>
          <w:rFonts w:ascii="Arial" w:cs="Arial" w:eastAsia="Arial" w:hAnsi="Arial"/>
          <w:sz w:val="20"/>
          <w:szCs w:val="20"/>
          <w:color w:val="00162F"/>
        </w:rPr>
        <w:t>Revolving Credit Agreement (2025-1B), dated as of November 12, 2025, between Wilmington Trust Company, as Subordination Agent, as agent and trustee for the trustee of the American Airlines Pass Through Trust 2025-1B, as Borrower, and Natixis, New York Branch, as Liquidity Provider (incorporated by reference to Exhibit 4.15 to American’s Current Report on Form 8-K filed on November 13, 2025 (Commission File No. 001-02691)).</w:t>
      </w:r>
    </w:p>
    <w:p>
      <w:pPr>
        <w:spacing w:after="0" w:line="1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4.158</w:t>
      </w:r>
      <w:r>
        <w:rPr>
          <w:sz w:val="20"/>
          <w:szCs w:val="20"/>
          <w:color w:val="auto"/>
        </w:rPr>
        <w:tab/>
      </w:r>
      <w:r>
        <w:rPr>
          <w:rFonts w:ascii="Arial" w:cs="Arial" w:eastAsia="Arial" w:hAnsi="Arial"/>
          <w:sz w:val="20"/>
          <w:szCs w:val="20"/>
          <w:color w:val="00162F"/>
        </w:rPr>
        <w:t>Warrant Agreement, dated as of April 20, 2020, between American Airlines Group, Inc. and the United States Department of the Treasury (incorporated by reference to Exhibit 4.3 to AAG’s Quarterly Report on Form 10-Q for the quarter ended March 31, 2020 (Commission File No. 1-8400)).</w:t>
      </w:r>
    </w:p>
    <w:p>
      <w:pPr>
        <w:spacing w:after="0" w:line="228" w:lineRule="auto"/>
        <w:tabs>
          <w:tab w:leader="none" w:pos="840" w:val="left"/>
        </w:tabs>
        <w:rPr>
          <w:sz w:val="20"/>
          <w:szCs w:val="20"/>
          <w:color w:val="auto"/>
        </w:rPr>
      </w:pPr>
      <w:r>
        <w:rPr>
          <w:rFonts w:ascii="Arial" w:cs="Arial" w:eastAsia="Arial" w:hAnsi="Arial"/>
          <w:sz w:val="20"/>
          <w:szCs w:val="20"/>
          <w:color w:val="00162F"/>
        </w:rPr>
        <w:t>4.159</w:t>
      </w:r>
      <w:r>
        <w:rPr>
          <w:sz w:val="20"/>
          <w:szCs w:val="20"/>
          <w:color w:val="auto"/>
        </w:rPr>
        <w:tab/>
      </w:r>
      <w:r>
        <w:rPr>
          <w:rFonts w:ascii="Arial" w:cs="Arial" w:eastAsia="Arial" w:hAnsi="Arial"/>
          <w:sz w:val="19"/>
          <w:szCs w:val="19"/>
          <w:color w:val="00162F"/>
        </w:rPr>
        <w:t>Form of PSP1 Warrant (incorporated by reference to Annex B to Exhibit 4.3 to AAG’s Quarterly Report on Form</w:t>
      </w:r>
    </w:p>
    <w:p>
      <w:pPr>
        <w:ind w:left="860"/>
        <w:spacing w:after="0"/>
        <w:rPr>
          <w:sz w:val="20"/>
          <w:szCs w:val="20"/>
          <w:color w:val="auto"/>
        </w:rPr>
      </w:pPr>
      <w:r>
        <w:rPr>
          <w:rFonts w:ascii="Arial" w:cs="Arial" w:eastAsia="Arial" w:hAnsi="Arial"/>
          <w:sz w:val="20"/>
          <w:szCs w:val="20"/>
          <w:color w:val="00162F"/>
        </w:rPr>
        <w:t>10-Q for the quarter ended March 31, 2020 (Commission File No. 1-8400)).</w:t>
      </w:r>
    </w:p>
    <w:p>
      <w:pPr>
        <w:spacing w:after="0" w:line="47"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4.160</w:t>
      </w:r>
      <w:r>
        <w:rPr>
          <w:sz w:val="20"/>
          <w:szCs w:val="20"/>
          <w:color w:val="auto"/>
        </w:rPr>
        <w:tab/>
      </w:r>
      <w:r>
        <w:rPr>
          <w:rFonts w:ascii="Arial" w:cs="Arial" w:eastAsia="Arial" w:hAnsi="Arial"/>
          <w:sz w:val="20"/>
          <w:szCs w:val="20"/>
          <w:color w:val="00162F"/>
        </w:rPr>
        <w:t>Warrant Agreement, dated as of September 25, 2020, between American Airlines Group, Inc. and the United States Department of the Treasury (incorporated by reference to Exhibit 4.5 to AAG’s Quarterly Report on Form 10-Q for the quarter ended September 30, 2020 (Commission File No. 1-8400)).</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4.161</w:t>
      </w:r>
      <w:r>
        <w:rPr>
          <w:sz w:val="20"/>
          <w:szCs w:val="20"/>
          <w:color w:val="auto"/>
        </w:rPr>
        <w:tab/>
      </w:r>
      <w:r>
        <w:rPr>
          <w:rFonts w:ascii="Arial" w:cs="Arial" w:eastAsia="Arial" w:hAnsi="Arial"/>
          <w:sz w:val="20"/>
          <w:szCs w:val="20"/>
          <w:color w:val="00162F"/>
        </w:rPr>
        <w:t>Form of Treasury Loan Warrant (incorporated by reference to Annex B to Exhibit 4.5 to AAG’s Quarterly Report on Form 10-Q for the quarter ended September 30, 2020 (Commission File No. 1-8400)).</w:t>
      </w:r>
    </w:p>
    <w:p>
      <w:pPr>
        <w:spacing w:after="0" w:line="13" w:lineRule="exact"/>
        <w:rPr>
          <w:sz w:val="20"/>
          <w:szCs w:val="20"/>
          <w:color w:val="auto"/>
        </w:rPr>
      </w:pPr>
    </w:p>
    <w:p>
      <w:pPr>
        <w:jc w:val="both"/>
        <w:ind w:left="860" w:hanging="845"/>
        <w:spacing w:after="0" w:line="247" w:lineRule="auto"/>
        <w:tabs>
          <w:tab w:leader="none" w:pos="840" w:val="left"/>
        </w:tabs>
        <w:rPr>
          <w:sz w:val="20"/>
          <w:szCs w:val="20"/>
          <w:color w:val="auto"/>
        </w:rPr>
      </w:pPr>
      <w:r>
        <w:rPr>
          <w:rFonts w:ascii="Arial" w:cs="Arial" w:eastAsia="Arial" w:hAnsi="Arial"/>
          <w:sz w:val="20"/>
          <w:szCs w:val="20"/>
          <w:color w:val="00162F"/>
        </w:rPr>
        <w:t>4.162</w:t>
      </w:r>
      <w:r>
        <w:rPr>
          <w:sz w:val="20"/>
          <w:szCs w:val="20"/>
          <w:color w:val="auto"/>
        </w:rPr>
        <w:tab/>
      </w:r>
      <w:r>
        <w:rPr>
          <w:rFonts w:ascii="Arial" w:cs="Arial" w:eastAsia="Arial" w:hAnsi="Arial"/>
          <w:sz w:val="20"/>
          <w:szCs w:val="20"/>
          <w:color w:val="00162F"/>
        </w:rPr>
        <w:t>Warrant Agreement, dated as of January 15, 2021, between American Airlines Group, Inc. and the United States Department of the Treasury (incorporated by reference to Exhibit 4.182 to AAG’s Annual Report on Form 10-K for the year ended December 31, 2020 (Commission File No. 1-8400)).</w:t>
      </w:r>
    </w:p>
    <w:p>
      <w:pPr>
        <w:spacing w:after="0" w:line="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4.163</w:t>
      </w:r>
      <w:r>
        <w:rPr>
          <w:sz w:val="20"/>
          <w:szCs w:val="20"/>
          <w:color w:val="auto"/>
        </w:rPr>
        <w:tab/>
      </w:r>
      <w:r>
        <w:rPr>
          <w:rFonts w:ascii="Arial" w:cs="Arial" w:eastAsia="Arial" w:hAnsi="Arial"/>
          <w:sz w:val="19"/>
          <w:szCs w:val="19"/>
          <w:color w:val="00162F"/>
        </w:rPr>
        <w:t>Form of PSP2 Warrant (incorporated by reference to Annex B to Exhibit 4.182).</w:t>
      </w:r>
    </w:p>
    <w:p>
      <w:pPr>
        <w:spacing w:after="0" w:line="52" w:lineRule="exact"/>
        <w:rPr>
          <w:sz w:val="20"/>
          <w:szCs w:val="20"/>
          <w:color w:val="auto"/>
        </w:rPr>
      </w:pPr>
    </w:p>
    <w:p>
      <w:pPr>
        <w:jc w:val="both"/>
        <w:ind w:left="860" w:hanging="845"/>
        <w:spacing w:after="0" w:line="247" w:lineRule="auto"/>
        <w:tabs>
          <w:tab w:leader="none" w:pos="840" w:val="left"/>
        </w:tabs>
        <w:rPr>
          <w:sz w:val="20"/>
          <w:szCs w:val="20"/>
          <w:color w:val="auto"/>
        </w:rPr>
      </w:pPr>
      <w:r>
        <w:rPr>
          <w:rFonts w:ascii="Arial" w:cs="Arial" w:eastAsia="Arial" w:hAnsi="Arial"/>
          <w:sz w:val="20"/>
          <w:szCs w:val="20"/>
          <w:color w:val="00162F"/>
        </w:rPr>
        <w:t>4.164</w:t>
      </w:r>
      <w:r>
        <w:rPr>
          <w:sz w:val="20"/>
          <w:szCs w:val="20"/>
          <w:color w:val="auto"/>
        </w:rPr>
        <w:tab/>
      </w:r>
      <w:r>
        <w:rPr>
          <w:rFonts w:ascii="Arial" w:cs="Arial" w:eastAsia="Arial" w:hAnsi="Arial"/>
          <w:sz w:val="20"/>
          <w:szCs w:val="20"/>
          <w:color w:val="00162F"/>
        </w:rPr>
        <w:t>Warrant Agreement, dated as of April 23, 2021, between American Airlines Group Inc. and the United States Department of the Treasury (incorporated by reference to Exhibit 4.1 to AAG’s Quarterly Report on Form 10-Q for the quarter ended June 30, 2021 (Commission File No. 1-8400)).</w:t>
      </w:r>
    </w:p>
    <w:p>
      <w:pPr>
        <w:spacing w:after="0"/>
        <w:tabs>
          <w:tab w:leader="none" w:pos="840" w:val="left"/>
        </w:tabs>
        <w:rPr>
          <w:sz w:val="20"/>
          <w:szCs w:val="20"/>
          <w:color w:val="auto"/>
        </w:rPr>
      </w:pPr>
      <w:r>
        <w:rPr>
          <w:rFonts w:ascii="Arial" w:cs="Arial" w:eastAsia="Arial" w:hAnsi="Arial"/>
          <w:sz w:val="20"/>
          <w:szCs w:val="20"/>
          <w:color w:val="00162F"/>
        </w:rPr>
        <w:t>4.165</w:t>
      </w:r>
      <w:r>
        <w:rPr>
          <w:sz w:val="20"/>
          <w:szCs w:val="20"/>
          <w:color w:val="auto"/>
        </w:rPr>
        <w:tab/>
      </w:r>
      <w:r>
        <w:rPr>
          <w:rFonts w:ascii="Arial" w:cs="Arial" w:eastAsia="Arial" w:hAnsi="Arial"/>
          <w:sz w:val="19"/>
          <w:szCs w:val="19"/>
          <w:color w:val="00162F"/>
        </w:rPr>
        <w:t>Form of PSP3 Warrant (incorporated by reference to Annex B to Exhibit 4.1 to AAG’s Quarterly Report on Form</w:t>
      </w:r>
    </w:p>
    <w:p>
      <w:pPr>
        <w:ind w:left="860"/>
        <w:spacing w:after="0"/>
        <w:rPr>
          <w:sz w:val="20"/>
          <w:szCs w:val="20"/>
          <w:color w:val="auto"/>
        </w:rPr>
      </w:pPr>
      <w:r>
        <w:rPr>
          <w:rFonts w:ascii="Arial" w:cs="Arial" w:eastAsia="Arial" w:hAnsi="Arial"/>
          <w:sz w:val="20"/>
          <w:szCs w:val="20"/>
          <w:color w:val="00162F"/>
        </w:rPr>
        <w:t>10-Q for the quarter ended June 30, 2021 (Commission File No. 1-8400)).</w:t>
      </w:r>
    </w:p>
    <w:p>
      <w:pPr>
        <w:spacing w:after="0" w:line="3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4.166</w:t>
      </w:r>
      <w:r>
        <w:rPr>
          <w:sz w:val="20"/>
          <w:szCs w:val="20"/>
          <w:color w:val="auto"/>
        </w:rPr>
        <w:tab/>
      </w:r>
      <w:r>
        <w:rPr>
          <w:rFonts w:ascii="Arial" w:cs="Arial" w:eastAsia="Arial" w:hAnsi="Arial"/>
          <w:sz w:val="20"/>
          <w:szCs w:val="20"/>
          <w:color w:val="00162F"/>
        </w:rPr>
        <w:t>Indenture, dated as of March 24, 2021, by and among American Airlines, Inc., AAdvantage Loyalty IP Ltd., American Airlines Group Inc., AAdvantage Holdings 1, Ltd. and AAdvantage Holdings 2, Ltd. and Wilmington Trust, National Association, as trustee (incorporated by reference to Exhibit 4.3 to AAG’s Quarterly Report on Form 10-Q for the quarter ended March 31, 2021 (Commission File No. 1-8400)).</w:t>
      </w:r>
    </w:p>
    <w:p>
      <w:pPr>
        <w:spacing w:after="0" w:line="8" w:lineRule="exact"/>
        <w:rPr>
          <w:sz w:val="20"/>
          <w:szCs w:val="20"/>
          <w:color w:val="auto"/>
        </w:rPr>
      </w:pPr>
    </w:p>
    <w:p>
      <w:pPr>
        <w:jc w:val="both"/>
        <w:ind w:left="860" w:hanging="845"/>
        <w:spacing w:after="0" w:line="247" w:lineRule="auto"/>
        <w:tabs>
          <w:tab w:leader="none" w:pos="840" w:val="left"/>
        </w:tabs>
        <w:rPr>
          <w:sz w:val="20"/>
          <w:szCs w:val="20"/>
          <w:color w:val="auto"/>
        </w:rPr>
      </w:pPr>
      <w:r>
        <w:rPr>
          <w:rFonts w:ascii="Arial" w:cs="Arial" w:eastAsia="Arial" w:hAnsi="Arial"/>
          <w:sz w:val="20"/>
          <w:szCs w:val="20"/>
          <w:color w:val="00162F"/>
        </w:rPr>
        <w:t>4.167</w:t>
      </w:r>
      <w:r>
        <w:rPr>
          <w:sz w:val="20"/>
          <w:szCs w:val="20"/>
          <w:color w:val="auto"/>
        </w:rPr>
        <w:tab/>
      </w:r>
      <w:r>
        <w:rPr>
          <w:rFonts w:ascii="Arial" w:cs="Arial" w:eastAsia="Arial" w:hAnsi="Arial"/>
          <w:sz w:val="20"/>
          <w:szCs w:val="20"/>
          <w:color w:val="00162F"/>
        </w:rPr>
        <w:t>First Supplemental Indenture, dated as of August 27, 2021, among Madrid IP Lux GP S.à r.l., Madrid IP Lux Holdco SCS, Madrid IP Lux Holdco 2 SCS, AAdvantage Loyalty IP Ltd., American Airlines, Inc. and Wilmington Trust, National Association, as trustee, to the Indenture dated as of March 24, 2021.</w:t>
      </w:r>
    </w:p>
    <w:p>
      <w:pPr>
        <w:spacing w:after="0" w:line="3" w:lineRule="exact"/>
        <w:rPr>
          <w:sz w:val="20"/>
          <w:szCs w:val="20"/>
          <w:color w:val="auto"/>
        </w:rPr>
      </w:pPr>
    </w:p>
    <w:p>
      <w:pPr>
        <w:jc w:val="both"/>
        <w:ind w:left="860" w:hanging="845"/>
        <w:spacing w:after="0" w:line="255" w:lineRule="auto"/>
        <w:tabs>
          <w:tab w:leader="none" w:pos="840" w:val="left"/>
        </w:tabs>
        <w:rPr>
          <w:sz w:val="20"/>
          <w:szCs w:val="20"/>
          <w:color w:val="auto"/>
        </w:rPr>
      </w:pPr>
      <w:r>
        <w:rPr>
          <w:rFonts w:ascii="Arial" w:cs="Arial" w:eastAsia="Arial" w:hAnsi="Arial"/>
          <w:sz w:val="20"/>
          <w:szCs w:val="20"/>
          <w:color w:val="00162F"/>
        </w:rPr>
        <w:t>4.168</w:t>
      </w:r>
      <w:r>
        <w:rPr>
          <w:sz w:val="20"/>
          <w:szCs w:val="20"/>
          <w:color w:val="auto"/>
        </w:rPr>
        <w:tab/>
      </w:r>
      <w:r>
        <w:rPr>
          <w:rFonts w:ascii="Arial" w:cs="Arial" w:eastAsia="Arial" w:hAnsi="Arial"/>
          <w:sz w:val="20"/>
          <w:szCs w:val="20"/>
          <w:color w:val="00162F"/>
        </w:rPr>
        <w:t>Form of 5.50% Senior Secured Notes due 2026 (incorporated by reference as Exhibit A-1 to Exhibit 4.3 to AAG’s Quarterly Report on Form 10-Q for the quarter ended March 31, 2021 (Commission File No. 1-8400)).</w:t>
      </w:r>
    </w:p>
    <w:p>
      <w:pPr>
        <w:spacing w:after="0" w:line="1" w:lineRule="exact"/>
        <w:rPr>
          <w:sz w:val="20"/>
          <w:szCs w:val="20"/>
          <w:color w:val="auto"/>
        </w:rPr>
      </w:pPr>
    </w:p>
    <w:p>
      <w:pPr>
        <w:jc w:val="both"/>
        <w:ind w:left="860" w:hanging="845"/>
        <w:spacing w:after="0" w:line="265" w:lineRule="auto"/>
        <w:tabs>
          <w:tab w:leader="none" w:pos="840" w:val="left"/>
        </w:tabs>
        <w:rPr>
          <w:sz w:val="20"/>
          <w:szCs w:val="20"/>
          <w:color w:val="auto"/>
        </w:rPr>
      </w:pPr>
      <w:r>
        <w:rPr>
          <w:rFonts w:ascii="Arial" w:cs="Arial" w:eastAsia="Arial" w:hAnsi="Arial"/>
          <w:sz w:val="20"/>
          <w:szCs w:val="20"/>
          <w:color w:val="00162F"/>
        </w:rPr>
        <w:t>4.169</w:t>
      </w:r>
      <w:r>
        <w:rPr>
          <w:sz w:val="20"/>
          <w:szCs w:val="20"/>
          <w:color w:val="auto"/>
        </w:rPr>
        <w:tab/>
      </w:r>
      <w:r>
        <w:rPr>
          <w:rFonts w:ascii="Arial" w:cs="Arial" w:eastAsia="Arial" w:hAnsi="Arial"/>
          <w:sz w:val="20"/>
          <w:szCs w:val="20"/>
          <w:color w:val="00162F"/>
        </w:rPr>
        <w:t>Form of 5.75% Senior Secured Notes due 2029 (incorporated by reference as Exhibit A-2 to Exhibit 4.3 to AAG’s Quarterly Report on Form 10-Q for the quarter ended March 31, 2021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187</w:t>
      </w:r>
    </w:p>
    <w:p>
      <w:pPr>
        <w:sectPr>
          <w:pgSz w:w="11880" w:h="15480" w:orient="portrait"/>
          <w:cols w:equalWidth="0" w:num="1">
            <w:col w:w="10600"/>
          </w:cols>
          <w:pgMar w:left="640" w:top="1071" w:right="640" w:bottom="0" w:gutter="0" w:footer="0" w:header="0"/>
          <w:type w:val="continuous"/>
        </w:sectPr>
      </w:pPr>
    </w:p>
    <w:bookmarkStart w:id="188" w:name="page189"/>
    <w:bookmarkEnd w:id="188"/>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4.170</w:t>
      </w:r>
      <w:r>
        <w:rPr>
          <w:sz w:val="20"/>
          <w:szCs w:val="20"/>
          <w:color w:val="auto"/>
        </w:rPr>
        <w:tab/>
      </w:r>
      <w:r>
        <w:rPr>
          <w:rFonts w:ascii="Arial" w:cs="Arial" w:eastAsia="Arial" w:hAnsi="Arial"/>
          <w:sz w:val="20"/>
          <w:szCs w:val="20"/>
          <w:color w:val="00162F"/>
        </w:rPr>
        <w:t>Indenture, dated as of February 15, 2023, by and among American Airlines, Inc., American Airlines Group Inc. and Wilmington Trust, National Association, as trustee and as collateral agent (incorporated by reference to Exhibit 4.1 to AAG’s Current Report on Form 8-K filed on February 15, 2023 (Commission File No. 1-8400)).</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4.171</w:t>
      </w:r>
      <w:r>
        <w:rPr>
          <w:sz w:val="20"/>
          <w:szCs w:val="20"/>
          <w:color w:val="auto"/>
        </w:rPr>
        <w:tab/>
      </w:r>
      <w:r>
        <w:rPr>
          <w:rFonts w:ascii="Arial" w:cs="Arial" w:eastAsia="Arial" w:hAnsi="Arial"/>
          <w:sz w:val="20"/>
          <w:szCs w:val="20"/>
          <w:color w:val="00162F"/>
        </w:rPr>
        <w:t>Form of 7.25% Senior Secured Notes due 2028 (incorporated by reference to Exhibit A to Exhibit 4.1 of AAG’s Current Report on Form 8-K filed on February 15, 2023 (Commission File No. 1-8400)).</w:t>
      </w:r>
    </w:p>
    <w:p>
      <w:pPr>
        <w:spacing w:after="0" w:line="13"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4.172</w:t>
      </w:r>
      <w:r>
        <w:rPr>
          <w:sz w:val="20"/>
          <w:szCs w:val="20"/>
          <w:color w:val="auto"/>
        </w:rPr>
        <w:tab/>
      </w:r>
      <w:r>
        <w:rPr>
          <w:rFonts w:ascii="Arial" w:cs="Arial" w:eastAsia="Arial" w:hAnsi="Arial"/>
          <w:sz w:val="20"/>
          <w:szCs w:val="20"/>
          <w:color w:val="00162F"/>
        </w:rPr>
        <w:t>Indenture, dated as of December 4, 2023, by and among American Airlines, Inc., American Airlines Group Inc. and Wilmington Trust, National Association, as trustee and as collateral trustee (incorporated by reference to Exhibit 4.1 to AAG’s Current Report on Form 8-K filed on December 4, 2023 (Commission File No. 1-8400)).</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4.173</w:t>
      </w:r>
      <w:r>
        <w:rPr>
          <w:sz w:val="20"/>
          <w:szCs w:val="20"/>
          <w:color w:val="auto"/>
        </w:rPr>
        <w:tab/>
      </w:r>
      <w:r>
        <w:rPr>
          <w:rFonts w:ascii="Arial" w:cs="Arial" w:eastAsia="Arial" w:hAnsi="Arial"/>
          <w:sz w:val="20"/>
          <w:szCs w:val="20"/>
          <w:color w:val="00162F"/>
        </w:rPr>
        <w:t>Form of 8.50% Senior Secured Notes due 2029 (incorporated by reference to Exhibit A to Exhibit 4.1 of AAG’s Current Report on Form 8-K filed on December 4, 2023 (Commission File No. 1-8400)).</w:t>
      </w:r>
    </w:p>
    <w:p>
      <w:pPr>
        <w:spacing w:after="0" w:line="13" w:lineRule="exact"/>
        <w:rPr>
          <w:sz w:val="20"/>
          <w:szCs w:val="20"/>
          <w:color w:val="auto"/>
        </w:rPr>
      </w:pPr>
    </w:p>
    <w:p>
      <w:pPr>
        <w:jc w:val="both"/>
        <w:ind w:left="860" w:hanging="845"/>
        <w:spacing w:after="0"/>
        <w:tabs>
          <w:tab w:leader="none" w:pos="840" w:val="left"/>
        </w:tabs>
        <w:rPr>
          <w:sz w:val="20"/>
          <w:szCs w:val="20"/>
          <w:color w:val="auto"/>
        </w:rPr>
      </w:pPr>
      <w:r>
        <w:rPr>
          <w:rFonts w:ascii="Arial" w:cs="Arial" w:eastAsia="Arial" w:hAnsi="Arial"/>
          <w:sz w:val="20"/>
          <w:szCs w:val="20"/>
          <w:color w:val="00162F"/>
        </w:rPr>
        <w:t>4.174</w:t>
      </w:r>
      <w:r>
        <w:rPr>
          <w:sz w:val="20"/>
          <w:szCs w:val="20"/>
          <w:color w:val="auto"/>
        </w:rPr>
        <w:tab/>
      </w:r>
      <w:r>
        <w:rPr>
          <w:rFonts w:ascii="Arial" w:cs="Arial" w:eastAsia="Arial" w:hAnsi="Arial"/>
          <w:sz w:val="20"/>
          <w:szCs w:val="20"/>
          <w:color w:val="00162F"/>
        </w:rPr>
        <w:t>Tax Benefit Preservation Plan, dated as of December 21, 2021, between American Airlines Group Inc. and American Stock Transfer &amp; Trust Company, LLC, which includes the Form of Certificate of Designations of Series B Junior Participating Preferred Stock as Exhibit A, the Form of Right Certificate as Exhibit B and the Summary of Rights to Purchase Preferred Shares as Exhibit C (incorporated by reference to Exhibit 4.1 to AAG’s Current Report on Form 8-K filed on December 22, 2021 (Commission File No. 1-8400)).</w:t>
      </w:r>
    </w:p>
    <w:p>
      <w:pPr>
        <w:spacing w:after="0" w:line="23"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4.175</w:t>
      </w:r>
      <w:r>
        <w:rPr>
          <w:sz w:val="20"/>
          <w:szCs w:val="20"/>
          <w:color w:val="auto"/>
        </w:rPr>
        <w:tab/>
      </w:r>
      <w:r>
        <w:rPr>
          <w:rFonts w:ascii="Arial" w:cs="Arial" w:eastAsia="Arial" w:hAnsi="Arial"/>
          <w:sz w:val="20"/>
          <w:szCs w:val="20"/>
          <w:color w:val="00162F"/>
        </w:rPr>
        <w:t>Amendment No. 1 to the Tax Benefit Preservation Plan, dated as of October 31, 2024, by and between American Airlines Group Inc. and Equiniti Trust Company, LLC, as rights agent. (incorporated by reference to Exhibit 4.1 to AAG’s Current Report on Form 8-K filed on November 1, 2024 (Commission File No. 1-8400)).</w:t>
      </w:r>
    </w:p>
    <w:p>
      <w:pPr>
        <w:spacing w:after="0" w:line="10"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w:t>
      </w:r>
      <w:r>
        <w:rPr>
          <w:sz w:val="20"/>
          <w:szCs w:val="20"/>
          <w:color w:val="auto"/>
        </w:rPr>
        <w:tab/>
      </w:r>
      <w:r>
        <w:rPr>
          <w:rFonts w:ascii="Arial" w:cs="Arial" w:eastAsia="Arial" w:hAnsi="Arial"/>
          <w:sz w:val="20"/>
          <w:szCs w:val="20"/>
          <w:color w:val="00162F"/>
        </w:rPr>
        <w:t>Payroll Support Program Agreement, dated as of April 20, 2020, between American Airlines, Inc. and the United States Department of the Treasury (incorporated by reference to Exhibit 10.5 to AAG’s Quarterly Report on Form 10-Q for the quarter ended March 31, 2020 (Commission File No. 1-8400)).</w:t>
      </w:r>
    </w:p>
    <w:p>
      <w:pPr>
        <w:spacing w:after="0" w:line="10"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10.2</w:t>
      </w:r>
      <w:r>
        <w:rPr>
          <w:sz w:val="20"/>
          <w:szCs w:val="20"/>
          <w:color w:val="auto"/>
        </w:rPr>
        <w:tab/>
      </w:r>
      <w:r>
        <w:rPr>
          <w:rFonts w:ascii="Arial" w:cs="Arial" w:eastAsia="Arial" w:hAnsi="Arial"/>
          <w:sz w:val="20"/>
          <w:szCs w:val="20"/>
          <w:color w:val="00162F"/>
        </w:rPr>
        <w:t>Promissory Note, dated as of April 20, 2020, issued by American Airlines Group Inc. in the name of the United States Department of the Treasury and guaranteed by American Airlines, Inc., Envoy Air Inc., Piedmont Airlines, Inc. and PSA Airlines, Inc. (incorporated by reference to Exhibit 10.6 to AAG’s Quarterly Report on Form 10-Q for the quarter ended March 31, 2020 (Commission File No. 1-8400)).</w:t>
      </w:r>
    </w:p>
    <w:p>
      <w:pPr>
        <w:spacing w:after="0" w:line="21" w:lineRule="exact"/>
        <w:rPr>
          <w:sz w:val="20"/>
          <w:szCs w:val="20"/>
          <w:color w:val="auto"/>
        </w:rPr>
      </w:pPr>
    </w:p>
    <w:p>
      <w:pPr>
        <w:jc w:val="both"/>
        <w:ind w:left="860" w:hanging="845"/>
        <w:spacing w:after="0" w:line="247" w:lineRule="auto"/>
        <w:tabs>
          <w:tab w:leader="none" w:pos="840" w:val="left"/>
        </w:tabs>
        <w:rPr>
          <w:sz w:val="20"/>
          <w:szCs w:val="20"/>
          <w:color w:val="auto"/>
        </w:rPr>
      </w:pPr>
      <w:r>
        <w:rPr>
          <w:rFonts w:ascii="Arial" w:cs="Arial" w:eastAsia="Arial" w:hAnsi="Arial"/>
          <w:sz w:val="20"/>
          <w:szCs w:val="20"/>
          <w:color w:val="00162F"/>
        </w:rPr>
        <w:t>10.3</w:t>
      </w:r>
      <w:r>
        <w:rPr>
          <w:sz w:val="20"/>
          <w:szCs w:val="20"/>
          <w:color w:val="auto"/>
        </w:rPr>
        <w:tab/>
      </w:r>
      <w:r>
        <w:rPr>
          <w:rFonts w:ascii="Arial" w:cs="Arial" w:eastAsia="Arial" w:hAnsi="Arial"/>
          <w:sz w:val="20"/>
          <w:szCs w:val="20"/>
          <w:color w:val="00162F"/>
        </w:rPr>
        <w:t>Payroll Support Program Extension Agreement, dated as of January 15, 2021, between American Airlines, Inc. and the United States Department of the Treasury (incorporated by reference to Exhibit 10.3 to AAG’s Annual Report on Form 10-K for the year ended December 31, 2020 (Commission File No. 1-8400)).</w:t>
      </w:r>
    </w:p>
    <w:p>
      <w:pPr>
        <w:spacing w:after="0" w:line="3" w:lineRule="exact"/>
        <w:rPr>
          <w:sz w:val="20"/>
          <w:szCs w:val="20"/>
          <w:color w:val="auto"/>
        </w:rPr>
      </w:pPr>
    </w:p>
    <w:p>
      <w:pPr>
        <w:jc w:val="both"/>
        <w:ind w:left="860" w:hanging="845"/>
        <w:spacing w:after="0" w:line="249" w:lineRule="auto"/>
        <w:tabs>
          <w:tab w:leader="none" w:pos="840" w:val="left"/>
        </w:tabs>
        <w:rPr>
          <w:sz w:val="20"/>
          <w:szCs w:val="20"/>
          <w:color w:val="auto"/>
        </w:rPr>
      </w:pPr>
      <w:r>
        <w:rPr>
          <w:rFonts w:ascii="Arial" w:cs="Arial" w:eastAsia="Arial" w:hAnsi="Arial"/>
          <w:sz w:val="20"/>
          <w:szCs w:val="20"/>
          <w:color w:val="00162F"/>
        </w:rPr>
        <w:t>10.4</w:t>
      </w:r>
      <w:r>
        <w:rPr>
          <w:sz w:val="20"/>
          <w:szCs w:val="20"/>
          <w:color w:val="auto"/>
        </w:rPr>
        <w:tab/>
      </w:r>
      <w:r>
        <w:rPr>
          <w:rFonts w:ascii="Arial" w:cs="Arial" w:eastAsia="Arial" w:hAnsi="Arial"/>
          <w:sz w:val="20"/>
          <w:szCs w:val="20"/>
          <w:color w:val="00162F"/>
        </w:rPr>
        <w:t>Promissory Note, dated as of January 15, 2021, issued by American Airlines Group Inc. in the name of the United States Department of the Treasury and guaranteed by American Airlines, Inc., Envoy Air Inc., Piedmont Airlines, Inc. and PSA Airlines, Inc. (incorporated by reference to Exhibit 10.4 to AAG’s Annual Report on Form 10-K for the year ended December 31, 2020 (Commission File No. 1-8400)).</w:t>
      </w:r>
    </w:p>
    <w:p>
      <w:pPr>
        <w:spacing w:after="0" w:line="11"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10.5</w:t>
      </w:r>
      <w:r>
        <w:rPr>
          <w:sz w:val="20"/>
          <w:szCs w:val="20"/>
          <w:color w:val="auto"/>
        </w:rPr>
        <w:tab/>
      </w:r>
      <w:r>
        <w:rPr>
          <w:rFonts w:ascii="Arial" w:cs="Arial" w:eastAsia="Arial" w:hAnsi="Arial"/>
          <w:sz w:val="20"/>
          <w:szCs w:val="20"/>
          <w:color w:val="00162F"/>
        </w:rPr>
        <w:t>Payroll Support Program 3 Agreement, dated as of April 23, 2021, between American Airlines, Inc. and the United States Department of the Treasury (incorporated by reference to Exhibit 10.1 to AAG’s Quarterly Report on Form 10-Q for the quarter ended June 30, 2021 (Commission File No. 1-8400)).</w:t>
      </w:r>
    </w:p>
    <w:p>
      <w:pPr>
        <w:spacing w:after="0" w:line="2"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10.6</w:t>
      </w:r>
      <w:r>
        <w:rPr>
          <w:sz w:val="20"/>
          <w:szCs w:val="20"/>
          <w:color w:val="auto"/>
        </w:rPr>
        <w:tab/>
      </w:r>
      <w:r>
        <w:rPr>
          <w:rFonts w:ascii="Arial" w:cs="Arial" w:eastAsia="Arial" w:hAnsi="Arial"/>
          <w:sz w:val="20"/>
          <w:szCs w:val="20"/>
          <w:color w:val="00162F"/>
        </w:rPr>
        <w:t>Promissory Note, dated as of April 23, 2021, issued by American Airlines Group Inc. in the name of the United States Department of the Treasury and guaranteed by American Airlines, Inc., Envoy Air Inc., Piedmont Airlines, Inc. and PSA Airlines, Inc. (incorporated by reference to Exhibit 10.2 to AAG’s Quarterly Report on Form 10-Q for the quarter ended June 30, 2021 (Commission File No. 1-8400)).</w:t>
      </w:r>
    </w:p>
    <w:p>
      <w:pPr>
        <w:spacing w:after="0" w:line="8"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10.7</w:t>
      </w:r>
      <w:r>
        <w:rPr>
          <w:sz w:val="20"/>
          <w:szCs w:val="20"/>
          <w:color w:val="auto"/>
        </w:rPr>
        <w:tab/>
      </w:r>
      <w:r>
        <w:rPr>
          <w:rFonts w:ascii="Arial" w:cs="Arial" w:eastAsia="Arial" w:hAnsi="Arial"/>
          <w:sz w:val="20"/>
          <w:szCs w:val="20"/>
          <w:color w:val="00162F"/>
        </w:rPr>
        <w:t>Amendment, dated as of June 30, 2022, to the Promissory Notes and the Warrants issued by American Airlines Group Inc. to the United States Department of the Treasury (incorporated by reference to Exhibit 10.3 to AAG’s Quarterly Report on Form 10-Q for the quarter ended June 30, 2022 (Commission File No. 1-8400)).</w:t>
      </w:r>
    </w:p>
    <w:p>
      <w:pPr>
        <w:spacing w:after="0" w:line="39"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10.8</w:t>
      </w:r>
      <w:r>
        <w:rPr>
          <w:sz w:val="20"/>
          <w:szCs w:val="20"/>
          <w:color w:val="auto"/>
        </w:rPr>
        <w:tab/>
      </w:r>
      <w:r>
        <w:rPr>
          <w:rFonts w:ascii="Arial" w:cs="Arial" w:eastAsia="Arial" w:hAnsi="Arial"/>
          <w:sz w:val="20"/>
          <w:szCs w:val="20"/>
          <w:color w:val="00162F"/>
        </w:rPr>
        <w:t>Loan and Guarantee Agreement, dated as of September 25, 2020, among American Airlines, Inc., American Airlines Group Inc., the other guarantors party thereto from time to time, the United States Department of the Treasury and the Bank of New York Mellon, as administrative and collateral agent (incorporated by reference to Exhibit 10.1 to AAG’s Quarterly Report on Form 10-Q for the quarter ended September 30, 2020 (Commission File No. 1-8400).</w:t>
      </w:r>
    </w:p>
    <w:p>
      <w:pPr>
        <w:spacing w:after="0" w:line="15" w:lineRule="exact"/>
        <w:rPr>
          <w:sz w:val="20"/>
          <w:szCs w:val="20"/>
          <w:color w:val="auto"/>
        </w:rPr>
      </w:pPr>
    </w:p>
    <w:p>
      <w:pPr>
        <w:jc w:val="both"/>
        <w:ind w:left="860" w:hanging="845"/>
        <w:spacing w:after="0"/>
        <w:tabs>
          <w:tab w:leader="none" w:pos="840" w:val="left"/>
        </w:tabs>
        <w:rPr>
          <w:sz w:val="20"/>
          <w:szCs w:val="20"/>
          <w:color w:val="auto"/>
        </w:rPr>
      </w:pPr>
      <w:r>
        <w:rPr>
          <w:rFonts w:ascii="Arial" w:cs="Arial" w:eastAsia="Arial" w:hAnsi="Arial"/>
          <w:sz w:val="20"/>
          <w:szCs w:val="20"/>
          <w:color w:val="00162F"/>
        </w:rPr>
        <w:t>10.9</w:t>
      </w:r>
      <w:r>
        <w:rPr>
          <w:sz w:val="20"/>
          <w:szCs w:val="20"/>
          <w:color w:val="auto"/>
        </w:rPr>
        <w:tab/>
      </w:r>
      <w:r>
        <w:rPr>
          <w:rFonts w:ascii="Arial" w:cs="Arial" w:eastAsia="Arial" w:hAnsi="Arial"/>
          <w:sz w:val="20"/>
          <w:szCs w:val="20"/>
          <w:color w:val="00162F"/>
        </w:rPr>
        <w:t>Restatement Agreement, dated as of October 21, 2020, to Loan and Guarantee Agreement, dated as of September 25, 2020, among American Airlines, Inc., American Airlines Group Inc., the other guarantors party thereto from time to time, the United States Department of the Treasury and the Bank of New York Mellon, as administrative and collateral agent (incorporated by reference to Exhibit 10.6 to AAG’s Annual Report on Form 10-K for the year ended December 31, 2020 (Commission File No. 1-8400)).**</w:t>
      </w:r>
    </w:p>
    <w:p>
      <w:pPr>
        <w:spacing w:after="0" w:line="23" w:lineRule="exact"/>
        <w:rPr>
          <w:sz w:val="20"/>
          <w:szCs w:val="20"/>
          <w:color w:val="auto"/>
        </w:rPr>
      </w:pPr>
    </w:p>
    <w:p>
      <w:pPr>
        <w:jc w:val="both"/>
        <w:ind w:left="860" w:hanging="845"/>
        <w:spacing w:after="0"/>
        <w:tabs>
          <w:tab w:leader="none" w:pos="840" w:val="left"/>
        </w:tabs>
        <w:rPr>
          <w:sz w:val="20"/>
          <w:szCs w:val="20"/>
          <w:color w:val="auto"/>
        </w:rPr>
      </w:pPr>
      <w:r>
        <w:rPr>
          <w:rFonts w:ascii="Arial" w:cs="Arial" w:eastAsia="Arial" w:hAnsi="Arial"/>
          <w:sz w:val="20"/>
          <w:szCs w:val="20"/>
          <w:color w:val="00162F"/>
        </w:rPr>
        <w:t>10.10</w:t>
      </w:r>
      <w:r>
        <w:rPr>
          <w:sz w:val="20"/>
          <w:szCs w:val="20"/>
          <w:color w:val="auto"/>
        </w:rPr>
        <w:tab/>
      </w:r>
      <w:r>
        <w:rPr>
          <w:rFonts w:ascii="Arial" w:cs="Arial" w:eastAsia="Arial" w:hAnsi="Arial"/>
          <w:sz w:val="20"/>
          <w:szCs w:val="20"/>
          <w:color w:val="00162F"/>
        </w:rPr>
        <w:t>Letter Agreement, dated as of January 15, 2021, to Loan and Guarantee Agreement, dated as of September 25, 2020, among American Airlines, Inc., American Airlines Group Inc., the other guarantors party thereto from time to time, the United States Department of the Treasury and the Bank of New York Mellon, as administrative and collateral agent (incorporated by reference to Exhibit 10.7 to AAG’s Annual Report on Form 10-K for the year ended December 31, 2020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188</w:t>
      </w:r>
    </w:p>
    <w:p>
      <w:pPr>
        <w:sectPr>
          <w:pgSz w:w="11880" w:h="15480" w:orient="portrait"/>
          <w:cols w:equalWidth="0" w:num="1">
            <w:col w:w="10600"/>
          </w:cols>
          <w:pgMar w:left="640" w:top="1071" w:right="640" w:bottom="0" w:gutter="0" w:footer="0" w:header="0"/>
          <w:type w:val="continuous"/>
        </w:sectPr>
      </w:pPr>
    </w:p>
    <w:bookmarkStart w:id="189" w:name="page190"/>
    <w:bookmarkEnd w:id="189"/>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15" w:lineRule="auto"/>
        <w:tabs>
          <w:tab w:leader="none" w:pos="840" w:val="left"/>
        </w:tabs>
        <w:rPr>
          <w:sz w:val="20"/>
          <w:szCs w:val="20"/>
          <w:color w:val="auto"/>
        </w:rPr>
      </w:pPr>
      <w:r>
        <w:rPr>
          <w:rFonts w:ascii="Arial" w:cs="Arial" w:eastAsia="Arial" w:hAnsi="Arial"/>
          <w:sz w:val="20"/>
          <w:szCs w:val="20"/>
          <w:color w:val="00162F"/>
        </w:rPr>
        <w:t>10.11</w:t>
      </w:r>
      <w:r>
        <w:rPr>
          <w:sz w:val="20"/>
          <w:szCs w:val="20"/>
          <w:color w:val="auto"/>
        </w:rPr>
        <w:tab/>
      </w:r>
      <w:r>
        <w:rPr>
          <w:rFonts w:ascii="Arial" w:cs="Arial" w:eastAsia="Arial" w:hAnsi="Arial"/>
          <w:sz w:val="20"/>
          <w:szCs w:val="20"/>
          <w:color w:val="00162F"/>
        </w:rPr>
        <w:t>Amended and Restated Credit and Guaranty Agreement, dated as of December 15, 2016, amending the Loan Agreement, dated as of May 23, 2013, among American Airlines, Inc. (as successor in interest to US Airways, Inc., as borrower), as the borrower, American Airlines Group Inc., as parent and guarantor (as successor in interest to US Airways Group, Inc., as parent and guarantor), the lenders from time to time party thereto, Citibank N.A., as administrative agent and collateral agent (as successor in interest to Citicorp North America Inc., as administrative agent and collateral agent), and certain other parties thereto. (incorporated by reference to Exhibit 10.1 to AAG’s Annual Report on Form 10-K for the year ended December 31, 2016 (Commission File No. 1-8400)).</w:t>
      </w:r>
    </w:p>
    <w:p>
      <w:pPr>
        <w:spacing w:after="0" w:line="15" w:lineRule="exact"/>
        <w:rPr>
          <w:sz w:val="20"/>
          <w:szCs w:val="20"/>
          <w:color w:val="auto"/>
        </w:rPr>
      </w:pPr>
    </w:p>
    <w:p>
      <w:pPr>
        <w:jc w:val="both"/>
        <w:ind w:left="860" w:hanging="845"/>
        <w:spacing w:after="0" w:line="214" w:lineRule="auto"/>
        <w:tabs>
          <w:tab w:leader="none" w:pos="840" w:val="left"/>
        </w:tabs>
        <w:rPr>
          <w:sz w:val="20"/>
          <w:szCs w:val="20"/>
          <w:color w:val="auto"/>
        </w:rPr>
      </w:pPr>
      <w:r>
        <w:rPr>
          <w:rFonts w:ascii="Arial" w:cs="Arial" w:eastAsia="Arial" w:hAnsi="Arial"/>
          <w:sz w:val="20"/>
          <w:szCs w:val="20"/>
          <w:color w:val="00162F"/>
        </w:rPr>
        <w:t>10.12</w:t>
      </w:r>
      <w:r>
        <w:rPr>
          <w:sz w:val="20"/>
          <w:szCs w:val="20"/>
          <w:color w:val="auto"/>
        </w:rPr>
        <w:tab/>
      </w:r>
      <w:r>
        <w:rPr>
          <w:rFonts w:ascii="Arial" w:cs="Arial" w:eastAsia="Arial" w:hAnsi="Arial"/>
          <w:sz w:val="20"/>
          <w:szCs w:val="20"/>
          <w:color w:val="00162F"/>
        </w:rPr>
        <w:t>First Amendment to Amended and Restated Credit and Guaranty Agreement, dated as of November 14, 2017, amending the Amended and Restated Credit and Guaranty Agreement, dated as of December 15, 2016, amending the Loan Agreement, dated as of May 23, 2013, among American Airlines, Inc. (as successor in interest to US Airways, Inc., as borrower), as the borrower, American Airlines Group Inc., as parent and guarantor (as successor in interest to US Airways Group, Inc., as parent and guarantor), the lenders from time to time party thereto, Citibank N.A., as administrative agent and collateral agent (as successor in interest to Citicorp North America Inc., as administrative agent and collateral agent), and certain other parties thereto (incorporated by reference to Exhibit 10.2 to AAG’s Annual Report on Form 10-K for the year ended December 31, 2017 (Commission File No. 1-8400)).</w:t>
      </w:r>
    </w:p>
    <w:p>
      <w:pPr>
        <w:spacing w:after="0" w:line="10" w:lineRule="exact"/>
        <w:rPr>
          <w:sz w:val="20"/>
          <w:szCs w:val="20"/>
          <w:color w:val="auto"/>
        </w:rPr>
      </w:pPr>
    </w:p>
    <w:p>
      <w:pPr>
        <w:jc w:val="both"/>
        <w:ind w:left="860" w:hanging="845"/>
        <w:spacing w:after="0" w:line="216" w:lineRule="auto"/>
        <w:tabs>
          <w:tab w:leader="none" w:pos="840" w:val="left"/>
        </w:tabs>
        <w:rPr>
          <w:sz w:val="20"/>
          <w:szCs w:val="20"/>
          <w:color w:val="auto"/>
        </w:rPr>
      </w:pPr>
      <w:r>
        <w:rPr>
          <w:rFonts w:ascii="Arial" w:cs="Arial" w:eastAsia="Arial" w:hAnsi="Arial"/>
          <w:sz w:val="20"/>
          <w:szCs w:val="20"/>
          <w:color w:val="00162F"/>
        </w:rPr>
        <w:t>10.13</w:t>
      </w:r>
      <w:r>
        <w:rPr>
          <w:sz w:val="20"/>
          <w:szCs w:val="20"/>
          <w:color w:val="auto"/>
        </w:rPr>
        <w:tab/>
      </w:r>
      <w:r>
        <w:rPr>
          <w:rFonts w:ascii="Arial" w:cs="Arial" w:eastAsia="Arial" w:hAnsi="Arial"/>
          <w:sz w:val="20"/>
          <w:szCs w:val="20"/>
          <w:color w:val="00162F"/>
        </w:rPr>
        <w:t>First Amendment and Restatement Agreement, dated as of April 20, 2015, in relation to the Credit and Guaranty Agreement, dated as of October 10, 2014 (as amended), among American Airlines Group Inc. (as successor in interest to US Airways Group, Inc.), American Airlines, Inc. (as successor in interest to US Airways, Inc.), the Revolving Lenders (as defined therein) party thereto, the 2015 Term Loan Lenders (as defined therein) party thereto and Citibank N.A., as administrative agent and collateral agent (incorporated by reference to Exhibit 10.4 to AAG’s Quarterly Report on Form 10-Q for the quarter ended June 30, 2015 (Commission File No. 1-8400)).</w:t>
      </w:r>
    </w:p>
    <w:p>
      <w:pPr>
        <w:spacing w:after="0" w:line="21"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10.14</w:t>
      </w:r>
      <w:r>
        <w:rPr>
          <w:sz w:val="20"/>
          <w:szCs w:val="20"/>
          <w:color w:val="auto"/>
        </w:rPr>
        <w:tab/>
      </w:r>
      <w:r>
        <w:rPr>
          <w:rFonts w:ascii="Arial" w:cs="Arial" w:eastAsia="Arial" w:hAnsi="Arial"/>
          <w:sz w:val="20"/>
          <w:szCs w:val="20"/>
          <w:color w:val="00162F"/>
        </w:rPr>
        <w:t>First Amendment to Amended and Restated Credit and Guaranty Agreement, dated as of October 26, 2015, amending the Amended and Restated Credit and Guaranty Agreement, dated as of April 20, 2015, among American Airlines, Inc. (as successor in interest to US Airways, Inc.), American Airlines Group Inc. (as successor in interest to US Airways Group, Inc.), the lenders from time to time party thereto, Citibank N.A., as administrative agent, and certain other parties thereto (incorporated by reference to Exhibit 10.6 to AAG’s Annual Report on Form 10-K for the year ended December 31, 2015 (Commission File No. 1-8400)).</w:t>
      </w:r>
    </w:p>
    <w:p>
      <w:pPr>
        <w:spacing w:after="0" w:line="14"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10.15</w:t>
      </w:r>
      <w:r>
        <w:rPr>
          <w:sz w:val="20"/>
          <w:szCs w:val="20"/>
          <w:color w:val="auto"/>
        </w:rPr>
        <w:tab/>
      </w:r>
      <w:r>
        <w:rPr>
          <w:rFonts w:ascii="Arial" w:cs="Arial" w:eastAsia="Arial" w:hAnsi="Arial"/>
          <w:sz w:val="20"/>
          <w:szCs w:val="20"/>
          <w:color w:val="00162F"/>
        </w:rPr>
        <w:t>Second Amendment to Amended and Restated Credit and Guaranty Agreement, dated as of September 22, 2016, amending the Amended and Restated Credit and Guaranty Agreement, dated as of April 20, 2015, among American Airlines, Inc., American Airlines Group Inc., the lenders from time to time party thereto, Citibank N.A., as administrative agent, and certain other parties thereto (incorporated by reference to Exhibit 10.1 to AAG’s Quarterly Report on Form 10-Q for the quarter ended September 30, 2016 (Commission File No. 1-8400)).</w:t>
      </w:r>
    </w:p>
    <w:p>
      <w:pPr>
        <w:spacing w:after="0" w:line="14"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10.16</w:t>
      </w:r>
      <w:r>
        <w:rPr>
          <w:sz w:val="20"/>
          <w:szCs w:val="20"/>
          <w:color w:val="auto"/>
        </w:rPr>
        <w:tab/>
      </w:r>
      <w:r>
        <w:rPr>
          <w:rFonts w:ascii="Arial" w:cs="Arial" w:eastAsia="Arial" w:hAnsi="Arial"/>
          <w:sz w:val="20"/>
          <w:szCs w:val="20"/>
          <w:color w:val="00162F"/>
        </w:rPr>
        <w:t>Increase Joinder, dated as of April 21, 2025, amending that certain Amended and Restated Credit and Guaranty Agreement, dated as of April 20, 2015 (as amended, restated, amended and restated, supplemented or otherwise modified from time to time), by and among American Airlines, Inc., as borrower, American Airlines Group Inc., as guarantor, the lenders from time to time party thereto and Citibank, N.A., as administrative agent (incorporated by reference to Exhibit 10.3 to AAG’s Quarterly Report on Form 10-Q for the quarter ended June 30, 2025 (Commission File No. 1-8400)).**</w:t>
      </w:r>
    </w:p>
    <w:p>
      <w:pPr>
        <w:spacing w:after="0" w:line="14" w:lineRule="exact"/>
        <w:rPr>
          <w:sz w:val="20"/>
          <w:szCs w:val="20"/>
          <w:color w:val="auto"/>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10.17</w:t>
      </w:r>
      <w:r>
        <w:rPr>
          <w:sz w:val="20"/>
          <w:szCs w:val="20"/>
          <w:color w:val="auto"/>
        </w:rPr>
        <w:tab/>
      </w:r>
      <w:r>
        <w:rPr>
          <w:rFonts w:ascii="Arial" w:cs="Arial" w:eastAsia="Arial" w:hAnsi="Arial"/>
          <w:sz w:val="20"/>
          <w:szCs w:val="20"/>
          <w:color w:val="00162F"/>
        </w:rPr>
        <w:t>Third Amendment to the Amended and Restated Credit and Guaranty Agreement, dated as of June 14, 2017, amending the Amended and Restated Credit and Guaranty Agreement, dated as of April 20, 2015, among American Airlines, Inc., American Airlines Group Inc., the lenders from time to time party thereto, Citibank N.A., as administrative agent, and certain other parties thereto (incorporated by reference to Exhibit 10.2 to AAG’s Quarterly Report on Form 10-Q for the quarter ended June 30, 2017 (Commission File No. 1-8400)).</w:t>
      </w:r>
    </w:p>
    <w:p>
      <w:pPr>
        <w:spacing w:after="0" w:line="15"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10.18</w:t>
      </w:r>
      <w:r>
        <w:rPr>
          <w:sz w:val="20"/>
          <w:szCs w:val="20"/>
          <w:color w:val="auto"/>
        </w:rPr>
        <w:tab/>
      </w:r>
      <w:r>
        <w:rPr>
          <w:rFonts w:ascii="Arial" w:cs="Arial" w:eastAsia="Arial" w:hAnsi="Arial"/>
          <w:sz w:val="20"/>
          <w:szCs w:val="20"/>
          <w:color w:val="00162F"/>
        </w:rPr>
        <w:t>Fourth Amendment to the Amended and Restated Credit and Guaranty Agreement, dated as of August 21, 2017, amending the Amended and Restated Credit and Guaranty Agreement, dated as of April 20, 2015, among American Airlines, Inc., American Airlines Group Inc., the lenders from time to time party thereto, Citibank N.A., as administrative agent, and certain other parties thereto (incorporated by reference to Exhibit 10.1 to AAG’s Quarterly Report on Form 10-Q for the quarter ended March 31, 2018 (Commission File No. 1-8400)).*</w:t>
      </w:r>
    </w:p>
    <w:p>
      <w:pPr>
        <w:spacing w:after="0" w:line="14"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10.19</w:t>
      </w:r>
      <w:r>
        <w:rPr>
          <w:sz w:val="20"/>
          <w:szCs w:val="20"/>
          <w:color w:val="auto"/>
        </w:rPr>
        <w:tab/>
      </w:r>
      <w:r>
        <w:rPr>
          <w:rFonts w:ascii="Arial" w:cs="Arial" w:eastAsia="Arial" w:hAnsi="Arial"/>
          <w:sz w:val="20"/>
          <w:szCs w:val="20"/>
          <w:color w:val="00162F"/>
        </w:rPr>
        <w:t>Fifth Amendment to the Amended and Restated Credit and Guaranty Agreement, dated as of September 17, 2018, amending the Amended and Restated Credit and Guaranty Agreement, dated as of April 20, 2015, among American Airlines, Inc., American Airlines Group Inc., the lenders from time to time party thereto, Citibank N.A., as administrative agent, and certain other parties thereto (incorporated by reference to Exhibit 10.1 to AAG’s Quarterly Report on Form 10-Q for the quarter ended September 30, 2018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189</w:t>
      </w:r>
    </w:p>
    <w:p>
      <w:pPr>
        <w:sectPr>
          <w:pgSz w:w="11880" w:h="15480" w:orient="portrait"/>
          <w:cols w:equalWidth="0" w:num="1">
            <w:col w:w="10600"/>
          </w:cols>
          <w:pgMar w:left="640" w:top="1071" w:right="640" w:bottom="0" w:gutter="0" w:footer="0" w:header="0"/>
          <w:type w:val="continuous"/>
        </w:sectPr>
      </w:pPr>
    </w:p>
    <w:bookmarkStart w:id="190" w:name="page191"/>
    <w:bookmarkEnd w:id="190"/>
    <w:p>
      <w:pPr>
        <w:spacing w:after="0" w:line="218" w:lineRule="auto"/>
        <w:framePr w:w="580" w:h="199" w:wrap="auto" w:vAnchor="page" w:hAnchor="page" w:x="600" w:y="3970"/>
        <w:rPr>
          <w:rFonts w:ascii="Arial" w:cs="Arial" w:eastAsia="Arial" w:hAnsi="Arial"/>
          <w:sz w:val="19"/>
          <w:szCs w:val="19"/>
          <w:color w:val="00162F"/>
        </w:rPr>
      </w:pPr>
      <w:r>
        <w:rPr>
          <w:rFonts w:ascii="Arial" w:cs="Arial" w:eastAsia="Arial" w:hAnsi="Arial"/>
          <w:sz w:val="19"/>
          <w:szCs w:val="19"/>
          <w:color w:val="00162F"/>
        </w:rPr>
        <w:t>10.22</w:t>
      </w:r>
    </w:p>
    <w:p>
      <w:pPr>
        <w:spacing w:after="0" w:line="218" w:lineRule="auto"/>
        <w:framePr w:w="580" w:h="199" w:wrap="auto" w:vAnchor="page" w:hAnchor="page" w:x="600" w:y="2708"/>
        <w:rPr>
          <w:rFonts w:ascii="Arial" w:cs="Arial" w:eastAsia="Arial" w:hAnsi="Arial"/>
          <w:sz w:val="19"/>
          <w:szCs w:val="19"/>
          <w:color w:val="00162F"/>
        </w:rPr>
      </w:pPr>
      <w:r>
        <w:rPr>
          <w:rFonts w:ascii="Arial" w:cs="Arial" w:eastAsia="Arial" w:hAnsi="Arial"/>
          <w:sz w:val="19"/>
          <w:szCs w:val="19"/>
          <w:color w:val="00162F"/>
        </w:rPr>
        <w:t>10.21</w:t>
      </w:r>
    </w:p>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4" w:lineRule="exact"/>
        <w:rPr>
          <w:rFonts w:ascii="Arial" w:cs="Arial" w:eastAsia="Arial" w:hAnsi="Arial"/>
          <w:sz w:val="19"/>
          <w:szCs w:val="19"/>
          <w:color w:val="00162F"/>
        </w:rPr>
      </w:pPr>
    </w:p>
    <w:p>
      <w:pPr>
        <w:spacing w:after="0"/>
        <w:tabs>
          <w:tab w:leader="none" w:pos="840" w:val="left"/>
        </w:tabs>
        <w:rPr>
          <w:sz w:val="20"/>
          <w:szCs w:val="20"/>
          <w:color w:val="auto"/>
        </w:rPr>
      </w:pPr>
      <w:r>
        <w:rPr>
          <w:rFonts w:ascii="Arial" w:cs="Arial" w:eastAsia="Arial" w:hAnsi="Arial"/>
          <w:sz w:val="20"/>
          <w:szCs w:val="20"/>
          <w:color w:val="00162F"/>
        </w:rPr>
        <w:t>10.20</w:t>
      </w:r>
      <w:r>
        <w:rPr>
          <w:sz w:val="20"/>
          <w:szCs w:val="20"/>
          <w:color w:val="auto"/>
        </w:rPr>
        <w:tab/>
      </w:r>
      <w:r>
        <w:rPr>
          <w:rFonts w:ascii="Arial" w:cs="Arial" w:eastAsia="Arial" w:hAnsi="Arial"/>
          <w:sz w:val="20"/>
          <w:szCs w:val="20"/>
          <w:color w:val="00162F"/>
        </w:rPr>
        <w:t>Sixth Amendment to the Amended and Restated Credit and Guaranty Agreement, dated as of December 10,</w:t>
      </w:r>
    </w:p>
    <w:p>
      <w:pPr>
        <w:jc w:val="both"/>
        <w:ind w:left="860"/>
        <w:spacing w:after="0" w:line="216" w:lineRule="auto"/>
        <w:rPr>
          <w:sz w:val="20"/>
          <w:szCs w:val="20"/>
          <w:color w:val="auto"/>
        </w:rPr>
      </w:pPr>
      <w:r>
        <w:rPr>
          <w:rFonts w:ascii="Arial" w:cs="Arial" w:eastAsia="Arial" w:hAnsi="Arial"/>
          <w:sz w:val="20"/>
          <w:szCs w:val="20"/>
          <w:color w:val="00162F"/>
        </w:rPr>
        <w:t>2018, amending the Amended and Restated Credit and Guaranty Agreement, dated as of April 20, 2015, among American Airlines, Inc., American Airlines Group Inc., the lenders from time to time party thereto, Citibank N.A., as administrative agent, and certain other parties thereto (incorporated by reference to Exhibit 10.24 to AAG’s Annual Report on Form 10-K for the year ended December 31, 2023 (Commission File No. 1-8400).**</w:t>
      </w:r>
    </w:p>
    <w:p>
      <w:pPr>
        <w:spacing w:after="0" w:line="4" w:lineRule="exact"/>
        <w:rPr>
          <w:rFonts w:ascii="Arial" w:cs="Arial" w:eastAsia="Arial" w:hAnsi="Arial"/>
          <w:sz w:val="19"/>
          <w:szCs w:val="19"/>
          <w:color w:val="00162F"/>
        </w:rPr>
      </w:pPr>
    </w:p>
    <w:p>
      <w:pPr>
        <w:jc w:val="both"/>
        <w:ind w:left="860"/>
        <w:spacing w:after="0" w:line="217" w:lineRule="auto"/>
        <w:rPr>
          <w:sz w:val="20"/>
          <w:szCs w:val="20"/>
          <w:color w:val="auto"/>
        </w:rPr>
      </w:pPr>
      <w:r>
        <w:rPr>
          <w:rFonts w:ascii="Arial" w:cs="Arial" w:eastAsia="Arial" w:hAnsi="Arial"/>
          <w:sz w:val="20"/>
          <w:szCs w:val="20"/>
          <w:color w:val="00162F"/>
        </w:rPr>
        <w:t>Seventh Amendment to the Amended and Restated Credit and Guaranty Agreement, dated as of November 8, 2019, amending the Amended and Restated Credit and Guaranty Agreement, dated as of April 20, 2015, among American Airlines, Inc., American Airlines Group Inc., the lenders from time to time party thereto, Citibank N.A., as administrative agent, and certain other parties thereto (incorporated by reference to Exhibit 10.10 to AAG’s Annual Report on Form 10-K for the year ended December 31, 2019 (Commission File No. 1-8400)).**</w:t>
      </w:r>
    </w:p>
    <w:p>
      <w:pPr>
        <w:spacing w:after="0" w:line="10" w:lineRule="exact"/>
        <w:rPr>
          <w:rFonts w:ascii="Arial" w:cs="Arial" w:eastAsia="Arial" w:hAnsi="Arial"/>
          <w:sz w:val="19"/>
          <w:szCs w:val="19"/>
          <w:color w:val="00162F"/>
        </w:rPr>
      </w:pPr>
    </w:p>
    <w:p>
      <w:pPr>
        <w:jc w:val="both"/>
        <w:ind w:left="860"/>
        <w:spacing w:after="0" w:line="217" w:lineRule="auto"/>
        <w:rPr>
          <w:sz w:val="20"/>
          <w:szCs w:val="20"/>
          <w:color w:val="auto"/>
        </w:rPr>
      </w:pPr>
      <w:r>
        <w:rPr>
          <w:rFonts w:ascii="Arial" w:cs="Arial" w:eastAsia="Arial" w:hAnsi="Arial"/>
          <w:sz w:val="20"/>
          <w:szCs w:val="20"/>
          <w:color w:val="00162F"/>
        </w:rPr>
        <w:t>Eighth Amendment to the Amended and Restated Credit and Guaranty Agreement, dated as of January 29, 2020, amending the Amended and Restated Credit and Guaranty Agreement, dated as of April 20, 2015, among American Airlines, Inc., American Airlines Group Inc., the lenders from time to time party thereto, Citibank N.A., as administrative agent, and certain other parties thereto (incorporated by reference to Exhibit 10.3 to AAG’s quarterly Report on Form 10-Q for the quarter ended March 31, 2020 (Commission File No. 1-8400))**</w:t>
      </w:r>
    </w:p>
    <w:p>
      <w:pPr>
        <w:spacing w:after="0" w:line="74" w:lineRule="exact"/>
        <w:rPr>
          <w:rFonts w:ascii="Arial" w:cs="Arial" w:eastAsia="Arial" w:hAnsi="Arial"/>
          <w:sz w:val="19"/>
          <w:szCs w:val="19"/>
          <w:color w:val="00162F"/>
        </w:rPr>
      </w:pPr>
    </w:p>
    <w:p>
      <w:pPr>
        <w:jc w:val="both"/>
        <w:ind w:left="860" w:hanging="845"/>
        <w:spacing w:after="0" w:line="231" w:lineRule="auto"/>
        <w:tabs>
          <w:tab w:leader="none" w:pos="840" w:val="left"/>
        </w:tabs>
        <w:rPr>
          <w:sz w:val="20"/>
          <w:szCs w:val="20"/>
          <w:color w:val="auto"/>
        </w:rPr>
      </w:pPr>
      <w:r>
        <w:rPr>
          <w:rFonts w:ascii="Arial" w:cs="Arial" w:eastAsia="Arial" w:hAnsi="Arial"/>
          <w:sz w:val="20"/>
          <w:szCs w:val="20"/>
          <w:color w:val="00162F"/>
        </w:rPr>
        <w:t>10.23</w:t>
      </w:r>
      <w:r>
        <w:rPr>
          <w:sz w:val="20"/>
          <w:szCs w:val="20"/>
          <w:color w:val="auto"/>
        </w:rPr>
        <w:tab/>
      </w:r>
      <w:r>
        <w:rPr>
          <w:rFonts w:ascii="Arial" w:cs="Arial" w:eastAsia="Arial" w:hAnsi="Arial"/>
          <w:sz w:val="19"/>
          <w:szCs w:val="19"/>
          <w:color w:val="00162F"/>
        </w:rPr>
        <w:t>Ninth Amendment to the Amended and Restated Credit and Guaranty Agreement, dated as of March 13, 2023, amending the Amended and Restated Credit and Guaranty Agreement, dated as of April 20, 2015, among American Airlines, Inc., American Airlines Group Inc., the lenders from time to time party thereto, Citibank N.A., as administrative agent, and certain other parties thereto (incorporated by reference to Exhibit 10.4 to AAG’s quarterly Report on Form 10-Q for the quarter ended September 30, 2024 (Commission File No. 1-8400))**</w:t>
      </w:r>
    </w:p>
    <w:p>
      <w:pPr>
        <w:spacing w:after="0" w:line="18" w:lineRule="exact"/>
        <w:rPr>
          <w:rFonts w:ascii="Arial" w:cs="Arial" w:eastAsia="Arial" w:hAnsi="Arial"/>
          <w:sz w:val="19"/>
          <w:szCs w:val="19"/>
          <w:color w:val="00162F"/>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10.24</w:t>
      </w:r>
      <w:r>
        <w:rPr>
          <w:sz w:val="20"/>
          <w:szCs w:val="20"/>
          <w:color w:val="auto"/>
        </w:rPr>
        <w:tab/>
      </w:r>
      <w:r>
        <w:rPr>
          <w:rFonts w:ascii="Arial" w:cs="Arial" w:eastAsia="Arial" w:hAnsi="Arial"/>
          <w:sz w:val="20"/>
          <w:szCs w:val="20"/>
          <w:color w:val="00162F"/>
        </w:rPr>
        <w:t>Tenth Amendment to the Amended and Restated Credit and Guaranty Agreement, dated as of June 4, 2024, amending the Amended and Restated Credit and Guaranty Agreement, dated as of April 20, 2015, among American Airlines, Inc., American Airlines Group Inc., the lenders from time to time party thereto, Citibank N.A., as administrative agent, and certain other parties thereto (incorporated by reference to Exhibit 10.2 to AAG’s quarterly Report on Form 10-Q for the quarter ended June 30, 2024 (Commission File No. 1-8400))**</w:t>
      </w:r>
    </w:p>
    <w:p>
      <w:pPr>
        <w:spacing w:after="0" w:line="134" w:lineRule="exact"/>
        <w:rPr>
          <w:rFonts w:ascii="Arial" w:cs="Arial" w:eastAsia="Arial" w:hAnsi="Arial"/>
          <w:sz w:val="19"/>
          <w:szCs w:val="19"/>
          <w:color w:val="00162F"/>
        </w:rPr>
      </w:pPr>
    </w:p>
    <w:p>
      <w:pPr>
        <w:jc w:val="both"/>
        <w:ind w:left="860" w:hanging="845"/>
        <w:spacing w:after="0" w:line="216" w:lineRule="auto"/>
        <w:tabs>
          <w:tab w:leader="none" w:pos="840" w:val="left"/>
        </w:tabs>
        <w:rPr>
          <w:sz w:val="20"/>
          <w:szCs w:val="20"/>
          <w:color w:val="auto"/>
        </w:rPr>
      </w:pPr>
      <w:r>
        <w:rPr>
          <w:rFonts w:ascii="Arial" w:cs="Arial" w:eastAsia="Arial" w:hAnsi="Arial"/>
          <w:sz w:val="20"/>
          <w:szCs w:val="20"/>
          <w:color w:val="00162F"/>
        </w:rPr>
        <w:t>10.25</w:t>
      </w:r>
      <w:r>
        <w:rPr>
          <w:sz w:val="20"/>
          <w:szCs w:val="20"/>
          <w:color w:val="auto"/>
        </w:rPr>
        <w:tab/>
      </w:r>
      <w:r>
        <w:rPr>
          <w:rFonts w:ascii="Arial" w:cs="Arial" w:eastAsia="Arial" w:hAnsi="Arial"/>
          <w:sz w:val="20"/>
          <w:szCs w:val="20"/>
          <w:color w:val="00162F"/>
        </w:rPr>
        <w:t>First Amendment and Restatement Agreement, dated as of May 21, 2015, in relation to the Credit and Guaranty Agreement, dated as of June 27, 2013 (as amended), among American Airlines Group Inc. (as successor in interest to US Airways Group, Inc.), American Airlines, Inc. (as successor in interest to US Airways, Inc.), the Revolving Lenders (as defined therein) party thereto, the 2015 Term Loan Lenders (as defined therein) party thereto and Deutsche Bank AG New York Branch, as administrative agent and collateral agent (incorporated by reference to Exhibit 10.5 to AAG’s Quarterly Report on Form 10-Q for the quarter ended June 30, 2015 (Commission File No. 1-8400)).</w:t>
      </w:r>
    </w:p>
    <w:p>
      <w:pPr>
        <w:spacing w:after="0" w:line="21" w:lineRule="exact"/>
        <w:rPr>
          <w:rFonts w:ascii="Arial" w:cs="Arial" w:eastAsia="Arial" w:hAnsi="Arial"/>
          <w:sz w:val="19"/>
          <w:szCs w:val="19"/>
          <w:color w:val="00162F"/>
        </w:rPr>
      </w:pPr>
    </w:p>
    <w:p>
      <w:pPr>
        <w:jc w:val="both"/>
        <w:ind w:left="860" w:hanging="845"/>
        <w:spacing w:after="0" w:line="216" w:lineRule="auto"/>
        <w:tabs>
          <w:tab w:leader="none" w:pos="840" w:val="left"/>
        </w:tabs>
        <w:rPr>
          <w:sz w:val="20"/>
          <w:szCs w:val="20"/>
          <w:color w:val="auto"/>
        </w:rPr>
      </w:pPr>
      <w:r>
        <w:rPr>
          <w:rFonts w:ascii="Arial" w:cs="Arial" w:eastAsia="Arial" w:hAnsi="Arial"/>
          <w:sz w:val="20"/>
          <w:szCs w:val="20"/>
          <w:color w:val="00162F"/>
        </w:rPr>
        <w:t>10.26</w:t>
      </w:r>
      <w:r>
        <w:rPr>
          <w:sz w:val="20"/>
          <w:szCs w:val="20"/>
          <w:color w:val="auto"/>
        </w:rPr>
        <w:tab/>
      </w:r>
      <w:r>
        <w:rPr>
          <w:rFonts w:ascii="Arial" w:cs="Arial" w:eastAsia="Arial" w:hAnsi="Arial"/>
          <w:sz w:val="20"/>
          <w:szCs w:val="20"/>
          <w:color w:val="00162F"/>
        </w:rPr>
        <w:t>First Amendment to Amended and Restated Credit and Guaranty Agreement, dated as of October 26, 2015, amending the Amended and Restated Credit and Guaranty Agreement, dated as of May 21, 2015, among American Airlines, Inc. (as successor in interest to US Airways, Inc.), American Airlines Group Inc., (as successor in interest to US Airways Group, Inc.), the lenders from time to time party thereto, Deutsche Bank AG New York Branch, as administrative agent, and certain other parties thereto (incorporated by reference to Exhibit 10.8 to AAG’s Annual Report on Form 10-K for the year ended December 31, 2015 (Commission File No. 1-8400)).</w:t>
      </w:r>
    </w:p>
    <w:p>
      <w:pPr>
        <w:spacing w:after="0" w:line="21" w:lineRule="exact"/>
        <w:rPr>
          <w:rFonts w:ascii="Arial" w:cs="Arial" w:eastAsia="Arial" w:hAnsi="Arial"/>
          <w:sz w:val="19"/>
          <w:szCs w:val="19"/>
          <w:color w:val="00162F"/>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10.27</w:t>
      </w:r>
      <w:r>
        <w:rPr>
          <w:sz w:val="20"/>
          <w:szCs w:val="20"/>
          <w:color w:val="auto"/>
        </w:rPr>
        <w:tab/>
      </w:r>
      <w:r>
        <w:rPr>
          <w:rFonts w:ascii="Arial" w:cs="Arial" w:eastAsia="Arial" w:hAnsi="Arial"/>
          <w:sz w:val="20"/>
          <w:szCs w:val="20"/>
          <w:color w:val="00162F"/>
        </w:rPr>
        <w:t>Second Amendment to Amended and Restated Credit and Guaranty Agreement, dated as of March 14, 2017, amending the Amended and Restated Credit and Guaranty Agreement, dated as of May 21, 2015, among American Airlines, Inc., American Airlines Group Inc., the lenders from time to time party thereto, Deutsche Bank AG New York Branch, as administrative agent, and certain other parties thereto (incorporated by reference to Exhibit 10.2 to AAG’s Quarterly Report on Form 10-Q for the quarter ended March 31, 2017 (Commission File No. 1-8400)).</w:t>
      </w:r>
    </w:p>
    <w:p>
      <w:pPr>
        <w:spacing w:after="0" w:line="14" w:lineRule="exact"/>
        <w:rPr>
          <w:rFonts w:ascii="Arial" w:cs="Arial" w:eastAsia="Arial" w:hAnsi="Arial"/>
          <w:sz w:val="19"/>
          <w:szCs w:val="19"/>
          <w:color w:val="00162F"/>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10.28</w:t>
      </w:r>
      <w:r>
        <w:rPr>
          <w:sz w:val="20"/>
          <w:szCs w:val="20"/>
          <w:color w:val="auto"/>
        </w:rPr>
        <w:tab/>
      </w:r>
      <w:r>
        <w:rPr>
          <w:rFonts w:ascii="Arial" w:cs="Arial" w:eastAsia="Arial" w:hAnsi="Arial"/>
          <w:sz w:val="20"/>
          <w:szCs w:val="20"/>
          <w:color w:val="00162F"/>
        </w:rPr>
        <w:t>Third Amendment to the Amended and Restated Credit And Guaranty Agreement, dated as of August 21, 2017, amending the Amended and Restated Credit and Guaranty Agreement, dated as of May 21, 2015, among American Airlines, Inc., American Airlines Group Inc., the lenders from time to time party thereto, Deutsche Bank AG New York Branch, as administrative agent, and certain other parties thereto (incorporated by reference to Exhibit 10.11 to AAG’s Annual Report on Form 10-K for the year ended December 31, 2017 (Commission File No. 1-8400)).*</w:t>
      </w:r>
    </w:p>
    <w:p>
      <w:pPr>
        <w:spacing w:after="0" w:line="14" w:lineRule="exact"/>
        <w:rPr>
          <w:rFonts w:ascii="Arial" w:cs="Arial" w:eastAsia="Arial" w:hAnsi="Arial"/>
          <w:sz w:val="19"/>
          <w:szCs w:val="19"/>
          <w:color w:val="00162F"/>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10.29</w:t>
      </w:r>
      <w:r>
        <w:rPr>
          <w:sz w:val="20"/>
          <w:szCs w:val="20"/>
          <w:color w:val="auto"/>
        </w:rPr>
        <w:tab/>
      </w:r>
      <w:r>
        <w:rPr>
          <w:rFonts w:ascii="Arial" w:cs="Arial" w:eastAsia="Arial" w:hAnsi="Arial"/>
          <w:sz w:val="20"/>
          <w:szCs w:val="20"/>
          <w:color w:val="00162F"/>
        </w:rPr>
        <w:t>Fourth Amendment to Amended and Restated Credit and Guaranty Agreement, dated as of May 15, 2018, amending the Amended and Restated Credit and Guaranty Agreement, dated as of May 21, 2015, among American Airlines, Inc., American Airlines Group Inc., the lenders from time to time party thereto, Deutsche Bank AG New York Branch, as administrative agent, and Barclays Bank PLC, as designated replacement term lender (incorporated by reference to Exhibit 10.3 to AAG’s Quarterly Report on Form 10-Q for the quarter ended June 30, 2018 (Commission File No. 1-8400)).</w:t>
      </w:r>
    </w:p>
    <w:p>
      <w:pPr>
        <w:sectPr>
          <w:pgSz w:w="11880" w:h="15480" w:orient="portrait"/>
          <w:cols w:equalWidth="0" w:num="1">
            <w:col w:w="10600"/>
          </w:cols>
          <w:pgMar w:left="640" w:top="1071" w:right="640" w:bottom="0" w:gutter="0" w:footer="0" w:header="0"/>
        </w:sectPr>
      </w:pPr>
    </w:p>
    <w:p>
      <w:pPr>
        <w:spacing w:after="0" w:line="200" w:lineRule="exact"/>
        <w:rPr>
          <w:rFonts w:ascii="Arial" w:cs="Arial" w:eastAsia="Arial" w:hAnsi="Arial"/>
          <w:sz w:val="19"/>
          <w:szCs w:val="19"/>
          <w:color w:val="00162F"/>
        </w:rPr>
      </w:pPr>
    </w:p>
    <w:p>
      <w:pPr>
        <w:spacing w:after="0" w:line="200" w:lineRule="exact"/>
        <w:rPr>
          <w:rFonts w:ascii="Arial" w:cs="Arial" w:eastAsia="Arial" w:hAnsi="Arial"/>
          <w:sz w:val="19"/>
          <w:szCs w:val="19"/>
          <w:color w:val="00162F"/>
        </w:rPr>
      </w:pPr>
    </w:p>
    <w:p>
      <w:pPr>
        <w:spacing w:after="0" w:line="312" w:lineRule="exact"/>
        <w:rPr>
          <w:rFonts w:ascii="Arial" w:cs="Arial" w:eastAsia="Arial" w:hAnsi="Arial"/>
          <w:sz w:val="19"/>
          <w:szCs w:val="19"/>
          <w:color w:val="00162F"/>
        </w:rPr>
      </w:pPr>
    </w:p>
    <w:p>
      <w:pPr>
        <w:jc w:val="center"/>
        <w:spacing w:after="0"/>
        <w:rPr>
          <w:sz w:val="20"/>
          <w:szCs w:val="20"/>
          <w:color w:val="auto"/>
        </w:rPr>
      </w:pPr>
      <w:r>
        <w:rPr>
          <w:rFonts w:ascii="Arial" w:cs="Arial" w:eastAsia="Arial" w:hAnsi="Arial"/>
          <w:sz w:val="19"/>
          <w:szCs w:val="19"/>
          <w:color w:val="00162F"/>
        </w:rPr>
        <w:t>190</w:t>
      </w:r>
    </w:p>
    <w:p>
      <w:pPr>
        <w:sectPr>
          <w:pgSz w:w="11880" w:h="15480" w:orient="portrait"/>
          <w:cols w:equalWidth="0" w:num="1">
            <w:col w:w="10600"/>
          </w:cols>
          <w:pgMar w:left="640" w:top="1071" w:right="640" w:bottom="0" w:gutter="0" w:footer="0" w:header="0"/>
          <w:type w:val="continuous"/>
        </w:sectPr>
      </w:pPr>
    </w:p>
    <w:bookmarkStart w:id="191" w:name="page192"/>
    <w:bookmarkEnd w:id="191"/>
    <w:p>
      <w:pPr>
        <w:spacing w:after="0" w:line="218" w:lineRule="auto"/>
        <w:framePr w:w="580" w:h="199" w:wrap="auto" w:vAnchor="page" w:hAnchor="page" w:x="600" w:y="8275"/>
        <w:rPr>
          <w:rFonts w:ascii="Arial" w:cs="Arial" w:eastAsia="Arial" w:hAnsi="Arial"/>
          <w:sz w:val="19"/>
          <w:szCs w:val="19"/>
          <w:color w:val="00162F"/>
        </w:rPr>
      </w:pPr>
      <w:r>
        <w:rPr>
          <w:rFonts w:ascii="Arial" w:cs="Arial" w:eastAsia="Arial" w:hAnsi="Arial"/>
          <w:sz w:val="19"/>
          <w:szCs w:val="19"/>
          <w:color w:val="00162F"/>
        </w:rPr>
        <w:t>10.36</w:t>
      </w:r>
    </w:p>
    <w:p>
      <w:pPr>
        <w:spacing w:after="0" w:line="218" w:lineRule="auto"/>
        <w:framePr w:w="580" w:h="199" w:wrap="auto" w:vAnchor="page" w:hAnchor="page" w:x="600" w:y="7206"/>
        <w:rPr>
          <w:rFonts w:ascii="Arial" w:cs="Arial" w:eastAsia="Arial" w:hAnsi="Arial"/>
          <w:sz w:val="19"/>
          <w:szCs w:val="19"/>
          <w:color w:val="00162F"/>
        </w:rPr>
      </w:pPr>
      <w:r>
        <w:rPr>
          <w:rFonts w:ascii="Arial" w:cs="Arial" w:eastAsia="Arial" w:hAnsi="Arial"/>
          <w:sz w:val="19"/>
          <w:szCs w:val="19"/>
          <w:color w:val="00162F"/>
        </w:rPr>
        <w:t>10.35</w:t>
      </w:r>
    </w:p>
    <w:p>
      <w:pPr>
        <w:spacing w:after="0" w:line="218" w:lineRule="auto"/>
        <w:framePr w:w="580" w:h="199" w:wrap="auto" w:vAnchor="page" w:hAnchor="page" w:x="600" w:y="6137"/>
        <w:rPr>
          <w:rFonts w:ascii="Arial" w:cs="Arial" w:eastAsia="Arial" w:hAnsi="Arial"/>
          <w:sz w:val="19"/>
          <w:szCs w:val="19"/>
          <w:color w:val="00162F"/>
        </w:rPr>
      </w:pPr>
      <w:r>
        <w:rPr>
          <w:rFonts w:ascii="Arial" w:cs="Arial" w:eastAsia="Arial" w:hAnsi="Arial"/>
          <w:sz w:val="19"/>
          <w:szCs w:val="19"/>
          <w:color w:val="00162F"/>
        </w:rPr>
        <w:t>10.34</w:t>
      </w:r>
    </w:p>
    <w:p>
      <w:pPr>
        <w:spacing w:after="0" w:line="218" w:lineRule="auto"/>
        <w:framePr w:w="580" w:h="199" w:wrap="auto" w:vAnchor="page" w:hAnchor="page" w:x="600" w:y="5054"/>
        <w:rPr>
          <w:rFonts w:ascii="Arial" w:cs="Arial" w:eastAsia="Arial" w:hAnsi="Arial"/>
          <w:sz w:val="19"/>
          <w:szCs w:val="19"/>
          <w:color w:val="00162F"/>
        </w:rPr>
      </w:pPr>
      <w:r>
        <w:rPr>
          <w:rFonts w:ascii="Arial" w:cs="Arial" w:eastAsia="Arial" w:hAnsi="Arial"/>
          <w:sz w:val="19"/>
          <w:szCs w:val="19"/>
          <w:color w:val="00162F"/>
        </w:rPr>
        <w:t>10.33</w:t>
      </w:r>
    </w:p>
    <w:p>
      <w:pPr>
        <w:spacing w:after="0" w:line="218" w:lineRule="auto"/>
        <w:framePr w:w="580" w:h="199" w:wrap="auto" w:vAnchor="page" w:hAnchor="page" w:x="600" w:y="3985"/>
        <w:rPr>
          <w:rFonts w:ascii="Arial" w:cs="Arial" w:eastAsia="Arial" w:hAnsi="Arial"/>
          <w:sz w:val="19"/>
          <w:szCs w:val="19"/>
          <w:color w:val="00162F"/>
        </w:rPr>
      </w:pPr>
      <w:r>
        <w:rPr>
          <w:rFonts w:ascii="Arial" w:cs="Arial" w:eastAsia="Arial" w:hAnsi="Arial"/>
          <w:sz w:val="19"/>
          <w:szCs w:val="19"/>
          <w:color w:val="00162F"/>
        </w:rPr>
        <w:t>10.32</w:t>
      </w:r>
    </w:p>
    <w:p>
      <w:pPr>
        <w:spacing w:after="0" w:line="218" w:lineRule="auto"/>
        <w:framePr w:w="580" w:h="199" w:wrap="auto" w:vAnchor="page" w:hAnchor="page" w:x="600" w:y="2723"/>
        <w:rPr>
          <w:rFonts w:ascii="Arial" w:cs="Arial" w:eastAsia="Arial" w:hAnsi="Arial"/>
          <w:sz w:val="19"/>
          <w:szCs w:val="19"/>
          <w:color w:val="00162F"/>
        </w:rPr>
      </w:pPr>
      <w:r>
        <w:rPr>
          <w:rFonts w:ascii="Arial" w:cs="Arial" w:eastAsia="Arial" w:hAnsi="Arial"/>
          <w:sz w:val="19"/>
          <w:szCs w:val="19"/>
          <w:color w:val="00162F"/>
        </w:rPr>
        <w:t>10.31</w:t>
      </w:r>
    </w:p>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4" w:lineRule="exact"/>
        <w:rPr>
          <w:rFonts w:ascii="Arial" w:cs="Arial" w:eastAsia="Arial" w:hAnsi="Arial"/>
          <w:sz w:val="19"/>
          <w:szCs w:val="19"/>
          <w:color w:val="00162F"/>
        </w:rPr>
      </w:pPr>
    </w:p>
    <w:p>
      <w:pPr>
        <w:spacing w:after="0"/>
        <w:tabs>
          <w:tab w:leader="none" w:pos="840" w:val="left"/>
        </w:tabs>
        <w:rPr>
          <w:sz w:val="20"/>
          <w:szCs w:val="20"/>
          <w:color w:val="auto"/>
        </w:rPr>
      </w:pPr>
      <w:r>
        <w:rPr>
          <w:rFonts w:ascii="Arial" w:cs="Arial" w:eastAsia="Arial" w:hAnsi="Arial"/>
          <w:sz w:val="20"/>
          <w:szCs w:val="20"/>
          <w:color w:val="00162F"/>
        </w:rPr>
        <w:t>10.30</w:t>
      </w:r>
      <w:r>
        <w:rPr>
          <w:sz w:val="20"/>
          <w:szCs w:val="20"/>
          <w:color w:val="auto"/>
        </w:rPr>
        <w:tab/>
      </w:r>
      <w:r>
        <w:rPr>
          <w:rFonts w:ascii="Arial" w:cs="Arial" w:eastAsia="Arial" w:hAnsi="Arial"/>
          <w:sz w:val="19"/>
          <w:szCs w:val="19"/>
          <w:color w:val="00162F"/>
        </w:rPr>
        <w:t>Fifth Amendment to Amended and Restated Credit and Guaranty Agreement, dated as of December 10, 2018,</w:t>
      </w:r>
    </w:p>
    <w:p>
      <w:pPr>
        <w:jc w:val="both"/>
        <w:ind w:left="860"/>
        <w:spacing w:after="0" w:line="219" w:lineRule="auto"/>
        <w:rPr>
          <w:sz w:val="20"/>
          <w:szCs w:val="20"/>
          <w:color w:val="auto"/>
        </w:rPr>
      </w:pPr>
      <w:r>
        <w:rPr>
          <w:rFonts w:ascii="Arial" w:cs="Arial" w:eastAsia="Arial" w:hAnsi="Arial"/>
          <w:sz w:val="20"/>
          <w:szCs w:val="20"/>
          <w:color w:val="00162F"/>
        </w:rPr>
        <w:t>amending the Amended and Restated Credit and Guaranty Agreement, dated as of May 21, 2015, among American Airlines, Inc., American Airlines Group Inc., the lenders from time to time party thereto, Deutsche Bank AG New York Branch, as administrative agent, and Barclays Bank PLC, as designated replacement term lender (incorporated by reference to Exhibit 10.31 to AGG’s Annual Report on Form 10-K for the year ended December 31, 2023 (Commission File No. 1-8500)).**</w:t>
      </w:r>
    </w:p>
    <w:p>
      <w:pPr>
        <w:spacing w:after="0" w:line="5" w:lineRule="exact"/>
        <w:rPr>
          <w:rFonts w:ascii="Arial" w:cs="Arial" w:eastAsia="Arial" w:hAnsi="Arial"/>
          <w:sz w:val="19"/>
          <w:szCs w:val="19"/>
          <w:color w:val="00162F"/>
        </w:rPr>
      </w:pPr>
    </w:p>
    <w:p>
      <w:pPr>
        <w:jc w:val="both"/>
        <w:ind w:left="860"/>
        <w:spacing w:after="0" w:line="217" w:lineRule="auto"/>
        <w:rPr>
          <w:sz w:val="20"/>
          <w:szCs w:val="20"/>
          <w:color w:val="auto"/>
        </w:rPr>
      </w:pPr>
      <w:r>
        <w:rPr>
          <w:rFonts w:ascii="Arial" w:cs="Arial" w:eastAsia="Arial" w:hAnsi="Arial"/>
          <w:sz w:val="20"/>
          <w:szCs w:val="20"/>
          <w:color w:val="00162F"/>
        </w:rPr>
        <w:t>Sixth Amendment to Amended and Restated Credit and Guaranty Agreement, dated as of November 8, 2019, amending the Amended and Restated Credit and Guaranty Agreement, dated as of May 21, 2015, among American Airlines, Inc., American Airlines Group Inc., the lenders from time to time party thereto, Deutsche Bank AG New York Branch, as administrative agent, and Barclays Bank PLC, as designated replacement term lender (incorporated by reference to Exhibit 10.17 to AAG’s Annual Report on Form 10-K for the year ended December 31, 2019 (Commission File No. 1-8400)).**</w:t>
      </w:r>
    </w:p>
    <w:p>
      <w:pPr>
        <w:spacing w:after="0" w:line="10" w:lineRule="exact"/>
        <w:rPr>
          <w:rFonts w:ascii="Arial" w:cs="Arial" w:eastAsia="Arial" w:hAnsi="Arial"/>
          <w:sz w:val="19"/>
          <w:szCs w:val="19"/>
          <w:color w:val="00162F"/>
        </w:rPr>
      </w:pPr>
    </w:p>
    <w:p>
      <w:pPr>
        <w:jc w:val="both"/>
        <w:ind w:left="860"/>
        <w:spacing w:after="0" w:line="220" w:lineRule="auto"/>
        <w:rPr>
          <w:sz w:val="20"/>
          <w:szCs w:val="20"/>
          <w:color w:val="auto"/>
        </w:rPr>
      </w:pPr>
      <w:r>
        <w:rPr>
          <w:rFonts w:ascii="Arial" w:cs="Arial" w:eastAsia="Arial" w:hAnsi="Arial"/>
          <w:sz w:val="20"/>
          <w:szCs w:val="20"/>
          <w:color w:val="00162F"/>
        </w:rPr>
        <w:t>Seventh Amendment to Amended and Restated Credit and Guaranty Agreement, dated as of February 15, 2023, amending the Amended and Restated Credit and Guaranty Agreement, dated as of May 21, 2015, among American Airlines, Inc., American Airlines Group Inc., the lenders from time to time party thereto and Barclays Bank PLC, as administrative agent (incorporated by reference to Exhibit 10.1 to AAG’s Quarterly Report on Form 10-Q for the quarter ended September 30, 2024 (Commission File No. 1-8400)).**</w:t>
      </w:r>
    </w:p>
    <w:p>
      <w:pPr>
        <w:spacing w:after="0" w:line="15" w:lineRule="exact"/>
        <w:rPr>
          <w:rFonts w:ascii="Arial" w:cs="Arial" w:eastAsia="Arial" w:hAnsi="Arial"/>
          <w:sz w:val="19"/>
          <w:szCs w:val="19"/>
          <w:color w:val="00162F"/>
        </w:rPr>
      </w:pPr>
    </w:p>
    <w:p>
      <w:pPr>
        <w:jc w:val="both"/>
        <w:ind w:left="860"/>
        <w:spacing w:after="0" w:line="220" w:lineRule="auto"/>
        <w:rPr>
          <w:sz w:val="20"/>
          <w:szCs w:val="20"/>
          <w:color w:val="auto"/>
        </w:rPr>
      </w:pPr>
      <w:r>
        <w:rPr>
          <w:rFonts w:ascii="Arial" w:cs="Arial" w:eastAsia="Arial" w:hAnsi="Arial"/>
          <w:sz w:val="20"/>
          <w:szCs w:val="20"/>
          <w:color w:val="00162F"/>
        </w:rPr>
        <w:t>Eighth Amendment to Amended and Restated Credit and Guaranty Agreement, dated as of March 13, 2023, amending the Amended and Restated Credit and Guaranty Agreement, dated as of May 21, 2015, among American Airlines, Inc., American Airlines Group Inc., the lenders from time to time party thereto and Barclays Bank PLC, as administrative agent (incorporated by reference to Exhibit 10.2 to AAG’s Quarterly Report on Form 10-Q for the quarter ended September 30, 2024 (Commission File No. 1-8400)).**</w:t>
      </w:r>
    </w:p>
    <w:p>
      <w:pPr>
        <w:spacing w:after="0" w:line="30" w:lineRule="exact"/>
        <w:rPr>
          <w:rFonts w:ascii="Arial" w:cs="Arial" w:eastAsia="Arial" w:hAnsi="Arial"/>
          <w:sz w:val="19"/>
          <w:szCs w:val="19"/>
          <w:color w:val="00162F"/>
        </w:rPr>
      </w:pPr>
    </w:p>
    <w:p>
      <w:pPr>
        <w:jc w:val="both"/>
        <w:ind w:left="860"/>
        <w:spacing w:after="0" w:line="220" w:lineRule="auto"/>
        <w:rPr>
          <w:sz w:val="20"/>
          <w:szCs w:val="20"/>
          <w:color w:val="auto"/>
        </w:rPr>
      </w:pPr>
      <w:r>
        <w:rPr>
          <w:rFonts w:ascii="Arial" w:cs="Arial" w:eastAsia="Arial" w:hAnsi="Arial"/>
          <w:sz w:val="20"/>
          <w:szCs w:val="20"/>
          <w:color w:val="00162F"/>
        </w:rPr>
        <w:t>Ninth Amendment to Amended and Restated Credit and Guaranty Agreement, dated as of June 4, 2024, amending the Amended and Restated Credit and Guaranty Agreement, dated as of May 21, 2015, among American Airlines, Inc., American Airlines Group Inc., the lenders from time to time party thereto and Barclays Bank PLC, as administrative agent (incorporated by reference to Exhibit 10.1 to AAG’s Quarterly Report on Form 10-Q for the quarter ended June 30, 2024 (Commission File No. 1-8400)).**</w:t>
      </w:r>
    </w:p>
    <w:p>
      <w:pPr>
        <w:spacing w:after="0" w:line="15" w:lineRule="exact"/>
        <w:rPr>
          <w:rFonts w:ascii="Arial" w:cs="Arial" w:eastAsia="Arial" w:hAnsi="Arial"/>
          <w:sz w:val="19"/>
          <w:szCs w:val="19"/>
          <w:color w:val="00162F"/>
        </w:rPr>
      </w:pPr>
    </w:p>
    <w:p>
      <w:pPr>
        <w:jc w:val="both"/>
        <w:ind w:left="860"/>
        <w:spacing w:after="0" w:line="220" w:lineRule="auto"/>
        <w:rPr>
          <w:sz w:val="20"/>
          <w:szCs w:val="20"/>
          <w:color w:val="auto"/>
        </w:rPr>
      </w:pPr>
      <w:r>
        <w:rPr>
          <w:rFonts w:ascii="Arial" w:cs="Arial" w:eastAsia="Arial" w:hAnsi="Arial"/>
          <w:sz w:val="20"/>
          <w:szCs w:val="20"/>
          <w:color w:val="00162F"/>
        </w:rPr>
        <w:t>Tenth Amendment to Amended and Restated Credit and Guaranty Agreement, dated as of December 19, 2024, amending the Amended and Restated Credit and Guaranty Agreement, dated as of May 21, 2015, among American Airlines, Inc., American Airlines Group Inc., the lenders from time to time party thereto and Barclays Bank PLC, as administrative agent (incorporated by reference to Exhibit 10.1 to AAG’s Current Report on Form 8-K filed on December 23, 2024 (Commission File No. 1-8400)).**</w:t>
      </w:r>
    </w:p>
    <w:p>
      <w:pPr>
        <w:spacing w:after="0" w:line="15" w:lineRule="exact"/>
        <w:rPr>
          <w:rFonts w:ascii="Arial" w:cs="Arial" w:eastAsia="Arial" w:hAnsi="Arial"/>
          <w:sz w:val="19"/>
          <w:szCs w:val="19"/>
          <w:color w:val="00162F"/>
        </w:rPr>
      </w:pPr>
    </w:p>
    <w:p>
      <w:pPr>
        <w:jc w:val="both"/>
        <w:ind w:left="860"/>
        <w:spacing w:after="0" w:line="217" w:lineRule="auto"/>
        <w:rPr>
          <w:sz w:val="20"/>
          <w:szCs w:val="20"/>
          <w:color w:val="auto"/>
        </w:rPr>
      </w:pPr>
      <w:r>
        <w:rPr>
          <w:rFonts w:ascii="Arial" w:cs="Arial" w:eastAsia="Arial" w:hAnsi="Arial"/>
          <w:sz w:val="20"/>
          <w:szCs w:val="20"/>
          <w:color w:val="00162F"/>
        </w:rPr>
        <w:t>Increase Joinder, dated as of April 21, 2025, amending that certain Amended and Restated Credit and Guaranty Agreement, dated as of May 21, 2015 (as amended, restated, amended and restated, supplemented or otherwise modified from time to time), by and among American Airlines, Inc., as borrower, American Airlines Group Inc., as guarantor, the lenders from time to time party thereto and Barclays Bank PLC, as administrative agent (incorporated by reference to Exhibit 10.2 to AAG’s Quarterly Report on Form 10-Q for the quarter ended June 30, 2025 (Commission File No. 1-8400)).**</w:t>
      </w:r>
    </w:p>
    <w:p>
      <w:pPr>
        <w:spacing w:after="0" w:line="14" w:lineRule="exact"/>
        <w:rPr>
          <w:rFonts w:ascii="Arial" w:cs="Arial" w:eastAsia="Arial" w:hAnsi="Arial"/>
          <w:sz w:val="19"/>
          <w:szCs w:val="19"/>
          <w:color w:val="00162F"/>
        </w:rPr>
      </w:pPr>
    </w:p>
    <w:p>
      <w:pPr>
        <w:jc w:val="both"/>
        <w:ind w:left="860" w:hanging="845"/>
        <w:spacing w:after="0" w:line="220" w:lineRule="auto"/>
        <w:tabs>
          <w:tab w:leader="none" w:pos="840" w:val="left"/>
        </w:tabs>
        <w:rPr>
          <w:sz w:val="20"/>
          <w:szCs w:val="20"/>
          <w:color w:val="auto"/>
        </w:rPr>
      </w:pPr>
      <w:r>
        <w:rPr>
          <w:rFonts w:ascii="Arial" w:cs="Arial" w:eastAsia="Arial" w:hAnsi="Arial"/>
          <w:sz w:val="20"/>
          <w:szCs w:val="20"/>
          <w:color w:val="00162F"/>
        </w:rPr>
        <w:t>10.37</w:t>
      </w:r>
      <w:r>
        <w:rPr>
          <w:sz w:val="20"/>
          <w:szCs w:val="20"/>
          <w:color w:val="auto"/>
        </w:rPr>
        <w:tab/>
      </w:r>
      <w:r>
        <w:rPr>
          <w:rFonts w:ascii="Arial" w:cs="Arial" w:eastAsia="Arial" w:hAnsi="Arial"/>
          <w:sz w:val="20"/>
          <w:szCs w:val="20"/>
          <w:color w:val="00162F"/>
        </w:rPr>
        <w:t>Credit and Guaranty Agreement, dated as of December 4, 2023, among American Airlines Inc., as the borrower, American Airlines Group Inc., as parent and guarantor, the lenders from time to time party thereto, Citibank, N.A., as administrative agent, and certain other parties from time to time party thereto (incorporated by reference to Exhibit 4.3 to AAG’s Current Report on Form 8-K filed on December 4, 2023 (Commission File No. 1-8400)).</w:t>
      </w:r>
    </w:p>
    <w:p>
      <w:pPr>
        <w:spacing w:after="0" w:line="74" w:lineRule="exact"/>
        <w:rPr>
          <w:rFonts w:ascii="Arial" w:cs="Arial" w:eastAsia="Arial" w:hAnsi="Arial"/>
          <w:sz w:val="19"/>
          <w:szCs w:val="19"/>
          <w:color w:val="00162F"/>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10.38</w:t>
      </w:r>
      <w:r>
        <w:rPr>
          <w:sz w:val="20"/>
          <w:szCs w:val="20"/>
          <w:color w:val="auto"/>
        </w:rPr>
        <w:tab/>
      </w:r>
      <w:r>
        <w:rPr>
          <w:rFonts w:ascii="Arial" w:cs="Arial" w:eastAsia="Arial" w:hAnsi="Arial"/>
          <w:sz w:val="20"/>
          <w:szCs w:val="20"/>
          <w:color w:val="00162F"/>
        </w:rPr>
        <w:t>First Amendment to Credit and Guaranty Agreement, dated as of June 4, 2024, amending the Credit and Guaranty Agreement, dated as of December 4, 2023, among American Airlines, Inc., as the borrower, American Airlines Group Inc., as parent and guarantor, the lenders from time to time party thereto, Citibank, N.A., as administrative agent, and certain other parties from time to time party thereto (incorporated by reference to Exhibit 10.3 to AAG’s Quarterly Report on Form 10-Q for the quarter ended June 30, 2024 (Commission File No. 1-8400)).**</w:t>
      </w:r>
    </w:p>
    <w:p>
      <w:pPr>
        <w:spacing w:after="0" w:line="14" w:lineRule="exact"/>
        <w:rPr>
          <w:rFonts w:ascii="Arial" w:cs="Arial" w:eastAsia="Arial" w:hAnsi="Arial"/>
          <w:sz w:val="19"/>
          <w:szCs w:val="19"/>
          <w:color w:val="00162F"/>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10.39</w:t>
      </w:r>
      <w:r>
        <w:rPr>
          <w:sz w:val="20"/>
          <w:szCs w:val="20"/>
          <w:color w:val="auto"/>
        </w:rPr>
        <w:tab/>
      </w:r>
      <w:r>
        <w:rPr>
          <w:rFonts w:ascii="Arial" w:cs="Arial" w:eastAsia="Arial" w:hAnsi="Arial"/>
          <w:sz w:val="20"/>
          <w:szCs w:val="20"/>
          <w:color w:val="00162F"/>
        </w:rPr>
        <w:t>Second Amendment to Credit and Guaranty Agreement, dated as of June 4, 2024, amending the Credit and Guaranty Agreement, dated as of December 4, 2023, among American Airlines, Inc., as the borrower, American Airlines Group Inc., as parent and guarantor, the lenders from time to time party thereto, Citibank, N.A., as administrative agent, and certain other parties from time to time party thereto (incorporated by reference to Exhibit 10.4 to AAG’s Quarterly Report on Form 10-Q for the quarter ended June 30, 2024 (Commission File No. 1-8400)).**</w:t>
      </w:r>
    </w:p>
    <w:p>
      <w:pPr>
        <w:spacing w:after="0" w:line="14" w:lineRule="exact"/>
        <w:rPr>
          <w:rFonts w:ascii="Arial" w:cs="Arial" w:eastAsia="Arial" w:hAnsi="Arial"/>
          <w:sz w:val="19"/>
          <w:szCs w:val="19"/>
          <w:color w:val="00162F"/>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10.40</w:t>
      </w:r>
      <w:r>
        <w:rPr>
          <w:sz w:val="20"/>
          <w:szCs w:val="20"/>
          <w:color w:val="auto"/>
        </w:rPr>
        <w:tab/>
      </w:r>
      <w:r>
        <w:rPr>
          <w:rFonts w:ascii="Arial" w:cs="Arial" w:eastAsia="Arial" w:hAnsi="Arial"/>
          <w:sz w:val="20"/>
          <w:szCs w:val="20"/>
          <w:color w:val="00162F"/>
        </w:rPr>
        <w:t xml:space="preserve">Third Amendment to Credit and Guaranty Agreement, dated as of December 23, 2024, amending the Credit and Guaranty Agreement, dated as of December 4, 2023, among American Airlines, Inc., as the borrower, American Airlines Group Inc., as parent and guarantor, the lenders from time to time party thereto, Citibank, N.A., as administrative agent, and certain other parties from time to time party thereto (incorporated by reference to Exhibit 10.2 to AAG’s Current Report on Form 8-K filed on December 23, 2024 (Commission File </w:t>
      </w:r>
      <w:r>
        <w:rPr>
          <w:rFonts w:ascii="Arial" w:cs="Arial" w:eastAsia="Arial" w:hAnsi="Arial"/>
          <w:sz w:val="20"/>
          <w:szCs w:val="20"/>
          <w:u w:val="single" w:color="auto"/>
          <w:color w:val="00162F"/>
        </w:rPr>
        <w:t>No. 1-8400))**</w:t>
      </w:r>
    </w:p>
    <w:p>
      <w:pPr>
        <w:sectPr>
          <w:pgSz w:w="11880" w:h="15480" w:orient="portrait"/>
          <w:cols w:equalWidth="0" w:num="1">
            <w:col w:w="10600"/>
          </w:cols>
          <w:pgMar w:left="640" w:top="1071" w:right="640" w:bottom="0" w:gutter="0" w:footer="0" w:header="0"/>
        </w:sectPr>
      </w:pPr>
    </w:p>
    <w:p>
      <w:pPr>
        <w:spacing w:after="0" w:line="200" w:lineRule="exact"/>
        <w:rPr>
          <w:rFonts w:ascii="Arial" w:cs="Arial" w:eastAsia="Arial" w:hAnsi="Arial"/>
          <w:sz w:val="19"/>
          <w:szCs w:val="19"/>
          <w:color w:val="00162F"/>
        </w:rPr>
      </w:pPr>
    </w:p>
    <w:p>
      <w:pPr>
        <w:spacing w:after="0" w:line="334" w:lineRule="exact"/>
        <w:rPr>
          <w:rFonts w:ascii="Arial" w:cs="Arial" w:eastAsia="Arial" w:hAnsi="Arial"/>
          <w:sz w:val="19"/>
          <w:szCs w:val="19"/>
          <w:color w:val="00162F"/>
        </w:rPr>
      </w:pPr>
    </w:p>
    <w:p>
      <w:pPr>
        <w:jc w:val="center"/>
        <w:spacing w:after="0"/>
        <w:rPr>
          <w:sz w:val="20"/>
          <w:szCs w:val="20"/>
          <w:color w:val="auto"/>
        </w:rPr>
      </w:pPr>
      <w:r>
        <w:rPr>
          <w:rFonts w:ascii="Arial" w:cs="Arial" w:eastAsia="Arial" w:hAnsi="Arial"/>
          <w:sz w:val="19"/>
          <w:szCs w:val="19"/>
          <w:color w:val="00162F"/>
        </w:rPr>
        <w:t>191</w:t>
      </w:r>
    </w:p>
    <w:p>
      <w:pPr>
        <w:sectPr>
          <w:pgSz w:w="11880" w:h="15480" w:orient="portrait"/>
          <w:cols w:equalWidth="0" w:num="1">
            <w:col w:w="10600"/>
          </w:cols>
          <w:pgMar w:left="640" w:top="1071" w:right="640" w:bottom="0" w:gutter="0" w:footer="0" w:header="0"/>
          <w:type w:val="continuous"/>
        </w:sectPr>
      </w:pPr>
    </w:p>
    <w:bookmarkStart w:id="192" w:name="page193"/>
    <w:bookmarkEnd w:id="192"/>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17" w:lineRule="auto"/>
        <w:tabs>
          <w:tab w:leader="none" w:pos="840" w:val="left"/>
        </w:tabs>
        <w:rPr>
          <w:sz w:val="20"/>
          <w:szCs w:val="20"/>
          <w:color w:val="auto"/>
        </w:rPr>
      </w:pPr>
      <w:r>
        <w:rPr>
          <w:rFonts w:ascii="Arial" w:cs="Arial" w:eastAsia="Arial" w:hAnsi="Arial"/>
          <w:sz w:val="20"/>
          <w:szCs w:val="20"/>
          <w:color w:val="00162F"/>
        </w:rPr>
        <w:t>10.41</w:t>
      </w:r>
      <w:r>
        <w:rPr>
          <w:sz w:val="20"/>
          <w:szCs w:val="20"/>
          <w:color w:val="auto"/>
        </w:rPr>
        <w:tab/>
      </w:r>
      <w:r>
        <w:rPr>
          <w:rFonts w:ascii="Arial" w:cs="Arial" w:eastAsia="Arial" w:hAnsi="Arial"/>
          <w:sz w:val="20"/>
          <w:szCs w:val="20"/>
          <w:color w:val="00162F"/>
        </w:rPr>
        <w:t>Increase Joinder, dated as of April 21, 2025, amending that certain Credit and Guaranty Agreement, dated as of December 4, 2023 (as amended, restated, amended and restated, supplemented or otherwise modified from time to time), by and among American Airlines, Inc., as borrower, American Airlines Group Inc., as guarantor, the lenders from time to time party thereto and Citibank, N.A., as administrative agent. (incorporated by reference to Exhibit 10.1 to AAG’s Quarterly Report on Form 10-Q for the quarter ended June 30, 2025 (Commission File No. 1-8400))**</w:t>
      </w:r>
    </w:p>
    <w:p>
      <w:pPr>
        <w:spacing w:after="0" w:line="14" w:lineRule="exact"/>
        <w:rPr>
          <w:sz w:val="20"/>
          <w:szCs w:val="20"/>
          <w:color w:val="auto"/>
        </w:rPr>
      </w:pPr>
    </w:p>
    <w:p>
      <w:pPr>
        <w:jc w:val="both"/>
        <w:ind w:left="860" w:hanging="845"/>
        <w:spacing w:after="0" w:line="248" w:lineRule="auto"/>
        <w:tabs>
          <w:tab w:leader="none" w:pos="840" w:val="left"/>
        </w:tabs>
        <w:rPr>
          <w:sz w:val="20"/>
          <w:szCs w:val="20"/>
          <w:color w:val="auto"/>
        </w:rPr>
      </w:pPr>
      <w:r>
        <w:rPr>
          <w:rFonts w:ascii="Arial" w:cs="Arial" w:eastAsia="Arial" w:hAnsi="Arial"/>
          <w:sz w:val="20"/>
          <w:szCs w:val="20"/>
          <w:color w:val="00162F"/>
        </w:rPr>
        <w:t>10.42</w:t>
      </w:r>
      <w:r>
        <w:rPr>
          <w:sz w:val="20"/>
          <w:szCs w:val="20"/>
          <w:color w:val="auto"/>
        </w:rPr>
        <w:tab/>
      </w:r>
      <w:r>
        <w:rPr>
          <w:rFonts w:ascii="Arial" w:cs="Arial" w:eastAsia="Arial" w:hAnsi="Arial"/>
          <w:sz w:val="20"/>
          <w:szCs w:val="20"/>
          <w:color w:val="00162F"/>
        </w:rPr>
        <w:t>Purchase Agreement No. 3219, dated as of October 15, 2008, between American Airlines, Inc. and The Boeing Company (incorporated by reference to Exhibit 10.38 to AAG’s Annual Report on Form 10-K for the year ended December 31, 2021 (Commission File No. 1-8400)).**</w:t>
      </w:r>
    </w:p>
    <w:p>
      <w:pPr>
        <w:spacing w:after="0" w:line="15" w:lineRule="exact"/>
        <w:rPr>
          <w:sz w:val="20"/>
          <w:szCs w:val="20"/>
          <w:color w:val="auto"/>
        </w:rPr>
      </w:pPr>
    </w:p>
    <w:p>
      <w:pPr>
        <w:jc w:val="both"/>
        <w:ind w:left="860" w:hanging="845"/>
        <w:spacing w:after="0" w:line="248" w:lineRule="auto"/>
        <w:tabs>
          <w:tab w:leader="none" w:pos="840" w:val="left"/>
        </w:tabs>
        <w:rPr>
          <w:sz w:val="20"/>
          <w:szCs w:val="20"/>
          <w:color w:val="auto"/>
        </w:rPr>
      </w:pPr>
      <w:r>
        <w:rPr>
          <w:rFonts w:ascii="Arial" w:cs="Arial" w:eastAsia="Arial" w:hAnsi="Arial"/>
          <w:sz w:val="20"/>
          <w:szCs w:val="20"/>
          <w:color w:val="00162F"/>
        </w:rPr>
        <w:t>10.43</w:t>
      </w:r>
      <w:r>
        <w:rPr>
          <w:sz w:val="20"/>
          <w:szCs w:val="20"/>
          <w:color w:val="auto"/>
        </w:rPr>
        <w:tab/>
      </w:r>
      <w:r>
        <w:rPr>
          <w:rFonts w:ascii="Arial" w:cs="Arial" w:eastAsia="Arial" w:hAnsi="Arial"/>
          <w:sz w:val="20"/>
          <w:szCs w:val="20"/>
          <w:color w:val="00162F"/>
        </w:rPr>
        <w:t>Supplemental Agreement No. 2, dated as of July 21, 2010, to Purchase Agreement No. 3219 between American Airlines, Inc. and The Boeing Company (incorporated by reference to Exhibit 10.39 to AAG’s Annual Report on Form 10-K for the year ended December 31, 2021 (Commission File No. 1-8400)).**</w:t>
      </w:r>
    </w:p>
    <w:p>
      <w:pPr>
        <w:spacing w:after="0" w:line="15" w:lineRule="exact"/>
        <w:rPr>
          <w:sz w:val="20"/>
          <w:szCs w:val="20"/>
          <w:color w:val="auto"/>
        </w:rPr>
      </w:pPr>
    </w:p>
    <w:p>
      <w:pPr>
        <w:jc w:val="both"/>
        <w:ind w:left="860" w:hanging="845"/>
        <w:spacing w:after="0" w:line="248" w:lineRule="auto"/>
        <w:tabs>
          <w:tab w:leader="none" w:pos="840" w:val="left"/>
        </w:tabs>
        <w:rPr>
          <w:sz w:val="20"/>
          <w:szCs w:val="20"/>
          <w:color w:val="auto"/>
        </w:rPr>
      </w:pPr>
      <w:r>
        <w:rPr>
          <w:rFonts w:ascii="Arial" w:cs="Arial" w:eastAsia="Arial" w:hAnsi="Arial"/>
          <w:sz w:val="20"/>
          <w:szCs w:val="20"/>
          <w:color w:val="00162F"/>
        </w:rPr>
        <w:t>10.44</w:t>
      </w:r>
      <w:r>
        <w:rPr>
          <w:sz w:val="20"/>
          <w:szCs w:val="20"/>
          <w:color w:val="auto"/>
        </w:rPr>
        <w:tab/>
      </w:r>
      <w:r>
        <w:rPr>
          <w:rFonts w:ascii="Arial" w:cs="Arial" w:eastAsia="Arial" w:hAnsi="Arial"/>
          <w:sz w:val="20"/>
          <w:szCs w:val="20"/>
          <w:color w:val="00162F"/>
        </w:rPr>
        <w:t>Supplemental Agreement No. 3, dated as of February 1, 2013, to Purchase Agreement No. 3219 between American Airlines, Inc., and The Boeing Company (incorporated by reference to Exhibit 10.40 to AAG’s Annual Report on Form 10-K for the year ended December 31, 2021 (Commission File No. 1-8400)).**</w:t>
      </w:r>
    </w:p>
    <w:p>
      <w:pPr>
        <w:spacing w:after="0" w:line="15" w:lineRule="exact"/>
        <w:rPr>
          <w:sz w:val="20"/>
          <w:szCs w:val="20"/>
          <w:color w:val="auto"/>
        </w:rPr>
      </w:pPr>
    </w:p>
    <w:p>
      <w:pPr>
        <w:jc w:val="both"/>
        <w:ind w:left="860" w:hanging="845"/>
        <w:spacing w:after="0" w:line="235" w:lineRule="auto"/>
        <w:tabs>
          <w:tab w:leader="none" w:pos="840" w:val="left"/>
        </w:tabs>
        <w:rPr>
          <w:sz w:val="20"/>
          <w:szCs w:val="20"/>
          <w:color w:val="auto"/>
        </w:rPr>
      </w:pPr>
      <w:r>
        <w:rPr>
          <w:rFonts w:ascii="Arial" w:cs="Arial" w:eastAsia="Arial" w:hAnsi="Arial"/>
          <w:sz w:val="20"/>
          <w:szCs w:val="20"/>
          <w:color w:val="00162F"/>
        </w:rPr>
        <w:t>10.45</w:t>
      </w:r>
      <w:r>
        <w:rPr>
          <w:sz w:val="20"/>
          <w:szCs w:val="20"/>
          <w:color w:val="auto"/>
        </w:rPr>
        <w:tab/>
      </w:r>
      <w:r>
        <w:rPr>
          <w:rFonts w:ascii="Arial" w:cs="Arial" w:eastAsia="Arial" w:hAnsi="Arial"/>
          <w:sz w:val="20"/>
          <w:szCs w:val="20"/>
          <w:color w:val="00162F"/>
        </w:rPr>
        <w:t>Supplemental Agreement No. 4, dated as of June 9, 2014, to Purchase Agreement No. 3219 between The Boeing Company and American Airlines, Inc. dated as of October 15, 2008, relating to Boeing Model 787 Aircraft, as amended, restated, amended and restated, supplemented or otherwise modified (incorporated by reference to Exhibit 10.41 to AAG’s Annual Report on Form 10-K for the year ended December 31, 2021 (Commission File No. 1-8400)).**</w:t>
      </w:r>
    </w:p>
    <w:p>
      <w:pPr>
        <w:spacing w:after="0" w:line="2" w:lineRule="exact"/>
        <w:rPr>
          <w:sz w:val="20"/>
          <w:szCs w:val="20"/>
          <w:color w:val="auto"/>
        </w:rPr>
      </w:pPr>
    </w:p>
    <w:p>
      <w:pPr>
        <w:jc w:val="both"/>
        <w:ind w:left="860" w:hanging="845"/>
        <w:spacing w:after="0" w:line="235" w:lineRule="auto"/>
        <w:tabs>
          <w:tab w:leader="none" w:pos="840" w:val="left"/>
        </w:tabs>
        <w:rPr>
          <w:sz w:val="20"/>
          <w:szCs w:val="20"/>
          <w:color w:val="auto"/>
        </w:rPr>
      </w:pPr>
      <w:r>
        <w:rPr>
          <w:rFonts w:ascii="Arial" w:cs="Arial" w:eastAsia="Arial" w:hAnsi="Arial"/>
          <w:sz w:val="20"/>
          <w:szCs w:val="20"/>
          <w:color w:val="00162F"/>
        </w:rPr>
        <w:t>10.46</w:t>
      </w:r>
      <w:r>
        <w:rPr>
          <w:sz w:val="20"/>
          <w:szCs w:val="20"/>
          <w:color w:val="auto"/>
        </w:rPr>
        <w:tab/>
      </w:r>
      <w:r>
        <w:rPr>
          <w:rFonts w:ascii="Arial" w:cs="Arial" w:eastAsia="Arial" w:hAnsi="Arial"/>
          <w:sz w:val="20"/>
          <w:szCs w:val="20"/>
          <w:color w:val="00162F"/>
        </w:rPr>
        <w:t>Supplemental Agreement No. 5, dated as of January 20, 2015, to Purchase Agreement No. 3219 between The Boeing Company and American Airlines, Inc., dated as of October 15, 2008, relating to Boeing Model 787 Aircraft, as amended, restated, amended and restated, supplemented or otherwise modified (incorporated by reference to Exhibit 10.42 to AAG’s Annual Report on Form 10-K for the year ended December 31, 2021 (Commission File No. 1-8400)).**</w:t>
      </w:r>
    </w:p>
    <w:p>
      <w:pPr>
        <w:spacing w:after="0" w:line="2"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10.47</w:t>
      </w:r>
      <w:r>
        <w:rPr>
          <w:sz w:val="20"/>
          <w:szCs w:val="20"/>
          <w:color w:val="auto"/>
        </w:rPr>
        <w:tab/>
      </w:r>
      <w:r>
        <w:rPr>
          <w:rFonts w:ascii="Arial" w:cs="Arial" w:eastAsia="Arial" w:hAnsi="Arial"/>
          <w:sz w:val="20"/>
          <w:szCs w:val="20"/>
          <w:color w:val="00162F"/>
        </w:rPr>
        <w:t>Supplemental Agreement No. 6, dated as of April 21, 2015, to Purchase Agreement No. 3219 between American Airlines, Inc. and The Boeing Company, dated as of October 15, 2008, as amended, restated, amended and restated, supplemented or otherwise modified (incorporated by reference to Exhibit 10.43 to AAG’s Annual Report on Form 10-K for the year ended December 31, 2021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10.48</w:t>
      </w:r>
      <w:r>
        <w:rPr>
          <w:sz w:val="20"/>
          <w:szCs w:val="20"/>
          <w:color w:val="auto"/>
        </w:rPr>
        <w:tab/>
      </w:r>
      <w:r>
        <w:rPr>
          <w:rFonts w:ascii="Arial" w:cs="Arial" w:eastAsia="Arial" w:hAnsi="Arial"/>
          <w:sz w:val="20"/>
          <w:szCs w:val="20"/>
          <w:color w:val="00162F"/>
        </w:rPr>
        <w:t>Supplemental Agreement No. 7, dated as of September 12, 2016, to Purchase Agreement No. 3219 dated as of October 15, 2008, between American Airlines, Inc. and The Boeing Company (incorporated by reference to Exhibit 10.44 to AAG’s Annual Report on Form 10-K for the year ended December 31, 2021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10.49</w:t>
      </w:r>
      <w:r>
        <w:rPr>
          <w:sz w:val="20"/>
          <w:szCs w:val="20"/>
          <w:color w:val="auto"/>
        </w:rPr>
        <w:tab/>
      </w:r>
      <w:r>
        <w:rPr>
          <w:rFonts w:ascii="Arial" w:cs="Arial" w:eastAsia="Arial" w:hAnsi="Arial"/>
          <w:sz w:val="20"/>
          <w:szCs w:val="20"/>
          <w:color w:val="00162F"/>
        </w:rPr>
        <w:t>Supplemental Agreement No. 8, dated as of January 26, 2017, to Purchase Agreement No. 3219 dated as of October 15, 2008, between American Airlines, Inc. and The Boeing Company (incorporated by reference to Exhibit 10.45 to AAG’s Annual Report on Form 10-K for the year ended December 31, 2021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10.50</w:t>
      </w:r>
      <w:r>
        <w:rPr>
          <w:sz w:val="20"/>
          <w:szCs w:val="20"/>
          <w:color w:val="auto"/>
        </w:rPr>
        <w:tab/>
      </w:r>
      <w:r>
        <w:rPr>
          <w:rFonts w:ascii="Arial" w:cs="Arial" w:eastAsia="Arial" w:hAnsi="Arial"/>
          <w:sz w:val="20"/>
          <w:szCs w:val="20"/>
          <w:color w:val="00162F"/>
        </w:rPr>
        <w:t>Supplemental Agreement No. 9, dated as of April 24, 2017, to Purchase Agreement No. 3219 dated as of October 15, 2008, by and between American Airlines, Inc. and The Boeing Company (incorporated by reference to Exhibit 10.46 to AAG’s Annual Report on Form 10-K for the year ended December 31, 2021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10.51</w:t>
      </w:r>
      <w:r>
        <w:rPr>
          <w:sz w:val="20"/>
          <w:szCs w:val="20"/>
          <w:color w:val="auto"/>
        </w:rPr>
        <w:tab/>
      </w:r>
      <w:r>
        <w:rPr>
          <w:rFonts w:ascii="Arial" w:cs="Arial" w:eastAsia="Arial" w:hAnsi="Arial"/>
          <w:sz w:val="20"/>
          <w:szCs w:val="20"/>
          <w:color w:val="00162F"/>
        </w:rPr>
        <w:t>Supplemental Agreement No. 10, dated as of May 11, 2017, to Purchase Agreement No. 3219 dated as of October 15, 2008, by and between American Airlines, Inc. and The Boeing Company (incorporated by reference to Exhibit 10.47 to AAG’s Annual Report on Form 10-K for the year ended December 31, 2021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10.52</w:t>
      </w:r>
      <w:r>
        <w:rPr>
          <w:sz w:val="20"/>
          <w:szCs w:val="20"/>
          <w:color w:val="auto"/>
        </w:rPr>
        <w:tab/>
      </w:r>
      <w:r>
        <w:rPr>
          <w:rFonts w:ascii="Arial" w:cs="Arial" w:eastAsia="Arial" w:hAnsi="Arial"/>
          <w:sz w:val="20"/>
          <w:szCs w:val="20"/>
          <w:color w:val="00162F"/>
        </w:rPr>
        <w:t>Supplemental Agreement No. 11, dated as of April 6, 2018, to Purchase Agreement No. 3219 dated as of October 15, 2008, by and between American Airlines, Inc. and The Boeing Company (incorporated by reference to Exhibit 10.1 to AAG’s Quarterly Report on Form 10-Q for the quarter ended June 30, 2018 (Commission File No. 1-8400)).*</w:t>
      </w:r>
    </w:p>
    <w:p>
      <w:pPr>
        <w:spacing w:after="0" w:line="8"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10.53</w:t>
      </w:r>
      <w:r>
        <w:rPr>
          <w:sz w:val="20"/>
          <w:szCs w:val="20"/>
          <w:color w:val="auto"/>
        </w:rPr>
        <w:tab/>
      </w:r>
      <w:r>
        <w:rPr>
          <w:rFonts w:ascii="Arial" w:cs="Arial" w:eastAsia="Arial" w:hAnsi="Arial"/>
          <w:sz w:val="20"/>
          <w:szCs w:val="20"/>
          <w:color w:val="00162F"/>
        </w:rPr>
        <w:t>Supplemental Agreement No. 12, dated as of May 29, 2019, to Purchase Agreement No. 3219 dated as of October 15, 2008, by and between American Airlines, Inc. and The Boeing Company (incorporated by reference to Exhibit 10.1 to AAG’s Quarterly Report on Form 10-Q for the quarter ended June 30, 2019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10.54</w:t>
      </w:r>
      <w:r>
        <w:rPr>
          <w:sz w:val="20"/>
          <w:szCs w:val="20"/>
          <w:color w:val="auto"/>
        </w:rPr>
        <w:tab/>
      </w:r>
      <w:r>
        <w:rPr>
          <w:rFonts w:ascii="Arial" w:cs="Arial" w:eastAsia="Arial" w:hAnsi="Arial"/>
          <w:sz w:val="20"/>
          <w:szCs w:val="20"/>
          <w:color w:val="00162F"/>
        </w:rPr>
        <w:t>Supplemental Agreement No. 13, dated as of August 20, 2019, to Purchase Agreement No. 3219 dated as of October 15, 2008, by and between American Airlines, Inc. and The Boeing Company (incorporated by reference to Exhibit 10.1 to AAG’s Quarterly Report on Form 10-Q for the quarter ended September 30, 2019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192</w:t>
      </w:r>
    </w:p>
    <w:p>
      <w:pPr>
        <w:sectPr>
          <w:pgSz w:w="11880" w:h="15480" w:orient="portrait"/>
          <w:cols w:equalWidth="0" w:num="1">
            <w:col w:w="10600"/>
          </w:cols>
          <w:pgMar w:left="640" w:top="1071" w:right="640" w:bottom="0" w:gutter="0" w:footer="0" w:header="0"/>
          <w:type w:val="continuous"/>
        </w:sectPr>
      </w:pPr>
    </w:p>
    <w:bookmarkStart w:id="193" w:name="page194"/>
    <w:bookmarkEnd w:id="193"/>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10.55</w:t>
      </w:r>
      <w:r>
        <w:rPr>
          <w:sz w:val="20"/>
          <w:szCs w:val="20"/>
          <w:color w:val="auto"/>
        </w:rPr>
        <w:tab/>
      </w:r>
      <w:r>
        <w:rPr>
          <w:rFonts w:ascii="Arial" w:cs="Arial" w:eastAsia="Arial" w:hAnsi="Arial"/>
          <w:sz w:val="20"/>
          <w:szCs w:val="20"/>
          <w:color w:val="00162F"/>
        </w:rPr>
        <w:t>Supplemental Agreement No. 14, dated as of February 24, 2020, to Purchase Agreement No. 3219 dated as of October 15, 2008, by and between American Airlines, Inc. and The Boeing Company (incorporated by reference to Exhibit 10.1 to AAG’s Quarterly Report on Form 10-Q for the quarter ended March 31, 2020 (Commission File No. 1-8400)).</w:t>
      </w:r>
      <w:r>
        <w:rPr>
          <w:rFonts w:ascii="Times New Roman" w:cs="Times New Roman" w:eastAsia="Times New Roman" w:hAnsi="Times New Roman"/>
          <w:sz w:val="20"/>
          <w:szCs w:val="20"/>
          <w:color w:val="00162F"/>
        </w:rPr>
        <w:t>**</w:t>
      </w:r>
    </w:p>
    <w:p>
      <w:pPr>
        <w:spacing w:after="0" w:line="20"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10.56</w:t>
      </w:r>
      <w:r>
        <w:rPr>
          <w:sz w:val="20"/>
          <w:szCs w:val="20"/>
          <w:color w:val="auto"/>
        </w:rPr>
        <w:tab/>
      </w:r>
      <w:r>
        <w:rPr>
          <w:rFonts w:ascii="Arial" w:cs="Arial" w:eastAsia="Arial" w:hAnsi="Arial"/>
          <w:sz w:val="20"/>
          <w:szCs w:val="20"/>
          <w:color w:val="00162F"/>
        </w:rPr>
        <w:t>Supplemental Agreement No. 15, dated as of March 16, 2020, to Purchase Agreement No. 3219 dated as of October 15, 2008, by and between American Airlines, Inc. and The Boeing Company (incorporated by reference to Exhibit 10.2 to AAG’s Quarterly Report on Form 10-Q for the quarter ended March 31, 2020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10.57</w:t>
      </w:r>
      <w:r>
        <w:rPr>
          <w:sz w:val="20"/>
          <w:szCs w:val="20"/>
          <w:color w:val="auto"/>
        </w:rPr>
        <w:tab/>
      </w:r>
      <w:r>
        <w:rPr>
          <w:rFonts w:ascii="Arial" w:cs="Arial" w:eastAsia="Arial" w:hAnsi="Arial"/>
          <w:sz w:val="20"/>
          <w:szCs w:val="20"/>
          <w:color w:val="00162F"/>
        </w:rPr>
        <w:t>Supplemental Agreement No. 16, dated as of May 21, 2021, to Purchase Agreement No. 3219 dated as of October 15, 2008, by and between American Airlines, Inc. and The Boeing Company (incorporated by reference to Exhibit 10.4 to AAG’s Quarterly Report on Form 10-Q for the quarter ended June 30, 2021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10.58</w:t>
      </w:r>
      <w:r>
        <w:rPr>
          <w:sz w:val="20"/>
          <w:szCs w:val="20"/>
          <w:color w:val="auto"/>
        </w:rPr>
        <w:tab/>
      </w:r>
      <w:r>
        <w:rPr>
          <w:rFonts w:ascii="Arial" w:cs="Arial" w:eastAsia="Arial" w:hAnsi="Arial"/>
          <w:sz w:val="20"/>
          <w:szCs w:val="20"/>
          <w:color w:val="00162F"/>
        </w:rPr>
        <w:t>Supplemental Agreement No. 17, dated as of January 31, 2022, to Purchase Agreement No. 3219 dated as of October 15, 2008, by and between American Airlines, Inc. and The Boeing Company (incorporated by reference to Exhibit 10.1 to AAG’s Quarterly Report on Form 10-Q for the quarter ended March 31, 2022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10.59</w:t>
      </w:r>
      <w:r>
        <w:rPr>
          <w:sz w:val="20"/>
          <w:szCs w:val="20"/>
          <w:color w:val="auto"/>
        </w:rPr>
        <w:tab/>
      </w:r>
      <w:r>
        <w:rPr>
          <w:rFonts w:ascii="Arial" w:cs="Arial" w:eastAsia="Arial" w:hAnsi="Arial"/>
          <w:sz w:val="20"/>
          <w:szCs w:val="20"/>
          <w:color w:val="00162F"/>
        </w:rPr>
        <w:t>Supplemental Agreement No. 18, dated as of February 9, 2023, to Purchase Agreement No. 3219 dated as of October 15, 2008, by and between American Airlines, Inc. and The Boeing Company (incorporated by reference to Exhibit 10.2 to AAG’s Quarterly Report on Form 10-Q for the quarter ended March 31, 2023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10.60</w:t>
      </w:r>
      <w:r>
        <w:rPr>
          <w:sz w:val="20"/>
          <w:szCs w:val="20"/>
          <w:color w:val="auto"/>
        </w:rPr>
        <w:tab/>
      </w:r>
      <w:r>
        <w:rPr>
          <w:rFonts w:ascii="Arial" w:cs="Arial" w:eastAsia="Arial" w:hAnsi="Arial"/>
          <w:sz w:val="20"/>
          <w:szCs w:val="20"/>
          <w:color w:val="00162F"/>
        </w:rPr>
        <w:t>Supplemental Agreement No. 19, dated as of April 23, 2023, to Purchase Agreement No. 3219 dated as of October 15, 2008, by and between American Airlines, Inc. and The Boeing Company (incorporated by reference to Exhibit 10.1 to AAG’s Quarterly Report on Form 10-Q for the quarter ended June 30, 2023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10.61</w:t>
      </w:r>
      <w:r>
        <w:rPr>
          <w:sz w:val="20"/>
          <w:szCs w:val="20"/>
          <w:color w:val="auto"/>
        </w:rPr>
        <w:tab/>
      </w:r>
      <w:r>
        <w:rPr>
          <w:rFonts w:ascii="Arial" w:cs="Arial" w:eastAsia="Arial" w:hAnsi="Arial"/>
          <w:sz w:val="20"/>
          <w:szCs w:val="20"/>
          <w:color w:val="00162F"/>
        </w:rPr>
        <w:t>Supplemental Agreement No. 20, dated as of August 31, 2023, to Purchase Agreement No. 3219 dated as of October 15, 2008, by and between American Airlines, Inc. and The Boeing Company (incorporated by reference to Exhibit 10.2 to AAG’s Quarterly Report on Form 10-Q for the quarter ended September 30, 2023 (Commission File No. 1-8400)).**</w:t>
      </w:r>
    </w:p>
    <w:p>
      <w:pPr>
        <w:spacing w:after="0" w:line="21"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10.62</w:t>
      </w:r>
      <w:r>
        <w:rPr>
          <w:sz w:val="20"/>
          <w:szCs w:val="20"/>
          <w:color w:val="auto"/>
        </w:rPr>
        <w:tab/>
      </w:r>
      <w:r>
        <w:rPr>
          <w:rFonts w:ascii="Arial" w:cs="Arial" w:eastAsia="Arial" w:hAnsi="Arial"/>
          <w:sz w:val="20"/>
          <w:szCs w:val="20"/>
          <w:color w:val="00162F"/>
        </w:rPr>
        <w:t>Supplemental Agreement No. 21, dated as of February 15, 2024, to Purchase Agreement No. 3219 dated as of October 15, 2008, by and between American Airlines, Inc. and The Boeing Company. (incorporated by reference to Exhibit 10.2 to AAG’s Quarterly Report on Form 10-Q for the quarter ended March 31, 2024 (Commission File No. 1-8400)).**</w:t>
      </w:r>
    </w:p>
    <w:p>
      <w:pPr>
        <w:spacing w:after="0" w:line="8"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10.63</w:t>
      </w:r>
      <w:r>
        <w:rPr>
          <w:sz w:val="20"/>
          <w:szCs w:val="20"/>
          <w:color w:val="auto"/>
        </w:rPr>
        <w:tab/>
      </w:r>
      <w:r>
        <w:rPr>
          <w:rFonts w:ascii="Arial" w:cs="Arial" w:eastAsia="Arial" w:hAnsi="Arial"/>
          <w:sz w:val="20"/>
          <w:szCs w:val="20"/>
          <w:color w:val="00162F"/>
        </w:rPr>
        <w:t>Supplemental Agreement No. 22, dated as of January 3, 2025, to Purchase Agreement No. 3219 dated as of October 15, 2008, by and between American Airlines, Inc. and The Boeing Company (incorporated by reference to Exhibit 10.2 to AAG’s Quarterly Report on Form 10-Q for the quarter ended March 31, 2025 (Commission File No. 1-8400)).**</w:t>
      </w:r>
    </w:p>
    <w:p>
      <w:pPr>
        <w:spacing w:after="0" w:line="21"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10.64</w:t>
      </w:r>
      <w:r>
        <w:rPr>
          <w:sz w:val="20"/>
          <w:szCs w:val="20"/>
          <w:color w:val="auto"/>
        </w:rPr>
        <w:tab/>
      </w:r>
      <w:r>
        <w:rPr>
          <w:rFonts w:ascii="Arial" w:cs="Arial" w:eastAsia="Arial" w:hAnsi="Arial"/>
          <w:sz w:val="19"/>
          <w:szCs w:val="19"/>
          <w:color w:val="00162F"/>
        </w:rPr>
        <w:t>Letter Agreement No. AAL-LA-2100511, dated as of March 9, 2021, to Purchase Agreement No. 3219 by and between American Airlines, Inc. and The Boeing Company (incorporated by reference to Exhibit 10.8 to AAG’s Quarterly Report on Form 10-Q for the quarter ended March 31, 2021 (Commission File No. 1-8400)).**</w:t>
      </w:r>
    </w:p>
    <w:p>
      <w:pPr>
        <w:spacing w:after="0" w:line="54"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10.65</w:t>
      </w:r>
      <w:r>
        <w:rPr>
          <w:sz w:val="20"/>
          <w:szCs w:val="20"/>
          <w:color w:val="auto"/>
        </w:rPr>
        <w:tab/>
      </w:r>
      <w:r>
        <w:rPr>
          <w:rFonts w:ascii="Arial" w:cs="Arial" w:eastAsia="Arial" w:hAnsi="Arial"/>
          <w:sz w:val="20"/>
          <w:szCs w:val="20"/>
          <w:color w:val="00162F"/>
        </w:rPr>
        <w:t>Amendment 1, dated as of March 25, 2021, to the Letter Agreement No. AAL-LA-2100511, dated as of March 9, 2021, to Purchase Agreement No. 3219 by and between American Airlines, Inc. and The Boeing Company (incorporated by reference to Exhibit 10.9 to AAG’s Quarterly Report on Form 10-Q for the quarter ended March 31, 2021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10.66</w:t>
      </w:r>
      <w:r>
        <w:rPr>
          <w:sz w:val="20"/>
          <w:szCs w:val="20"/>
          <w:color w:val="auto"/>
        </w:rPr>
        <w:tab/>
      </w:r>
      <w:r>
        <w:rPr>
          <w:rFonts w:ascii="Arial" w:cs="Arial" w:eastAsia="Arial" w:hAnsi="Arial"/>
          <w:sz w:val="20"/>
          <w:szCs w:val="20"/>
          <w:color w:val="00162F"/>
        </w:rPr>
        <w:t>Amendment 2, dated as of June 28, 2021, to the Letter Agreement No. AAL-LA-2100511, dated as of March 9, 2021, to Purchase Agreement No. 3219 by and between American Airlines, Inc. and The Boeing Company (incorporated by reference to Exhibit 10.3 to AAG’s Quarterly Report on Form 10-Q for the quarter ended June 30, 2021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10.67</w:t>
      </w:r>
      <w:r>
        <w:rPr>
          <w:sz w:val="20"/>
          <w:szCs w:val="20"/>
          <w:color w:val="auto"/>
        </w:rPr>
        <w:tab/>
      </w:r>
      <w:r>
        <w:rPr>
          <w:rFonts w:ascii="Arial" w:cs="Arial" w:eastAsia="Arial" w:hAnsi="Arial"/>
          <w:sz w:val="20"/>
          <w:szCs w:val="20"/>
          <w:color w:val="00162F"/>
        </w:rPr>
        <w:t>Amendment No. 3, dated as of September 24, 2021, to the Letter Agreement No. AAL-LA-2100511, dated as of March 9, 2021, to Purchase Agreement No. 3219 by and between American Airlines, Inc. and The Boeing Company (incorporated by reference to Exhibit 10.1 to AAG’s Quarterly Report on Form 10-Q for the quarter ended September 30, 2021 (Commission File No. 1-8400)).**</w:t>
      </w:r>
    </w:p>
    <w:p>
      <w:pPr>
        <w:spacing w:after="0" w:line="21"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10.68</w:t>
      </w:r>
      <w:r>
        <w:rPr>
          <w:sz w:val="20"/>
          <w:szCs w:val="20"/>
          <w:color w:val="auto"/>
        </w:rPr>
        <w:tab/>
      </w:r>
      <w:r>
        <w:rPr>
          <w:rFonts w:ascii="Arial" w:cs="Arial" w:eastAsia="Arial" w:hAnsi="Arial"/>
          <w:sz w:val="19"/>
          <w:szCs w:val="19"/>
          <w:color w:val="00162F"/>
        </w:rPr>
        <w:t>Letter Agreement No. AAL LA 2100530, dated as of March 9, 2021, to Purchase Agreement No. 3219 by and between American Airlines, Inc. and The Boeing Company (incorporated by reference to Exhibit 10.10 to AAG’s Quarterly Report on Form 10-Q for the quarter ended March 31, 2021 (Commission File No. 1-8400)).**</w:t>
      </w:r>
    </w:p>
    <w:p>
      <w:pPr>
        <w:spacing w:after="0" w:line="54"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10.69</w:t>
      </w:r>
      <w:r>
        <w:rPr>
          <w:sz w:val="20"/>
          <w:szCs w:val="20"/>
          <w:color w:val="auto"/>
        </w:rPr>
        <w:tab/>
      </w:r>
      <w:r>
        <w:rPr>
          <w:rFonts w:ascii="Arial" w:cs="Arial" w:eastAsia="Arial" w:hAnsi="Arial"/>
          <w:sz w:val="20"/>
          <w:szCs w:val="20"/>
          <w:color w:val="00162F"/>
        </w:rPr>
        <w:t>Amendment No. 4, dated as of December 15, 2021, to the Letter Agreement No. AAL-LA-2100511, dated as of March 9, 2021, to Purchase Agreement No. 3219 by and between American Airlines, Inc. and The Boeing Company (incorporated by reference to Exhibit 10.19 to AAG’s Annual Report on Form 10-K for the year ended December 31, 2021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193</w:t>
      </w:r>
    </w:p>
    <w:p>
      <w:pPr>
        <w:sectPr>
          <w:pgSz w:w="11880" w:h="15480" w:orient="portrait"/>
          <w:cols w:equalWidth="0" w:num="1">
            <w:col w:w="10600"/>
          </w:cols>
          <w:pgMar w:left="640" w:top="1071" w:right="640" w:bottom="0" w:gutter="0" w:footer="0" w:header="0"/>
          <w:type w:val="continuous"/>
        </w:sectPr>
      </w:pPr>
    </w:p>
    <w:bookmarkStart w:id="194" w:name="page195"/>
    <w:bookmarkEnd w:id="194"/>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10.70</w:t>
      </w:r>
      <w:r>
        <w:rPr>
          <w:sz w:val="20"/>
          <w:szCs w:val="20"/>
          <w:color w:val="auto"/>
        </w:rPr>
        <w:tab/>
      </w:r>
      <w:r>
        <w:rPr>
          <w:rFonts w:ascii="Arial" w:cs="Arial" w:eastAsia="Arial" w:hAnsi="Arial"/>
          <w:sz w:val="20"/>
          <w:szCs w:val="20"/>
          <w:color w:val="00162F"/>
        </w:rPr>
        <w:t>Letter Agreement, dated as of January 19, 2023, to Purchase Agreement No. 3219 by and between American Airlines, Inc. and The Boeing Company (incorporated by reference to Exhibit 10.1 to AAG’s Quarterly Report on Form 10-Q for the quarter ended March 31, 2023 (Commission File No. 1-8400)).**</w:t>
      </w:r>
    </w:p>
    <w:p>
      <w:pPr>
        <w:spacing w:after="0" w:line="10" w:lineRule="exact"/>
        <w:rPr>
          <w:sz w:val="20"/>
          <w:szCs w:val="20"/>
          <w:color w:val="auto"/>
        </w:rPr>
      </w:pPr>
    </w:p>
    <w:p>
      <w:pPr>
        <w:jc w:val="both"/>
        <w:ind w:left="860" w:hanging="845"/>
        <w:spacing w:after="0" w:line="247" w:lineRule="auto"/>
        <w:tabs>
          <w:tab w:leader="none" w:pos="840" w:val="left"/>
        </w:tabs>
        <w:rPr>
          <w:sz w:val="20"/>
          <w:szCs w:val="20"/>
          <w:color w:val="auto"/>
        </w:rPr>
      </w:pPr>
      <w:r>
        <w:rPr>
          <w:rFonts w:ascii="Arial" w:cs="Arial" w:eastAsia="Arial" w:hAnsi="Arial"/>
          <w:sz w:val="20"/>
          <w:szCs w:val="20"/>
          <w:color w:val="00162F"/>
        </w:rPr>
        <w:t>10.71</w:t>
      </w:r>
      <w:r>
        <w:rPr>
          <w:sz w:val="20"/>
          <w:szCs w:val="20"/>
          <w:color w:val="auto"/>
        </w:rPr>
        <w:tab/>
      </w:r>
      <w:r>
        <w:rPr>
          <w:rFonts w:ascii="Arial" w:cs="Arial" w:eastAsia="Arial" w:hAnsi="Arial"/>
          <w:sz w:val="20"/>
          <w:szCs w:val="20"/>
          <w:color w:val="00162F"/>
        </w:rPr>
        <w:t>A320 Family Aircraft Purchase Agreement, dated as of July 20, 2011, between American Airlines, Inc. and Airbus S.A.S (incorporated by reference to Exhibit 10.46 to AAG’s Annual Report on Form 10-K for the year ended December 31, 2020 (Commission File No. 1-8400)).**</w:t>
      </w:r>
    </w:p>
    <w:p>
      <w:pPr>
        <w:spacing w:after="0" w:line="3"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10.72</w:t>
      </w:r>
      <w:r>
        <w:rPr>
          <w:sz w:val="20"/>
          <w:szCs w:val="20"/>
          <w:color w:val="auto"/>
        </w:rPr>
        <w:tab/>
      </w:r>
      <w:r>
        <w:rPr>
          <w:rFonts w:ascii="Arial" w:cs="Arial" w:eastAsia="Arial" w:hAnsi="Arial"/>
          <w:sz w:val="20"/>
          <w:szCs w:val="20"/>
          <w:color w:val="00162F"/>
        </w:rPr>
        <w:t>Amendment No. 1, dated as of January 11, 2013, to A320 Family Aircraft Purchase Agreement between American Airlines, Inc. and Airbus S.A.S., dated as of July 20, 2011 (incorporated by reference to Exhibit 10.47 to AAG’s Annual Report on Form 10-K for the year ended December 31, 2020 (Commission File No. 1-8400)).**</w:t>
      </w:r>
    </w:p>
    <w:p>
      <w:pPr>
        <w:spacing w:after="0" w:line="8" w:lineRule="exact"/>
        <w:rPr>
          <w:sz w:val="20"/>
          <w:szCs w:val="20"/>
          <w:color w:val="auto"/>
        </w:rPr>
      </w:pPr>
    </w:p>
    <w:p>
      <w:pPr>
        <w:jc w:val="both"/>
        <w:ind w:left="860" w:hanging="845"/>
        <w:spacing w:after="0" w:line="260" w:lineRule="auto"/>
        <w:tabs>
          <w:tab w:leader="none" w:pos="840" w:val="left"/>
        </w:tabs>
        <w:rPr>
          <w:sz w:val="20"/>
          <w:szCs w:val="20"/>
          <w:color w:val="auto"/>
        </w:rPr>
      </w:pPr>
      <w:r>
        <w:rPr>
          <w:rFonts w:ascii="Arial" w:cs="Arial" w:eastAsia="Arial" w:hAnsi="Arial"/>
          <w:sz w:val="20"/>
          <w:szCs w:val="20"/>
          <w:color w:val="00162F"/>
        </w:rPr>
        <w:t>10.73</w:t>
      </w:r>
      <w:r>
        <w:rPr>
          <w:sz w:val="20"/>
          <w:szCs w:val="20"/>
          <w:color w:val="auto"/>
        </w:rPr>
        <w:tab/>
      </w:r>
      <w:r>
        <w:rPr>
          <w:rFonts w:ascii="Arial" w:cs="Arial" w:eastAsia="Arial" w:hAnsi="Arial"/>
          <w:sz w:val="19"/>
          <w:szCs w:val="19"/>
          <w:color w:val="00162F"/>
        </w:rPr>
        <w:t>Amendment No. 2, dated as of May 30, 2013, to A320 Family Aircraft Purchase Agreement between American Airlines, Inc. and Airbus S.A.S, dated as of July 20, 2011 (incorporated by reference to Exhibit 10.48 to AAG’s Annual Report on Form 10-K for the year ended December 31, 2020 (Commission File No. 1-8400)).**</w:t>
      </w:r>
    </w:p>
    <w:p>
      <w:pPr>
        <w:spacing w:after="0" w:line="3"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10.74</w:t>
      </w:r>
      <w:r>
        <w:rPr>
          <w:sz w:val="20"/>
          <w:szCs w:val="20"/>
          <w:color w:val="auto"/>
        </w:rPr>
        <w:tab/>
      </w:r>
      <w:r>
        <w:rPr>
          <w:rFonts w:ascii="Arial" w:cs="Arial" w:eastAsia="Arial" w:hAnsi="Arial"/>
          <w:sz w:val="20"/>
          <w:szCs w:val="20"/>
          <w:color w:val="00162F"/>
        </w:rPr>
        <w:t>Amendment No. 3, dated as of November 20, 2013, to A320 Family Aircraft Purchase Agreement between American Airlines, Inc. and Airbus S.A.S., dated as of July 20, 2011 (incorporated by reference to Exhibit 10.49 to AAG’s Annual Report on Form 10-K for the year ended December 31, 2020 (Commission File No. 1-8400)).**</w:t>
      </w:r>
    </w:p>
    <w:p>
      <w:pPr>
        <w:spacing w:after="0" w:line="8" w:lineRule="exact"/>
        <w:rPr>
          <w:sz w:val="20"/>
          <w:szCs w:val="20"/>
          <w:color w:val="auto"/>
        </w:rPr>
      </w:pPr>
    </w:p>
    <w:p>
      <w:pPr>
        <w:jc w:val="both"/>
        <w:ind w:left="860" w:hanging="845"/>
        <w:spacing w:after="0" w:line="256" w:lineRule="auto"/>
        <w:tabs>
          <w:tab w:leader="none" w:pos="840" w:val="left"/>
        </w:tabs>
        <w:rPr>
          <w:sz w:val="20"/>
          <w:szCs w:val="20"/>
          <w:color w:val="auto"/>
        </w:rPr>
      </w:pPr>
      <w:r>
        <w:rPr>
          <w:rFonts w:ascii="Arial" w:cs="Arial" w:eastAsia="Arial" w:hAnsi="Arial"/>
          <w:sz w:val="20"/>
          <w:szCs w:val="20"/>
          <w:color w:val="00162F"/>
        </w:rPr>
        <w:t>10.75</w:t>
      </w:r>
      <w:r>
        <w:rPr>
          <w:sz w:val="20"/>
          <w:szCs w:val="20"/>
          <w:color w:val="auto"/>
        </w:rPr>
        <w:tab/>
      </w:r>
      <w:r>
        <w:rPr>
          <w:rFonts w:ascii="Arial" w:cs="Arial" w:eastAsia="Arial" w:hAnsi="Arial"/>
          <w:sz w:val="19"/>
          <w:szCs w:val="19"/>
          <w:color w:val="00162F"/>
        </w:rPr>
        <w:t>Amendment No. 4, dated as of June 18, 2014, to the A320 Family Aircraft Purchase Agreement between Airbus S.A.S., as seller, and American Airlines, Inc., as buyer, dated as of July 20, 2011, as amended, restated, amended and restated, supplemented or otherwise modified (incorporated by reference to Exhibit 10.50 to AAG’s Annual Report on Form 10-K for the year ended December 31, 2020 (Commission File No. 1-8400)).**</w:t>
      </w:r>
    </w:p>
    <w:p>
      <w:pPr>
        <w:spacing w:after="0" w:line="3" w:lineRule="exact"/>
        <w:rPr>
          <w:sz w:val="20"/>
          <w:szCs w:val="20"/>
          <w:color w:val="auto"/>
        </w:rPr>
      </w:pPr>
    </w:p>
    <w:p>
      <w:pPr>
        <w:jc w:val="both"/>
        <w:ind w:left="860" w:hanging="845"/>
        <w:spacing w:after="0" w:line="256" w:lineRule="auto"/>
        <w:tabs>
          <w:tab w:leader="none" w:pos="840" w:val="left"/>
        </w:tabs>
        <w:rPr>
          <w:sz w:val="20"/>
          <w:szCs w:val="20"/>
          <w:color w:val="auto"/>
        </w:rPr>
      </w:pPr>
      <w:r>
        <w:rPr>
          <w:rFonts w:ascii="Arial" w:cs="Arial" w:eastAsia="Arial" w:hAnsi="Arial"/>
          <w:sz w:val="20"/>
          <w:szCs w:val="20"/>
          <w:color w:val="00162F"/>
        </w:rPr>
        <w:t>10.76</w:t>
      </w:r>
      <w:r>
        <w:rPr>
          <w:sz w:val="20"/>
          <w:szCs w:val="20"/>
          <w:color w:val="auto"/>
        </w:rPr>
        <w:tab/>
      </w:r>
      <w:r>
        <w:rPr>
          <w:rFonts w:ascii="Arial" w:cs="Arial" w:eastAsia="Arial" w:hAnsi="Arial"/>
          <w:sz w:val="19"/>
          <w:szCs w:val="19"/>
          <w:color w:val="00162F"/>
        </w:rPr>
        <w:t>Amendment No. 5, dated as of June 24, 2014, to the A320 Family Aircraft Purchase Agreement between Airbus S.A.S., as seller, and American Airlines, Inc., as buyer, dated as of July 20, 2011, as amended, restated, amended and restated, supplemented or otherwise modified (incorporated by reference to Exhibit 10.51 to AAG’s Annual Report on Form 10-K for the year ended December 31, 2020 (Commission File No. 1-8400)).**</w:t>
      </w:r>
    </w:p>
    <w:p>
      <w:pPr>
        <w:spacing w:after="0" w:line="3"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10.77</w:t>
      </w:r>
      <w:r>
        <w:rPr>
          <w:sz w:val="20"/>
          <w:szCs w:val="20"/>
          <w:color w:val="auto"/>
        </w:rPr>
        <w:tab/>
      </w:r>
      <w:r>
        <w:rPr>
          <w:rFonts w:ascii="Arial" w:cs="Arial" w:eastAsia="Arial" w:hAnsi="Arial"/>
          <w:sz w:val="20"/>
          <w:szCs w:val="20"/>
          <w:color w:val="00162F"/>
        </w:rPr>
        <w:t>Amendment No. 6, dated as of July 1, 2014, to the A320 Family Aircraft Purchase Agreement between Airbus S.A.S., as seller, and American Airlines, Inc., as buyer, dated as of July 20, 2011, as amended, restated, amended and restated, supplemented or otherwise modified (incorporated by reference to Exhibit 10.52 to AAG’s Annual Report on Form 10-K for the year ended December 31, 2020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10.78</w:t>
      </w:r>
      <w:r>
        <w:rPr>
          <w:sz w:val="20"/>
          <w:szCs w:val="20"/>
          <w:color w:val="auto"/>
        </w:rPr>
        <w:tab/>
      </w:r>
      <w:r>
        <w:rPr>
          <w:rFonts w:ascii="Arial" w:cs="Arial" w:eastAsia="Arial" w:hAnsi="Arial"/>
          <w:sz w:val="20"/>
          <w:szCs w:val="20"/>
          <w:color w:val="00162F"/>
        </w:rPr>
        <w:t>Amendment No. 7, dated as of November 25, 2014, to the A320 Family Aircraft Purchase Agreement between Airbus S.A.S., as seller, and American Airlines, Inc., as buyer, dated as of July 20, 2011, as amended, restated, amended and restated, supplemented or otherwise (incorporated by reference to Exhibit 10.53 to AAG’s Annual Report on Form 10-K for the year ended December 31, 2020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10.79</w:t>
      </w:r>
      <w:r>
        <w:rPr>
          <w:sz w:val="20"/>
          <w:szCs w:val="20"/>
          <w:color w:val="auto"/>
        </w:rPr>
        <w:tab/>
      </w:r>
      <w:r>
        <w:rPr>
          <w:rFonts w:ascii="Arial" w:cs="Arial" w:eastAsia="Arial" w:hAnsi="Arial"/>
          <w:sz w:val="20"/>
          <w:szCs w:val="20"/>
          <w:color w:val="00162F"/>
        </w:rPr>
        <w:t>Amendment No. 8, dated as of June 11, 2015, to the A320 Family Aircraft Purchase Agreement between American Airlines, Inc. and Airbus S.A.S., dated as of July 20, 2011, as amended, restated, amended and restated, supplemented or otherwise modified (incorporated by reference to Exhibit 10.54 to AAG’s Annual Report on Form 10-K for the year ended December 31, 2020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10.80</w:t>
      </w:r>
      <w:r>
        <w:rPr>
          <w:sz w:val="20"/>
          <w:szCs w:val="20"/>
          <w:color w:val="auto"/>
        </w:rPr>
        <w:tab/>
      </w:r>
      <w:r>
        <w:rPr>
          <w:rFonts w:ascii="Arial" w:cs="Arial" w:eastAsia="Arial" w:hAnsi="Arial"/>
          <w:sz w:val="20"/>
          <w:szCs w:val="20"/>
          <w:color w:val="00162F"/>
        </w:rPr>
        <w:t>Amendment No. 9, dated as of September 23, 2015, to the A320 Family Aircraft Purchase Agreement, dated as of July 20, 2011, between American Airlines, Inc. and Airbus S.A.S. (incorporated by reference to Exhibit 10.55 to AAG’s Annual Report on Form 10-K for the year ended December 31, 2020 (Commission File No. 1-8400)).**</w:t>
      </w:r>
    </w:p>
    <w:p>
      <w:pPr>
        <w:spacing w:after="0" w:line="8" w:lineRule="exact"/>
        <w:rPr>
          <w:sz w:val="20"/>
          <w:szCs w:val="20"/>
          <w:color w:val="auto"/>
        </w:rPr>
      </w:pPr>
    </w:p>
    <w:p>
      <w:pPr>
        <w:jc w:val="both"/>
        <w:ind w:left="860" w:hanging="845"/>
        <w:spacing w:after="0" w:line="266" w:lineRule="auto"/>
        <w:tabs>
          <w:tab w:leader="none" w:pos="840" w:val="left"/>
        </w:tabs>
        <w:rPr>
          <w:sz w:val="20"/>
          <w:szCs w:val="20"/>
          <w:color w:val="auto"/>
        </w:rPr>
      </w:pPr>
      <w:r>
        <w:rPr>
          <w:rFonts w:ascii="Arial" w:cs="Arial" w:eastAsia="Arial" w:hAnsi="Arial"/>
          <w:sz w:val="20"/>
          <w:szCs w:val="20"/>
          <w:color w:val="00162F"/>
        </w:rPr>
        <w:t>10.81</w:t>
      </w:r>
      <w:r>
        <w:rPr>
          <w:sz w:val="20"/>
          <w:szCs w:val="20"/>
          <w:color w:val="auto"/>
        </w:rPr>
        <w:tab/>
      </w:r>
      <w:r>
        <w:rPr>
          <w:rFonts w:ascii="Arial" w:cs="Arial" w:eastAsia="Arial" w:hAnsi="Arial"/>
          <w:sz w:val="19"/>
          <w:szCs w:val="19"/>
          <w:color w:val="00162F"/>
        </w:rPr>
        <w:t>Amendment No. 10, dated as of July 16, 2018, to the A320 Family Aircraft Purchase Agreement, dated as of July 20, 2011, between American Airlines, Inc. and Airbus S.A.S. (incorporated by reference to Exhibit 10.56 to AAG’s Annual Report on Form 10-K for the year ended December 31, 2020 (Commission File No. 1-8400)).**</w:t>
      </w:r>
    </w:p>
    <w:p>
      <w:pPr>
        <w:spacing w:after="0" w:line="1" w:lineRule="exact"/>
        <w:rPr>
          <w:sz w:val="20"/>
          <w:szCs w:val="20"/>
          <w:color w:val="auto"/>
        </w:rPr>
      </w:pPr>
    </w:p>
    <w:p>
      <w:pPr>
        <w:jc w:val="both"/>
        <w:ind w:left="860" w:hanging="845"/>
        <w:spacing w:after="0" w:line="253" w:lineRule="auto"/>
        <w:tabs>
          <w:tab w:leader="none" w:pos="840" w:val="left"/>
        </w:tabs>
        <w:rPr>
          <w:sz w:val="20"/>
          <w:szCs w:val="20"/>
          <w:color w:val="auto"/>
        </w:rPr>
      </w:pPr>
      <w:r>
        <w:rPr>
          <w:rFonts w:ascii="Arial" w:cs="Arial" w:eastAsia="Arial" w:hAnsi="Arial"/>
          <w:sz w:val="20"/>
          <w:szCs w:val="20"/>
          <w:color w:val="00162F"/>
        </w:rPr>
        <w:t>10.82</w:t>
      </w:r>
      <w:r>
        <w:rPr>
          <w:sz w:val="20"/>
          <w:szCs w:val="20"/>
          <w:color w:val="auto"/>
        </w:rPr>
        <w:tab/>
      </w:r>
      <w:r>
        <w:rPr>
          <w:rFonts w:ascii="Arial" w:cs="Arial" w:eastAsia="Arial" w:hAnsi="Arial"/>
          <w:sz w:val="20"/>
          <w:szCs w:val="20"/>
          <w:color w:val="00162F"/>
        </w:rPr>
        <w:t>Amendment No. 11, dated as of June 19, 2019, to the A320 Family Aircraft Purchase Agreement, dated as of July 20, 2011, between American Airlines, Inc. and Airbus S.A.S. (incorporated by reference to Exhibit 10.2 to AAG’s Quarterly Report on Form 10-Q for the quarter ended June 30, 2019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10.83</w:t>
      </w:r>
      <w:r>
        <w:rPr>
          <w:sz w:val="20"/>
          <w:szCs w:val="20"/>
          <w:color w:val="auto"/>
        </w:rPr>
        <w:tab/>
      </w:r>
      <w:r>
        <w:rPr>
          <w:rFonts w:ascii="Arial" w:cs="Arial" w:eastAsia="Arial" w:hAnsi="Arial"/>
          <w:sz w:val="20"/>
          <w:szCs w:val="20"/>
          <w:color w:val="00162F"/>
        </w:rPr>
        <w:t>Amendment No. 12, dated as of June 26, 2020, to the A320 Family Aircraft Purchase Agreement between Airbus S.A.S., as seller, and American Airlines, Inc. as buyer, dated as of July 20, 2011, as amended, restated, amended and restated, supplemented or otherwise (incorporated by reference to Exhibit 10.3 to AAG’s Quarterly Report on Form 10-Q for the quarter ended June 30, 2020 (Commission File No. 1-8400)).**</w:t>
      </w:r>
    </w:p>
    <w:p>
      <w:pPr>
        <w:jc w:val="both"/>
        <w:ind w:left="860" w:hanging="845"/>
        <w:spacing w:after="0" w:line="266" w:lineRule="auto"/>
        <w:tabs>
          <w:tab w:leader="none" w:pos="840" w:val="left"/>
        </w:tabs>
        <w:rPr>
          <w:sz w:val="20"/>
          <w:szCs w:val="20"/>
          <w:color w:val="auto"/>
        </w:rPr>
      </w:pPr>
      <w:r>
        <w:rPr>
          <w:rFonts w:ascii="Arial" w:cs="Arial" w:eastAsia="Arial" w:hAnsi="Arial"/>
          <w:sz w:val="20"/>
          <w:szCs w:val="20"/>
          <w:color w:val="00162F"/>
        </w:rPr>
        <w:t>10.84</w:t>
      </w:r>
      <w:r>
        <w:rPr>
          <w:sz w:val="20"/>
          <w:szCs w:val="20"/>
          <w:color w:val="auto"/>
        </w:rPr>
        <w:tab/>
      </w:r>
      <w:r>
        <w:rPr>
          <w:rFonts w:ascii="Arial" w:cs="Arial" w:eastAsia="Arial" w:hAnsi="Arial"/>
          <w:sz w:val="19"/>
          <w:szCs w:val="19"/>
          <w:color w:val="00162F"/>
        </w:rPr>
        <w:t>Amendment No. 13, dated as of July 13, 2020, to the A320 Family Aircraft Purchase Agreement between Airbus S.A.S., as seller, and American Airlines, Inc. as buyer, dated as of July 20, 2011, as amended, restated, amended and restated, supplemented or otherwise (incorporated by reference to Exhibit 10.2 to AAG’s Quarterly Report on Form 10-Q for the quarter ended September 30, 2020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194</w:t>
      </w:r>
    </w:p>
    <w:p>
      <w:pPr>
        <w:sectPr>
          <w:pgSz w:w="11880" w:h="15480" w:orient="portrait"/>
          <w:cols w:equalWidth="0" w:num="1">
            <w:col w:w="10600"/>
          </w:cols>
          <w:pgMar w:left="640" w:top="1071" w:right="640" w:bottom="0" w:gutter="0" w:footer="0" w:header="0"/>
          <w:type w:val="continuous"/>
        </w:sectPr>
      </w:pPr>
    </w:p>
    <w:bookmarkStart w:id="195" w:name="page196"/>
    <w:bookmarkEnd w:id="195"/>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10.85</w:t>
      </w:r>
      <w:r>
        <w:rPr>
          <w:sz w:val="20"/>
          <w:szCs w:val="20"/>
          <w:color w:val="auto"/>
        </w:rPr>
        <w:tab/>
      </w:r>
      <w:r>
        <w:rPr>
          <w:rFonts w:ascii="Arial" w:cs="Arial" w:eastAsia="Arial" w:hAnsi="Arial"/>
          <w:sz w:val="20"/>
          <w:szCs w:val="20"/>
          <w:color w:val="00162F"/>
        </w:rPr>
        <w:t>Amendment No. 14, dated as of October 8, 2020, to the A320 Family Aircraft Purchase Agreement between Airbus S.A.S., as seller, and American Airlines, Inc. as buyer, dated as of July 20, 2011, as amended, restated, amended and restated, supplemented or otherwise (incorporated by reference to Exhibit 10.60 to AAG’s Annual Report on Form 10-K for the year ended December 31, 2020 (Commission File No. 1-8400)).**</w:t>
      </w:r>
    </w:p>
    <w:p>
      <w:pPr>
        <w:jc w:val="both"/>
        <w:ind w:left="860" w:hanging="845"/>
        <w:spacing w:after="0" w:line="256" w:lineRule="auto"/>
        <w:tabs>
          <w:tab w:leader="none" w:pos="840" w:val="left"/>
        </w:tabs>
        <w:rPr>
          <w:sz w:val="20"/>
          <w:szCs w:val="20"/>
          <w:color w:val="auto"/>
        </w:rPr>
      </w:pPr>
      <w:r>
        <w:rPr>
          <w:rFonts w:ascii="Arial" w:cs="Arial" w:eastAsia="Arial" w:hAnsi="Arial"/>
          <w:sz w:val="20"/>
          <w:szCs w:val="20"/>
          <w:color w:val="00162F"/>
        </w:rPr>
        <w:t>10.86</w:t>
      </w:r>
      <w:r>
        <w:rPr>
          <w:sz w:val="20"/>
          <w:szCs w:val="20"/>
          <w:color w:val="auto"/>
        </w:rPr>
        <w:tab/>
      </w:r>
      <w:r>
        <w:rPr>
          <w:rFonts w:ascii="Arial" w:cs="Arial" w:eastAsia="Arial" w:hAnsi="Arial"/>
          <w:sz w:val="19"/>
          <w:szCs w:val="19"/>
          <w:color w:val="00162F"/>
        </w:rPr>
        <w:t>Amendment No. 15, dated as of June 30, 2021, to the A320 Family Aircraft Purchase Agreement between Airbus S.A.S., as seller, and American Airlines, Inc. as buyer, dated as of July 20, 2011, as amended, restated, amended and restated, supplemented or otherwise (incorporated by reference to Exhibit 10.2 to AAG’s Quarterly Report on Form 10-Q for the quarter ended September 30, 2021 (Commission File No. 1-8400)).**</w:t>
      </w:r>
    </w:p>
    <w:p>
      <w:pPr>
        <w:spacing w:after="0" w:line="3" w:lineRule="exact"/>
        <w:rPr>
          <w:sz w:val="20"/>
          <w:szCs w:val="20"/>
          <w:color w:val="auto"/>
        </w:rPr>
      </w:pPr>
    </w:p>
    <w:p>
      <w:pPr>
        <w:jc w:val="both"/>
        <w:ind w:left="860" w:hanging="845"/>
        <w:spacing w:after="0" w:line="247" w:lineRule="auto"/>
        <w:tabs>
          <w:tab w:leader="none" w:pos="840" w:val="left"/>
        </w:tabs>
        <w:rPr>
          <w:sz w:val="20"/>
          <w:szCs w:val="20"/>
          <w:color w:val="auto"/>
        </w:rPr>
      </w:pPr>
      <w:r>
        <w:rPr>
          <w:rFonts w:ascii="Arial" w:cs="Arial" w:eastAsia="Arial" w:hAnsi="Arial"/>
          <w:sz w:val="20"/>
          <w:szCs w:val="20"/>
          <w:color w:val="00162F"/>
        </w:rPr>
        <w:t>10.87</w:t>
      </w:r>
      <w:r>
        <w:rPr>
          <w:sz w:val="20"/>
          <w:szCs w:val="20"/>
          <w:color w:val="auto"/>
        </w:rPr>
        <w:tab/>
      </w:r>
      <w:r>
        <w:rPr>
          <w:rFonts w:ascii="Arial" w:cs="Arial" w:eastAsia="Arial" w:hAnsi="Arial"/>
          <w:sz w:val="20"/>
          <w:szCs w:val="20"/>
          <w:color w:val="00162F"/>
        </w:rPr>
        <w:t>Amendment No. 16, dated as of March 2, 2024, to the A320 Family Aircraft Purchase Agreement between Airbus S.A.S., as seller, and American Airlines, Inc. as buyer, dated as of July 20, 2011. (incorporated by reference to Exhibit 10.1 to AAG’s Quarterly Report on Form 10-Q for the quarter ended March 31, 2024 (Commission File No. 1-8400)).**</w:t>
      </w:r>
    </w:p>
    <w:p>
      <w:pPr>
        <w:spacing w:after="0" w:line="3"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10.88</w:t>
      </w:r>
      <w:r>
        <w:rPr>
          <w:sz w:val="20"/>
          <w:szCs w:val="20"/>
          <w:color w:val="auto"/>
        </w:rPr>
        <w:tab/>
      </w:r>
      <w:r>
        <w:rPr>
          <w:rFonts w:ascii="Arial" w:cs="Arial" w:eastAsia="Arial" w:hAnsi="Arial"/>
          <w:sz w:val="20"/>
          <w:szCs w:val="20"/>
          <w:color w:val="00162F"/>
        </w:rPr>
        <w:t>Consent Agreement, dated as of October 5, 2015, between American Airlines, Inc. (as successor in interest to US Airways, Inc.), American Airlines, Inc. and Airbus S.A.S. (incorporated by reference to Exhibit 10.95 to AAG’s Annual Report on Form 10-K for the year ended December 31, 2021 (Commission File No. 1-8400))**</w:t>
      </w:r>
    </w:p>
    <w:p>
      <w:pPr>
        <w:spacing w:after="0" w:line="10" w:lineRule="exact"/>
        <w:rPr>
          <w:sz w:val="20"/>
          <w:szCs w:val="20"/>
          <w:color w:val="auto"/>
        </w:rPr>
      </w:pPr>
    </w:p>
    <w:p>
      <w:pPr>
        <w:jc w:val="both"/>
        <w:ind w:left="860" w:hanging="845"/>
        <w:spacing w:after="0" w:line="253" w:lineRule="auto"/>
        <w:tabs>
          <w:tab w:leader="none" w:pos="840" w:val="left"/>
        </w:tabs>
        <w:rPr>
          <w:sz w:val="20"/>
          <w:szCs w:val="20"/>
          <w:color w:val="auto"/>
        </w:rPr>
      </w:pPr>
      <w:r>
        <w:rPr>
          <w:rFonts w:ascii="Arial" w:cs="Arial" w:eastAsia="Arial" w:hAnsi="Arial"/>
          <w:sz w:val="20"/>
          <w:szCs w:val="20"/>
          <w:color w:val="00162F"/>
        </w:rPr>
        <w:t>10.89</w:t>
      </w:r>
      <w:r>
        <w:rPr>
          <w:sz w:val="20"/>
          <w:szCs w:val="20"/>
          <w:color w:val="auto"/>
        </w:rPr>
        <w:tab/>
      </w:r>
      <w:r>
        <w:rPr>
          <w:rFonts w:ascii="Arial" w:cs="Arial" w:eastAsia="Arial" w:hAnsi="Arial"/>
          <w:sz w:val="20"/>
          <w:szCs w:val="20"/>
          <w:color w:val="00162F"/>
        </w:rPr>
        <w:t>Purchase Agreement No. 03735, dated as of February 1, 2013, between American Airlines, Inc., and The Boeing Company (incorporated by reference to Exhibit 10.69 to AAG’s Annual Report on Form 10-K for the year ended December 31, 2021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10.90</w:t>
      </w:r>
      <w:r>
        <w:rPr>
          <w:sz w:val="20"/>
          <w:szCs w:val="20"/>
          <w:color w:val="auto"/>
        </w:rPr>
        <w:tab/>
      </w:r>
      <w:r>
        <w:rPr>
          <w:rFonts w:ascii="Arial" w:cs="Arial" w:eastAsia="Arial" w:hAnsi="Arial"/>
          <w:sz w:val="20"/>
          <w:szCs w:val="20"/>
          <w:color w:val="00162F"/>
        </w:rPr>
        <w:t>Supplemental Agreement No. 1, dated as of April 15, 2013, to Purchase Agreement No. 03735 dated as of February 1, 2013, between American Airlines, Inc. and The Boeing Company (incorporated by reference to Exhibit 10.70 to AAG’s Annual Report on Form 10-K for the year ended December 31, 2021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10.91</w:t>
      </w:r>
      <w:r>
        <w:rPr>
          <w:sz w:val="20"/>
          <w:szCs w:val="20"/>
          <w:color w:val="auto"/>
        </w:rPr>
        <w:tab/>
      </w:r>
      <w:r>
        <w:rPr>
          <w:rFonts w:ascii="Arial" w:cs="Arial" w:eastAsia="Arial" w:hAnsi="Arial"/>
          <w:sz w:val="20"/>
          <w:szCs w:val="20"/>
          <w:color w:val="00162F"/>
        </w:rPr>
        <w:t>Supplemental Agreement No. 2, dated as of March 6, 2015, to Purchase Agreement No. 03735 dated as of February 1, 2013, between American Airlines, Inc. and The Boeing Company (incorporated by reference to Exhibit 10.71 to AAG’s Annual Report on Form 10-K for the year ended December 31, 2021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10.92</w:t>
      </w:r>
      <w:r>
        <w:rPr>
          <w:sz w:val="20"/>
          <w:szCs w:val="20"/>
          <w:color w:val="auto"/>
        </w:rPr>
        <w:tab/>
      </w:r>
      <w:r>
        <w:rPr>
          <w:rFonts w:ascii="Arial" w:cs="Arial" w:eastAsia="Arial" w:hAnsi="Arial"/>
          <w:sz w:val="20"/>
          <w:szCs w:val="20"/>
          <w:color w:val="00162F"/>
        </w:rPr>
        <w:t>Supplemental Agreement No. 3, dated as of May 22, 2015, to Purchase Agreement No. 03735 dated as of February 1, 2013, between American Airlines, Inc. and The Boeing Company (incorporated by reference to Exhibit 10.72 to AAG’s Annual Report on Form 10-K for the year ended December 31, 2021 (Commission File No. 1-8400)).**</w:t>
      </w:r>
    </w:p>
    <w:p>
      <w:pPr>
        <w:jc w:val="both"/>
        <w:ind w:left="860" w:hanging="845"/>
        <w:spacing w:after="0" w:line="266" w:lineRule="auto"/>
        <w:tabs>
          <w:tab w:leader="none" w:pos="840" w:val="left"/>
        </w:tabs>
        <w:rPr>
          <w:sz w:val="20"/>
          <w:szCs w:val="20"/>
          <w:color w:val="auto"/>
        </w:rPr>
      </w:pPr>
      <w:r>
        <w:rPr>
          <w:rFonts w:ascii="Arial" w:cs="Arial" w:eastAsia="Arial" w:hAnsi="Arial"/>
          <w:sz w:val="20"/>
          <w:szCs w:val="20"/>
          <w:color w:val="00162F"/>
        </w:rPr>
        <w:t>10.93</w:t>
      </w:r>
      <w:r>
        <w:rPr>
          <w:sz w:val="20"/>
          <w:szCs w:val="20"/>
          <w:color w:val="auto"/>
        </w:rPr>
        <w:tab/>
      </w:r>
      <w:r>
        <w:rPr>
          <w:rFonts w:ascii="Arial" w:cs="Arial" w:eastAsia="Arial" w:hAnsi="Arial"/>
          <w:sz w:val="19"/>
          <w:szCs w:val="19"/>
          <w:color w:val="00162F"/>
        </w:rPr>
        <w:t>Letter Agreement, dated as of January 14, 2016, to Purchase Agreement No. 03735 dated as of February 1, 2013, between American Airlines, Inc. and The Boeing Company (incorporated by reference to Exhibit 10.73 to AAG’s Annual Report on Form 10-K for the year ended December 31, 2021 (Commission File No. 1-8400)).**</w:t>
      </w:r>
    </w:p>
    <w:p>
      <w:pPr>
        <w:spacing w:after="0" w:line="1" w:lineRule="exact"/>
        <w:rPr>
          <w:sz w:val="20"/>
          <w:szCs w:val="20"/>
          <w:color w:val="auto"/>
        </w:rPr>
      </w:pP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10.94</w:t>
      </w:r>
      <w:r>
        <w:rPr>
          <w:sz w:val="20"/>
          <w:szCs w:val="20"/>
          <w:color w:val="auto"/>
        </w:rPr>
        <w:tab/>
      </w:r>
      <w:r>
        <w:rPr>
          <w:rFonts w:ascii="Arial" w:cs="Arial" w:eastAsia="Arial" w:hAnsi="Arial"/>
          <w:sz w:val="20"/>
          <w:szCs w:val="20"/>
          <w:color w:val="00162F"/>
        </w:rPr>
        <w:t>Supplemental Agreement No. 4, dated as of June 6, 2016, to Purchase Agreement No. 03735 dated as of February 1, 2013, between American Airlines, Inc. and The Boeing Company (incorporated by reference to Exhibit 10.74 to AAG’s Annual Report on Form 10-K for the year ended December 31, 2021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10.95</w:t>
      </w:r>
      <w:r>
        <w:rPr>
          <w:sz w:val="20"/>
          <w:szCs w:val="20"/>
          <w:color w:val="auto"/>
        </w:rPr>
        <w:tab/>
      </w:r>
      <w:r>
        <w:rPr>
          <w:rFonts w:ascii="Arial" w:cs="Arial" w:eastAsia="Arial" w:hAnsi="Arial"/>
          <w:sz w:val="20"/>
          <w:szCs w:val="20"/>
          <w:color w:val="00162F"/>
        </w:rPr>
        <w:t>Supplemental Agreement No. 5, dated as of August 8, 2016, to Purchase Agreement No. 03735 dated as of February 1, 2013, between American Airlines, Inc. and The Boeing Company (incorporated by reference to Exhibit 10.81 to AAG’s Annual Report on Form 10-K for the year ended December 31, 2023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10.96</w:t>
      </w:r>
      <w:r>
        <w:rPr>
          <w:sz w:val="20"/>
          <w:szCs w:val="20"/>
          <w:color w:val="auto"/>
        </w:rPr>
        <w:tab/>
      </w:r>
      <w:r>
        <w:rPr>
          <w:rFonts w:ascii="Arial" w:cs="Arial" w:eastAsia="Arial" w:hAnsi="Arial"/>
          <w:sz w:val="20"/>
          <w:szCs w:val="20"/>
          <w:color w:val="00162F"/>
        </w:rPr>
        <w:t>Supplemental Agreement No. 6, dated as of November 15, 2016, to Purchase Agreement No. 03735 dated as of February 1, 2013, between American Airlines, Inc. and The Boeing Company (incorporated by reference to Exhibit 10.76 to AAG’s Annual Report on Form 10-K for the year ended December 31, 2021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10.97</w:t>
      </w:r>
      <w:r>
        <w:rPr>
          <w:sz w:val="20"/>
          <w:szCs w:val="20"/>
          <w:color w:val="auto"/>
        </w:rPr>
        <w:tab/>
      </w:r>
      <w:r>
        <w:rPr>
          <w:rFonts w:ascii="Arial" w:cs="Arial" w:eastAsia="Arial" w:hAnsi="Arial"/>
          <w:sz w:val="20"/>
          <w:szCs w:val="20"/>
          <w:color w:val="00162F"/>
        </w:rPr>
        <w:t>Supplemental Agreement No. 7, dated as of March 2, 2017, to Purchase Agreement No. 03735 dated as of February 1, 2013, between American Airlines, Inc. and The Boeing Company (incorporated by reference to Exhibit 10.77 to AAG’s Annual Report on Form 10-K for the year ended December 31, 2021 (Commission File No. 1-8400)).**</w:t>
      </w:r>
    </w:p>
    <w:p>
      <w:pPr>
        <w:jc w:val="both"/>
        <w:ind w:left="860" w:hanging="845"/>
        <w:spacing w:after="0" w:line="249" w:lineRule="auto"/>
        <w:tabs>
          <w:tab w:leader="none" w:pos="840" w:val="left"/>
        </w:tabs>
        <w:rPr>
          <w:sz w:val="20"/>
          <w:szCs w:val="20"/>
          <w:color w:val="auto"/>
        </w:rPr>
      </w:pPr>
      <w:r>
        <w:rPr>
          <w:rFonts w:ascii="Arial" w:cs="Arial" w:eastAsia="Arial" w:hAnsi="Arial"/>
          <w:sz w:val="20"/>
          <w:szCs w:val="20"/>
          <w:color w:val="00162F"/>
        </w:rPr>
        <w:t>10.98</w:t>
      </w:r>
      <w:r>
        <w:rPr>
          <w:sz w:val="20"/>
          <w:szCs w:val="20"/>
          <w:color w:val="auto"/>
        </w:rPr>
        <w:tab/>
      </w:r>
      <w:r>
        <w:rPr>
          <w:rFonts w:ascii="Arial" w:cs="Arial" w:eastAsia="Arial" w:hAnsi="Arial"/>
          <w:sz w:val="20"/>
          <w:szCs w:val="20"/>
          <w:color w:val="00162F"/>
        </w:rPr>
        <w:t>Supplemental Agreement No. 8, dated as of December 7, 2017, to Purchase Agreement No. 03735 dated as of February 1, 2013, between American Airlines, Inc. and The Boeing Company (incorporated by reference to Exhibit 10.45 to AAG’s Annual Report on Form 10-K for the year ended December 31, 2017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195</w:t>
      </w:r>
    </w:p>
    <w:p>
      <w:pPr>
        <w:sectPr>
          <w:pgSz w:w="11880" w:h="15480" w:orient="portrait"/>
          <w:cols w:equalWidth="0" w:num="1">
            <w:col w:w="10600"/>
          </w:cols>
          <w:pgMar w:left="640" w:top="1071" w:right="640" w:bottom="0" w:gutter="0" w:footer="0" w:header="0"/>
          <w:type w:val="continuous"/>
        </w:sectPr>
      </w:pPr>
    </w:p>
    <w:bookmarkStart w:id="196" w:name="page197"/>
    <w:bookmarkEnd w:id="196"/>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10.99</w:t>
      </w:r>
      <w:r>
        <w:rPr>
          <w:sz w:val="20"/>
          <w:szCs w:val="20"/>
          <w:color w:val="auto"/>
        </w:rPr>
        <w:tab/>
      </w:r>
      <w:r>
        <w:rPr>
          <w:rFonts w:ascii="Arial" w:cs="Arial" w:eastAsia="Arial" w:hAnsi="Arial"/>
          <w:sz w:val="20"/>
          <w:szCs w:val="20"/>
          <w:color w:val="00162F"/>
        </w:rPr>
        <w:t>Supplemental Agreement No. 9, dated as of April 6, 2018, to Purchase Agreement No. 03735 dated as of February 1, 2013, by and between American Airlines, Inc. and The Boeing Company (incorporated by reference to Exhibit 10.2 to AAG’s Quarterly Report on Form 10-Q for the quarter ended June 30, 2018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10.100</w:t>
        <w:tab/>
        <w:t>Supplemental Agreement No. 10, dated as of March 26, 2019, to Purchase Agreement No. 03735 dated as of February 1, 2013, by and between American Airlines, Inc. and The Boeing Company (incorporated by reference to Exhibit 10.1 to AAG’s Quarterly Report on Form 10-Q for the quarter ended March 31, 2019 (Commission File No. 1-8400)).**</w:t>
      </w:r>
    </w:p>
    <w:p>
      <w:pPr>
        <w:spacing w:after="0" w:line="237" w:lineRule="auto"/>
        <w:tabs>
          <w:tab w:leader="none" w:pos="840" w:val="left"/>
        </w:tabs>
        <w:rPr>
          <w:sz w:val="20"/>
          <w:szCs w:val="20"/>
          <w:color w:val="auto"/>
        </w:rPr>
      </w:pPr>
      <w:r>
        <w:rPr>
          <w:rFonts w:ascii="Arial" w:cs="Arial" w:eastAsia="Arial" w:hAnsi="Arial"/>
          <w:sz w:val="20"/>
          <w:szCs w:val="20"/>
          <w:color w:val="00162F"/>
        </w:rPr>
        <w:t>10.101</w:t>
        <w:tab/>
        <w:t>Letter Agreement, dated as of September 4, 2020, to Purchase Agreement No. 03735 dated as of February 1,</w:t>
      </w:r>
    </w:p>
    <w:p>
      <w:pPr>
        <w:ind w:left="860"/>
        <w:spacing w:after="0" w:line="238" w:lineRule="auto"/>
        <w:rPr>
          <w:sz w:val="20"/>
          <w:szCs w:val="20"/>
          <w:color w:val="auto"/>
        </w:rPr>
      </w:pPr>
      <w:r>
        <w:rPr>
          <w:rFonts w:ascii="Arial" w:cs="Arial" w:eastAsia="Arial" w:hAnsi="Arial"/>
          <w:sz w:val="20"/>
          <w:szCs w:val="20"/>
          <w:color w:val="00162F"/>
        </w:rPr>
        <w:t>2013, by and between American Airlines, Inc. and The Boeing Company (incorporated by reference to Exhibit</w:t>
      </w:r>
    </w:p>
    <w:p>
      <w:pPr>
        <w:ind w:left="860"/>
        <w:spacing w:after="0"/>
        <w:rPr>
          <w:sz w:val="20"/>
          <w:szCs w:val="20"/>
          <w:color w:val="auto"/>
        </w:rPr>
      </w:pPr>
      <w:r>
        <w:rPr>
          <w:rFonts w:ascii="Arial" w:cs="Arial" w:eastAsia="Arial" w:hAnsi="Arial"/>
          <w:sz w:val="19"/>
          <w:szCs w:val="19"/>
          <w:color w:val="00162F"/>
        </w:rPr>
        <w:t>10.3 to AAG’s Quarterly Report on Form 10-Q for the quarter ended September 30, 2020 (Commission File No.</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20"/>
          <w:szCs w:val="20"/>
          <w:color w:val="00162F"/>
        </w:rPr>
        <w:t>1-8400)).**</w:t>
      </w:r>
    </w:p>
    <w:p>
      <w:pPr>
        <w:spacing w:after="0" w:line="22" w:lineRule="exact"/>
        <w:rPr>
          <w:sz w:val="20"/>
          <w:szCs w:val="20"/>
          <w:color w:val="auto"/>
        </w:rPr>
      </w:pP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10.102</w:t>
        <w:tab/>
        <w:t>Supplemental Agreement No. 11, dated as of October 9, 2020, to Purchase Agreement No. 03735 dated as of February 1, 2013, by and between American Airlines, Inc. and The Boeing Company (incorporated by reference to Exhibit 10.74 to AAG’s Annual Report on Form 10-K for the year ended December 31, 2020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10.103</w:t>
        <w:tab/>
        <w:t>Supplemental Agreement No. 12, dated as of October 22, 2020, to Purchase Agreement No. 03735 dated as of February 1, 2013, by and between American Airlines, Inc. and The Boeing Company (incorporated by reference to Exhibit 10.75 to AAG’s Annual Report on Form 10-K for the year ended December 31, 2020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10.104</w:t>
        <w:tab/>
        <w:t>Supplemental Agreement No. 13, dated as of November 17, 2020, to Purchase Agreement No. 03735 dated as of February 1, 2013, by and between American Airlines, Inc. and The Boeing Company (incorporated by reference to Exhibit 10.76 to AAG’s Annual Report on Form 10-K for the year ended December 31, 2020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10.105</w:t>
        <w:tab/>
        <w:t>Supplemental Agreement No. 14, dated as of November 25, 2020, to Purchase Agreement No. 03735 dated as of February 1, 2013, by and between American Airlines, Inc. and The Boeing Company (incorporated by reference to Exhibit 10.77 to AAG’s Annual Report on Form 10-K for the year ended December 31, 2020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10.106</w:t>
        <w:tab/>
        <w:t>Supplemental Agreement No. 15, dated as of December 15, 2020, to Purchase Agreement No. 03735 dated as of February 1, 2013, by and between American Airlines, Inc. and The Boeing Company (incorporated by reference to Exhibit 10.78 to AAG’s Annual Report on Form 10-K for the year ended December 31, 2020 (Commission File No. 1-8400)).**</w:t>
      </w:r>
    </w:p>
    <w:p>
      <w:pPr>
        <w:jc w:val="both"/>
        <w:ind w:left="860" w:hanging="845"/>
        <w:spacing w:after="0" w:line="244" w:lineRule="auto"/>
        <w:tabs>
          <w:tab w:leader="none" w:pos="840" w:val="left"/>
        </w:tabs>
        <w:rPr>
          <w:sz w:val="20"/>
          <w:szCs w:val="20"/>
          <w:color w:val="auto"/>
        </w:rPr>
      </w:pPr>
      <w:r>
        <w:rPr>
          <w:rFonts w:ascii="Arial" w:cs="Arial" w:eastAsia="Arial" w:hAnsi="Arial"/>
          <w:sz w:val="20"/>
          <w:szCs w:val="20"/>
          <w:color w:val="00162F"/>
        </w:rPr>
        <w:t>10.107</w:t>
        <w:tab/>
        <w:t>Amendment 1, dated as of December 31, 2020, to the Letter Agreement, dated as of September 4, 2020, to Purchase Agreement No. 03735 dated as of February 1, 2013, by and between American Airlines, Inc. and The Boeing Company (incorporated by reference to Exhibit 10.79 to AAG’s Annual Report on Form 10-K for the year ended December 31, 2020 (Commission File No. 1-8400)).**</w:t>
      </w: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10.108</w:t>
        <w:tab/>
        <w:t>Supplemental Agreement No. 16, dated as of January 14, 2021, to Purchase Agreement No. 03735 dated as of February 1, 2013, by and between American Airlines, Inc. and The Boeing Company (incorporated by reference to Exhibit 10.5 to AAG’s Quarterly Report on Form 10-Q for the quarter ended March 31, 2021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10.109</w:t>
        <w:tab/>
        <w:t>Supplemental Agreement No. 17, dated as of February 11, 2021, to Purchase Agreement No. 03735 dated as of February 1, 2013, by and between American Airlines, Inc. and The Boeing Company (incorporated by reference to Exhibit 10.6 to AAG’s Quarterly Report on Form 10-Q for the quarter ended March 31, 2021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10.110</w:t>
        <w:tab/>
        <w:t>Supplemental Agreement No. 18, dated as of March 12, 2021, to Purchase Agreement No. 03735 dated as of February 1, 2013, by and between American Airlines, Inc. and The Boeing Company (incorporated by reference to Exhibit 10.7 to AAG’s Quarterly Report on Form 10-Q for the quarter ended March 31, 2021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10.111</w:t>
        <w:tab/>
        <w:t>Supplemental Agreement No. 19, dated as of April 8, 2021, to Purchase Agreement No. 03735 dated as of February 1, 2013, by and between American Airlines, Inc. and The Boeing Company (incorporated by reference to Exhibit 10.5 to AAG’s Quarterly Report on Form 10-Q for the quarter ended June 30, 2021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10.112</w:t>
        <w:tab/>
        <w:t>Supplemental Agreement No. 20, dated as of November 12, 2021, to Purchase Agreement No. 03735 dated as of February 1, 2013, between American Airlines, Inc. and The Boeing Company (incorporated by reference to Exhibit 10.92 to AAG’s Annual Report on Form 10-K for the year ended December 31, 2021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196</w:t>
      </w:r>
    </w:p>
    <w:p>
      <w:pPr>
        <w:sectPr>
          <w:pgSz w:w="11880" w:h="15480" w:orient="portrait"/>
          <w:cols w:equalWidth="0" w:num="1">
            <w:col w:w="10600"/>
          </w:cols>
          <w:pgMar w:left="640" w:top="1071" w:right="640" w:bottom="0" w:gutter="0" w:footer="0" w:header="0"/>
          <w:type w:val="continuous"/>
        </w:sectPr>
      </w:pPr>
    </w:p>
    <w:bookmarkStart w:id="197" w:name="page198"/>
    <w:bookmarkEnd w:id="197"/>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10.113</w:t>
        <w:tab/>
        <w:t>Supplemental Agreement No. 21, dated as of January 14, 2022, to Purchase Agreement No. 03735 dated as of February 1, 2013, by and between American Airlines, Inc. and The Boeing Company (incorporated by reference to Exhibit 10.2 to AAG’s Quarterly Report on Form 10-Q for the quarter ended March 31, 2022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10.114</w:t>
        <w:tab/>
        <w:t>Supplemental Agreement No. 22, dated as of January 31, 2022, to Purchase Agreement No. 03735 dated as of February 1, 2013, by and between American Airlines, Inc. and The Boeing Company (incorporated by reference to Exhibit 10.3 to AAG’s Quarterly Report on Form 10-Q for the quarter ended March 31, 2022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10.115</w:t>
        <w:tab/>
        <w:t>Supplemental Agreement No. 23, dated as of May 5, 2022, to Purchase Agreement No. 03735 dated as of February 1, 2013, by and between American Airlines, Inc. and The Boeing Company (incorporated by reference to Exhibit 10.1 to AAG’s Quarterly Report on Form 10-Q for the quarter ended June 30, 2022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10.116</w:t>
        <w:tab/>
        <w:t>Supplemental Agreement No. 24, dated as of June 6, 2022, to Purchase Agreement No. 03735 dated as of February 1, 2013, by and between American Airlines, Inc. and The Boeing Company (incorporated by reference to Exhibit 10.2 to AAG’s Quarterly Report on Form 10-Q for the quarter ended June 30, 2022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10.117</w:t>
        <w:tab/>
        <w:t>Supplemental Agreement No. 25, dated as of July 1, 2022, to Purchase Agreement No. 03735 dated as of February 1, 2013, by and between American Airlines, Inc. and The Boeing Company (incorporated by reference to Exhibit 10.1 to AAG’s Quarterly Report on Form 10-Q for the quarter ended September 30, 2022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10.118</w:t>
        <w:tab/>
        <w:t>Supplemental Agreement No. 26, dated as of August 1, 2022, to Purchase Agreement No. 03735 dated as of February 1, 2013, by and between American Airlines, Inc. and The Boeing Company (incorporated by reference to Exhibit 10.2 to AAG’s Quarterly Report on Form 10-Q for the quarter ended September 30, 2022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10.119</w:t>
        <w:tab/>
        <w:t>Supplemental Agreement No. 27, dated as of October 3, 2022, to Purchase Agreement No. 03735 dated as of February 1, 2013, between American Airlines, Inc. and the Boeing Company (incorporated by reference to Exhibit 10.101 to AAG’s Annual Report on Form 10-K for the year ended December 31, 2022 (Commission File No. 1-8400)).**</w:t>
      </w:r>
    </w:p>
    <w:p>
      <w:pPr>
        <w:spacing w:after="0" w:line="8" w:lineRule="exact"/>
        <w:rPr>
          <w:sz w:val="20"/>
          <w:szCs w:val="20"/>
          <w:color w:val="auto"/>
        </w:rPr>
      </w:pPr>
    </w:p>
    <w:p>
      <w:pPr>
        <w:jc w:val="both"/>
        <w:ind w:left="860" w:hanging="845"/>
        <w:spacing w:after="0" w:line="242" w:lineRule="auto"/>
        <w:tabs>
          <w:tab w:leader="none" w:pos="840" w:val="left"/>
        </w:tabs>
        <w:rPr>
          <w:sz w:val="20"/>
          <w:szCs w:val="20"/>
          <w:color w:val="auto"/>
        </w:rPr>
      </w:pPr>
      <w:r>
        <w:rPr>
          <w:rFonts w:ascii="Arial" w:cs="Arial" w:eastAsia="Arial" w:hAnsi="Arial"/>
          <w:sz w:val="20"/>
          <w:szCs w:val="20"/>
          <w:color w:val="00162F"/>
        </w:rPr>
        <w:t>10.120</w:t>
        <w:tab/>
        <w:t>Supplemental Agreement No. 28, dated as of November 4, 2022, to Purchase Agreement No. 03735 dated as of February 1, 2013, between American Airlines, Inc. and the Boeing Company (incorporated by reference to Exhibit 10.102 to AAG’s Annual Report on Form 10-K for the year ended December 31, 2022 (Commission File No. 1-8400)).**</w:t>
      </w:r>
    </w:p>
    <w:p>
      <w:pPr>
        <w:spacing w:after="0" w:line="8"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10.121</w:t>
        <w:tab/>
        <w:t>Supplemental Agreement No. 29, dated as of May 23, 2023, to Purchase Agreement No. 03735 dated as of February 1, 2013, between American Airlines, Inc. and the Boeing Company (incorporated by reference to Exhibit 10.2 to AAG’s Quarterly Report on Form 10-Q for the quarter ended June 30, 2023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10.122</w:t>
        <w:tab/>
        <w:t>Supplemental Agreement No. 30, dated as of June 2, 2023, to Purchase Agreement No. 03735 dated as of February 1, 2013, between American Airlines, Inc. and the Boeing Company (incorporated by reference to Exhibit 10.3 to AAG’s Quarterly Report on Form 10-Q for the quarter ended June 30, 2023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10.123</w:t>
        <w:tab/>
        <w:t>Supplemental Agreement No. 31, dated as of July 5, 2023, to Purchase Agreement No. 03735 dated as of February 1, 2013, between American Airlines, Inc. and the Boeing Company (incorporated by reference to Exhibit 10.1 to AAG’s Quarterly Report on Form 10-Q for the quarter ended September 30, 2023 (Commission File No. 1-8400)).**</w:t>
      </w:r>
    </w:p>
    <w:p>
      <w:pPr>
        <w:spacing w:after="0" w:line="21" w:lineRule="exact"/>
        <w:rPr>
          <w:sz w:val="20"/>
          <w:szCs w:val="20"/>
          <w:color w:val="auto"/>
        </w:rPr>
      </w:pPr>
    </w:p>
    <w:p>
      <w:pPr>
        <w:jc w:val="both"/>
        <w:ind w:left="860" w:hanging="845"/>
        <w:spacing w:after="0" w:line="216" w:lineRule="auto"/>
        <w:tabs>
          <w:tab w:leader="none" w:pos="840" w:val="left"/>
        </w:tabs>
        <w:rPr>
          <w:sz w:val="20"/>
          <w:szCs w:val="20"/>
          <w:color w:val="auto"/>
        </w:rPr>
      </w:pPr>
      <w:r>
        <w:rPr>
          <w:rFonts w:ascii="Arial" w:cs="Arial" w:eastAsia="Arial" w:hAnsi="Arial"/>
          <w:sz w:val="20"/>
          <w:szCs w:val="20"/>
          <w:color w:val="00162F"/>
        </w:rPr>
        <w:t>10.124</w:t>
      </w:r>
      <w:r>
        <w:rPr>
          <w:sz w:val="20"/>
          <w:szCs w:val="20"/>
          <w:color w:val="auto"/>
        </w:rPr>
        <w:tab/>
      </w:r>
      <w:r>
        <w:rPr>
          <w:rFonts w:ascii="Arial" w:cs="Arial" w:eastAsia="Arial" w:hAnsi="Arial"/>
          <w:sz w:val="20"/>
          <w:szCs w:val="20"/>
          <w:color w:val="00162F"/>
        </w:rPr>
        <w:t>Supplemental Agreement No. 32, dated as of March 4, 2024, to Purchase Agreement No. 03735 dated as of February 1, 2013, by and between American Airlines, Inc. and The Boeing Company (incorporated by reference to Exhibit 10.3 to AAG’s Quarterly Report on Form 10-Q for the quarter ended March 31, 2024 (Commission File No. 1-8400)).**</w:t>
      </w:r>
    </w:p>
    <w:p>
      <w:pPr>
        <w:spacing w:after="0" w:line="4" w:lineRule="exact"/>
        <w:rPr>
          <w:sz w:val="20"/>
          <w:szCs w:val="20"/>
          <w:color w:val="auto"/>
        </w:rPr>
      </w:pPr>
    </w:p>
    <w:p>
      <w:pPr>
        <w:jc w:val="both"/>
        <w:ind w:left="860" w:hanging="845"/>
        <w:spacing w:after="0" w:line="216" w:lineRule="auto"/>
        <w:tabs>
          <w:tab w:leader="none" w:pos="840" w:val="left"/>
        </w:tabs>
        <w:rPr>
          <w:sz w:val="20"/>
          <w:szCs w:val="20"/>
          <w:color w:val="auto"/>
        </w:rPr>
      </w:pPr>
      <w:r>
        <w:rPr>
          <w:rFonts w:ascii="Arial" w:cs="Arial" w:eastAsia="Arial" w:hAnsi="Arial"/>
          <w:sz w:val="20"/>
          <w:szCs w:val="20"/>
          <w:color w:val="00162F"/>
        </w:rPr>
        <w:t>10.125</w:t>
      </w:r>
      <w:r>
        <w:rPr>
          <w:sz w:val="20"/>
          <w:szCs w:val="20"/>
          <w:color w:val="auto"/>
        </w:rPr>
        <w:tab/>
      </w:r>
      <w:r>
        <w:rPr>
          <w:rFonts w:ascii="Arial" w:cs="Arial" w:eastAsia="Arial" w:hAnsi="Arial"/>
          <w:sz w:val="20"/>
          <w:szCs w:val="20"/>
          <w:color w:val="00162F"/>
        </w:rPr>
        <w:t>Supplemental Agreement No. 33, dated as of August 21, 2024, to Purchase Agreement No. 03735 dated as of February 1, 2013, between The Boeing Company and American Airlines, Inc. Relating to Boeing Model 737 MAX Aircraft (incorporated by reference to Exhibit 10.5 to AAG’s Quarterly Report on Form 10-Q for the quarter ended September 30, 2024 (Commission File No. 1-8400)).**</w:t>
      </w:r>
    </w:p>
    <w:p>
      <w:pPr>
        <w:spacing w:after="0" w:line="4"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10.126</w:t>
        <w:tab/>
        <w:t>Supplemental Agreement No. 34, dated as of March 19, 2025, to Purchase Agreement No. 03735 dated as of February 1, 2013, by and between American Airlines, Inc. and The Boeing Company (incorporated by reference to Exhibit 10.3 to AAG’s Quarterly Report on Form 10-Q for the quarter ended March 31, 2025 (Commission File No. 1-8400)).**</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197</w:t>
      </w:r>
    </w:p>
    <w:p>
      <w:pPr>
        <w:sectPr>
          <w:pgSz w:w="11880" w:h="15480" w:orient="portrait"/>
          <w:cols w:equalWidth="0" w:num="1">
            <w:col w:w="10600"/>
          </w:cols>
          <w:pgMar w:left="640" w:top="1071" w:right="640" w:bottom="0" w:gutter="0" w:footer="0" w:header="0"/>
          <w:type w:val="continuous"/>
        </w:sectPr>
      </w:pPr>
    </w:p>
    <w:bookmarkStart w:id="198" w:name="page199"/>
    <w:bookmarkEnd w:id="198"/>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10.127</w:t>
        <w:tab/>
        <w:t>Supplemental Agreement No. 35, dated as of June 30, 2025, to Purchase Agreement No. 03735 dated as of February 1, 2013, by and between American Airlines, Inc. and The Boeing Company (incorporated by reference to Exhibit 10.6 to AAG’s Quarterly Report on Form 10-Q for the quarter ended June 30, 2025 (Commission File No. 1-8400)).**</w:t>
      </w:r>
    </w:p>
    <w:p>
      <w:pPr>
        <w:spacing w:after="0" w:line="21"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10.128</w:t>
        <w:tab/>
        <w:t>Supplemental Agreement No. 36, dated as of October 13, 2025, to Purchase Agreement No. 03735 dated as of February 1, 2013, by and between American Airlines, Inc. and The Boeing Company.**</w:t>
      </w:r>
    </w:p>
    <w:p>
      <w:pPr>
        <w:spacing w:after="0" w:line="13"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10.129</w:t>
        <w:tab/>
        <w:t>Supplemental Executive Retirement Program for Officers of American Airlines, Inc., as amended and restated as of January 1, 2005 (incorporated by reference to Exhibit 10.127 to AMR’s Annual Report on Form 10-K for the year ended December 31, 2008 (Commission File No. 1-8400)).†</w:t>
      </w:r>
    </w:p>
    <w:p>
      <w:pPr>
        <w:spacing w:after="0" w:line="10"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10.130</w:t>
        <w:tab/>
        <w:t>Trust Agreement Under Supplemental Retirement Program for Officers of American Airlines, Inc., as amended and restated as of June 1, 2007 (incorporated by reference to Exhibit 10.128 to AMR’s Annual Report on Form 10-K for the year ended December 31, 2008 (Commission File No. 1-8400)).†</w:t>
      </w:r>
    </w:p>
    <w:p>
      <w:pPr>
        <w:spacing w:after="0" w:line="10"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10.131</w:t>
        <w:tab/>
        <w:t>Trust Agreement Under Supplemental Executive Retirement Program for Officers of American Airlines, Inc. Participating in the Super Saver Plus Plan, as amended and restated as of June 1, 2007 (incorporated by reference to Exhibit 10.129 to AMR’s Annual Report on Form 10-K for the year ended December 31, 2008 (Commission File No. 1-8400)).†</w:t>
      </w:r>
    </w:p>
    <w:p>
      <w:pPr>
        <w:spacing w:after="0" w:line="21"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10.132</w:t>
        <w:tab/>
        <w:t>American Airlines Group Inc. 2013 Incentive Award Plan (incorporated by reference to Exhibit 4.1 of AAG’s Form S-8 Registration Statement, filed on December 4, 2013 (Registration No. 333-192660)).†</w:t>
      </w:r>
    </w:p>
    <w:p>
      <w:pPr>
        <w:spacing w:after="0" w:line="13"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10.133</w:t>
        <w:tab/>
        <w:t>First Amendment to the American Airlines Group Inc. 2013 Incentive Award Plan (incorporated by reference to Exhibit 10.64 to AAG’s Annual Report on Form 10-K for the year ended December 31, 2017 (Commission File No. 1-8400)).†</w:t>
      </w:r>
    </w:p>
    <w:p>
      <w:pPr>
        <w:spacing w:after="0" w:line="10"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10.134</w:t>
        <w:tab/>
        <w:t>Form of American Airlines Group Inc. 2013 Incentive Award Plan Restricted Stock Unit (Cash-Settled) Award Grant Notice and Award Agreement (incorporated by reference to Exhibit 10.125 to AAG’s Annual Report on Form 10-K for the year ended December 31, 2013 (Commission File No. 1-8400)).†</w:t>
      </w:r>
    </w:p>
    <w:p>
      <w:pPr>
        <w:spacing w:after="0" w:line="10"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10.135</w:t>
        <w:tab/>
        <w:t>Form of American Airlines Group Inc. 2013 Incentive Award Plan Restricted Stock Unit (Stock-Settled) Award Grant Notice and Award Agreement (incorporated by reference to Exhibit 10.127 to AAG’s Annual Report on Form 10-K for the year ended December 31, 2013 (Commission File No. 1-8400)).†</w:t>
      </w:r>
    </w:p>
    <w:p>
      <w:pPr>
        <w:spacing w:after="0" w:line="10"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10.136</w:t>
        <w:tab/>
        <w:t>Form of American Airlines Group Inc. 2013 Incentive Award Plan Restricted Stock Unit (Stock-Settled) Award Grant Notice and Award Agreement for Director Grants (incorporated by reference to Exhibit 10.129 to AAG’s Annual Report on Form 10-K for the year ended December 31, 2013 (Commission File No. 1-8400)).†</w:t>
      </w:r>
    </w:p>
    <w:p>
      <w:pPr>
        <w:spacing w:after="0" w:line="228" w:lineRule="auto"/>
        <w:tabs>
          <w:tab w:leader="none" w:pos="840" w:val="left"/>
        </w:tabs>
        <w:rPr>
          <w:sz w:val="20"/>
          <w:szCs w:val="20"/>
          <w:color w:val="auto"/>
        </w:rPr>
      </w:pPr>
      <w:r>
        <w:rPr>
          <w:rFonts w:ascii="Arial" w:cs="Arial" w:eastAsia="Arial" w:hAnsi="Arial"/>
          <w:sz w:val="20"/>
          <w:szCs w:val="20"/>
          <w:color w:val="00162F"/>
        </w:rPr>
        <w:t>10.137</w:t>
      </w:r>
      <w:r>
        <w:rPr>
          <w:sz w:val="20"/>
          <w:szCs w:val="20"/>
          <w:color w:val="auto"/>
        </w:rPr>
        <w:tab/>
      </w:r>
      <w:r>
        <w:rPr>
          <w:rFonts w:ascii="Arial" w:cs="Arial" w:eastAsia="Arial" w:hAnsi="Arial"/>
          <w:sz w:val="19"/>
          <w:szCs w:val="19"/>
          <w:color w:val="00162F"/>
        </w:rPr>
        <w:t>Form of Indemnification Agreement (incorporated by reference to Exhibit 10.9 to AAG’s Current Report on Form</w:t>
      </w:r>
    </w:p>
    <w:p>
      <w:pPr>
        <w:ind w:left="860"/>
        <w:spacing w:after="0"/>
        <w:rPr>
          <w:sz w:val="20"/>
          <w:szCs w:val="20"/>
          <w:color w:val="auto"/>
        </w:rPr>
      </w:pPr>
      <w:r>
        <w:rPr>
          <w:rFonts w:ascii="Arial" w:cs="Arial" w:eastAsia="Arial" w:hAnsi="Arial"/>
          <w:sz w:val="20"/>
          <w:szCs w:val="20"/>
          <w:color w:val="00162F"/>
        </w:rPr>
        <w:t>8-K filed on December 9, 2013 (Commission File No. 1-8400)).†</w:t>
      </w:r>
    </w:p>
    <w:p>
      <w:pPr>
        <w:spacing w:after="0" w:line="47"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10.138</w:t>
        <w:tab/>
        <w:t>2014 Short-Term Incentive Program Under 2013 Incentive Award Plan (incorporated by reference to Exhibit 10.8 to AAG’s Quarterly Report on Form 10-Q for the quarter ended June 30, 2014 (Commission File No. 1-8400)).†</w:t>
      </w:r>
    </w:p>
    <w:p>
      <w:pPr>
        <w:spacing w:after="0" w:line="10" w:lineRule="exact"/>
        <w:rPr>
          <w:sz w:val="20"/>
          <w:szCs w:val="20"/>
          <w:color w:val="auto"/>
        </w:rPr>
      </w:pPr>
    </w:p>
    <w:p>
      <w:pPr>
        <w:jc w:val="both"/>
        <w:ind w:left="860" w:hanging="845"/>
        <w:spacing w:after="0" w:line="237" w:lineRule="auto"/>
        <w:tabs>
          <w:tab w:leader="none" w:pos="840" w:val="left"/>
        </w:tabs>
        <w:rPr>
          <w:sz w:val="20"/>
          <w:szCs w:val="20"/>
          <w:color w:val="auto"/>
        </w:rPr>
      </w:pPr>
      <w:r>
        <w:rPr>
          <w:rFonts w:ascii="Arial" w:cs="Arial" w:eastAsia="Arial" w:hAnsi="Arial"/>
          <w:sz w:val="20"/>
          <w:szCs w:val="20"/>
          <w:color w:val="00162F"/>
        </w:rPr>
        <w:t>10.139</w:t>
        <w:tab/>
        <w:t>American Airlines Group Inc. 2023 Incentive Award Plan (incorporated by reference to Exhibit 99.1 of AAG’s Form S-8 Registration Statement, filed on May 10, 2023 (Registration No. 333-271802)).†</w:t>
      </w:r>
    </w:p>
    <w:p>
      <w:pPr>
        <w:spacing w:after="0" w:line="11" w:lineRule="exact"/>
        <w:rPr>
          <w:sz w:val="20"/>
          <w:szCs w:val="20"/>
          <w:color w:val="auto"/>
        </w:rPr>
      </w:pPr>
    </w:p>
    <w:p>
      <w:pPr>
        <w:jc w:val="both"/>
        <w:ind w:left="860" w:hanging="845"/>
        <w:spacing w:after="0" w:line="227" w:lineRule="auto"/>
        <w:tabs>
          <w:tab w:leader="none" w:pos="840" w:val="left"/>
        </w:tabs>
        <w:rPr>
          <w:sz w:val="20"/>
          <w:szCs w:val="20"/>
          <w:color w:val="auto"/>
        </w:rPr>
      </w:pPr>
      <w:r>
        <w:rPr>
          <w:rFonts w:ascii="Arial" w:cs="Arial" w:eastAsia="Arial" w:hAnsi="Arial"/>
          <w:sz w:val="20"/>
          <w:szCs w:val="20"/>
          <w:color w:val="00162F"/>
        </w:rPr>
        <w:t>10.140</w:t>
        <w:tab/>
        <w:t>American Airlines Group Inc. 2023 Incentive Award Plan, as amended, dated as of April 29, 2025 (incorporated by reference to Exhibit 10.5 to AAG’s Quarterly Report on Form 10-Q for the quarter ended June 30, 2025 (Commission File No. 1-8400)).†</w:t>
      </w:r>
    </w:p>
    <w:p>
      <w:pPr>
        <w:spacing w:after="0" w:line="1"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10.141</w:t>
        <w:tab/>
        <w:t>Form of American Airlines Group Inc. 2023 Incentive Award Plan Restricted Stock Unit (Stock-Settled) Award Grant Notice and Award Agreement (incorporated by reference to Exhibit 10.122 to AAG’s Annual Report on Form 10-K for the year ended December 31, 2023 (Commission File No. 1-8400)).†</w:t>
      </w:r>
    </w:p>
    <w:p>
      <w:pPr>
        <w:spacing w:after="0" w:line="5"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10.142</w:t>
        <w:tab/>
        <w:t>Form of Letter Agreement for Directors Travel Program (incorporated by reference to Exhibit 10.106 to US Airways Group’s Annual Report on Form 10-K for the year ended December 31, 2007 (Commission File No. 1-8444)).†</w:t>
      </w:r>
    </w:p>
    <w:p>
      <w:pPr>
        <w:spacing w:after="0" w:line="10"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10.143</w:t>
        <w:tab/>
        <w:t>Form of Letter Agreement, dated April 25, 2017, by and between American Airlines Group Inc. and each of Robert D. Isom, Jr., Stephen L. Johnson and Derek J. Kerr (incorporated by reference to Exhibit 10.1 to AAG’s Current Report on Form 8-K filed on May 1, 2017 (Commission File No. 1-8400)).†</w:t>
      </w:r>
    </w:p>
    <w:p>
      <w:pPr>
        <w:spacing w:after="0" w:line="10" w:lineRule="exact"/>
        <w:rPr>
          <w:sz w:val="20"/>
          <w:szCs w:val="20"/>
          <w:color w:val="auto"/>
        </w:rPr>
      </w:pPr>
    </w:p>
    <w:p>
      <w:pPr>
        <w:jc w:val="both"/>
        <w:ind w:left="860" w:hanging="845"/>
        <w:spacing w:after="0" w:line="235" w:lineRule="auto"/>
        <w:tabs>
          <w:tab w:leader="none" w:pos="840" w:val="left"/>
        </w:tabs>
        <w:rPr>
          <w:sz w:val="20"/>
          <w:szCs w:val="20"/>
          <w:color w:val="auto"/>
        </w:rPr>
      </w:pPr>
      <w:r>
        <w:rPr>
          <w:rFonts w:ascii="Arial" w:cs="Arial" w:eastAsia="Arial" w:hAnsi="Arial"/>
          <w:sz w:val="20"/>
          <w:szCs w:val="20"/>
          <w:color w:val="00162F"/>
        </w:rPr>
        <w:t>10.144</w:t>
        <w:tab/>
        <w:t>Term Loan Credit and Guaranty Agreement, dated as of March 24, 2021, among American Airlines, Inc., AAdvantage Loyalty IP Ltd., American Airlines Group Inc., AAdvantage Holdings 1, Ltd., AAdvantage Holdings 2, Ltd., Barclays Bank PLC, as administrative agent, Wilmington Trust, National Association, as collateral administrator, and the lenders party thereto (incorporated by reference as Exhibit 10.4 to AAG’s Quarterly Report on Form 10-Q for the quarter ended March 31, 2021 (Commission File No. 1-8400)).#</w:t>
      </w:r>
    </w:p>
    <w:p>
      <w:pPr>
        <w:spacing w:after="0" w:line="2"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10.145</w:t>
        <w:tab/>
        <w:t>First Amendment to Term Loan Credit and Guaranty Agreement, dated as of June 26, 2023, among American Airlines, Inc., AAdvantage Loyalty IP Ltd., Barclays Bank PLC, as administrative agent.***</w:t>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198</w:t>
      </w:r>
    </w:p>
    <w:p>
      <w:pPr>
        <w:sectPr>
          <w:pgSz w:w="11880" w:h="15480" w:orient="portrait"/>
          <w:cols w:equalWidth="0" w:num="1">
            <w:col w:w="10600"/>
          </w:cols>
          <w:pgMar w:left="640" w:top="1071" w:right="640" w:bottom="0" w:gutter="0" w:footer="0" w:header="0"/>
          <w:type w:val="continuous"/>
        </w:sectPr>
      </w:pPr>
    </w:p>
    <w:bookmarkStart w:id="199" w:name="page200"/>
    <w:bookmarkEnd w:id="199"/>
    <w:p>
      <w:pPr>
        <w:spacing w:after="0"/>
        <w:rPr>
          <w:sz w:val="20"/>
          <w:szCs w:val="20"/>
          <w:color w:val="auto"/>
        </w:rPr>
      </w:pPr>
      <w:r>
        <w:rPr>
          <w:rFonts w:ascii="Arial" w:cs="Arial" w:eastAsia="Arial" w:hAnsi="Arial"/>
          <w:sz w:val="16"/>
          <w:szCs w:val="16"/>
          <w:b w:val="1"/>
          <w:bCs w:val="1"/>
          <w:color w:val="00162F"/>
        </w:rPr>
        <w:t>Exhibit</w:t>
      </w:r>
    </w:p>
    <w:p>
      <w:pPr>
        <w:spacing w:after="0"/>
        <w:tabs>
          <w:tab w:leader="none" w:pos="840" w:val="left"/>
        </w:tabs>
        <w:rPr>
          <w:sz w:val="20"/>
          <w:szCs w:val="20"/>
          <w:color w:val="auto"/>
        </w:rPr>
      </w:pPr>
      <w:r>
        <w:rPr>
          <w:rFonts w:ascii="Arial" w:cs="Arial" w:eastAsia="Arial" w:hAnsi="Arial"/>
          <w:sz w:val="16"/>
          <w:szCs w:val="16"/>
          <w:b w:val="1"/>
          <w:bCs w:val="1"/>
          <w:u w:val="single" w:color="auto"/>
          <w:color w:val="00162F"/>
        </w:rPr>
        <w:t>Number</w:t>
        <w:tab/>
        <w:t>Description</w:t>
      </w:r>
    </w:p>
    <w:p>
      <w:pPr>
        <w:spacing w:after="0" w:line="36"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10.146</w:t>
        <w:tab/>
        <w:t>Second Amendment to Term Loan Credit and Guaranty Agreement, dated as of March 24, 2025, among American Airlines, Inc., AAdvantage Loyalty IP Ltd., Barclays Bank PLC, as administrative agent, and Barclays Bank PLC, as Designated 2025 Replacement Term Lender (incorporated by reference as Exhibit 10.1 to AAG’s Current Report on Form 8-K filed on March 28, 2025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10.147</w:t>
        <w:tab/>
        <w:t>Third Amendment to Term Loan Credit and Guaranty Agreement, dated as of May 28, 2025, among American Airlines, Inc., AAdvantage Loyalty IP Ltd., Barclays Bank PLC, as administrative agent, and Citibank, N.A., as Designated 2025 Incremental Term Lender (incorporated by reference as Exhibit 10.1 to AAG’s Current Report on Form 8-K filed on May 29, 2025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10.148</w:t>
        <w:tab/>
        <w:t>Severance Agreement and Restrictive Covenants Agreement, dated as of September 20, 2023, among American Airlines Group, Inc., American Airlines, Inc. and Robert D. Isom (incorporated by reference to Exhibit 10.130 to AAG’s Annual Report on Form 10-K for the year ended December 31, 2023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10.149</w:t>
        <w:tab/>
        <w:t>Severance Agreement and Restrictive Covenants Agreement, dated as of September 20, 2023, among American Airlines Group, Inc., American Airlines, Inc. and Stephen L. Johnson (incorporated by reference to Exhibit 10.4 to AAG’s Quarterly Report on Form 10-Q for the quarter ended March 31, 2024 (Commission File No. 1-8400)).†</w:t>
      </w:r>
    </w:p>
    <w:p>
      <w:pPr>
        <w:spacing w:after="0" w:line="21" w:lineRule="exact"/>
        <w:rPr>
          <w:sz w:val="20"/>
          <w:szCs w:val="20"/>
          <w:color w:val="auto"/>
        </w:rPr>
      </w:pPr>
    </w:p>
    <w:p>
      <w:pPr>
        <w:jc w:val="both"/>
        <w:ind w:left="860" w:hanging="845"/>
        <w:spacing w:after="0" w:line="223" w:lineRule="auto"/>
        <w:tabs>
          <w:tab w:leader="none" w:pos="840" w:val="left"/>
        </w:tabs>
        <w:rPr>
          <w:sz w:val="20"/>
          <w:szCs w:val="20"/>
          <w:color w:val="auto"/>
        </w:rPr>
      </w:pPr>
      <w:r>
        <w:rPr>
          <w:rFonts w:ascii="Arial" w:cs="Arial" w:eastAsia="Arial" w:hAnsi="Arial"/>
          <w:sz w:val="20"/>
          <w:szCs w:val="20"/>
          <w:color w:val="00162F"/>
        </w:rPr>
        <w:t>10.150</w:t>
        <w:tab/>
        <w:t>Severance Agreement and Restrictive Covenants Agreement, dated as of September 20, 2023, among American Airlines Group, Inc., American Airlines, Inc. and David G. Seymour (incorporated by reference to Exhibit 10.5 to AAG’s Quarterly Report on Form 10-Q for the quarter ended September 30, 2023 (Commission File No. 1-8400)).†</w:t>
      </w:r>
    </w:p>
    <w:p>
      <w:pPr>
        <w:spacing w:after="0" w:line="21"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10.151</w:t>
      </w:r>
      <w:r>
        <w:rPr>
          <w:sz w:val="20"/>
          <w:szCs w:val="20"/>
          <w:color w:val="auto"/>
        </w:rPr>
        <w:tab/>
      </w:r>
      <w:r>
        <w:rPr>
          <w:rFonts w:ascii="Arial" w:cs="Arial" w:eastAsia="Arial" w:hAnsi="Arial"/>
          <w:sz w:val="19"/>
          <w:szCs w:val="19"/>
          <w:color w:val="00162F"/>
        </w:rPr>
        <w:t>Severance Agreement and Restrictive Covenants Agreement, dated as of February 21, 2024, among American Airlines Group, Inc., American Airlines, Inc. and Devon May. (incorporated by reference to Exhibit 10.5 to AAG’s Quarterly Report on Form 10-Q for the quarter ended March 31, 2024 (Commission File No. 1-8400)). †</w:t>
      </w:r>
    </w:p>
    <w:p>
      <w:pPr>
        <w:spacing w:after="0" w:line="10"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10.152</w:t>
        <w:tab/>
        <w:t>Severance Agreement and Restrictive Covenants Agreement, dated as of July 1, 2025, among American Airlines Group, Inc., American Airlines, Inc. and Anthony J. Richmond. †</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10.153</w:t>
        <w:tab/>
        <w:t>Severance Agreement and Restrictive Covenants Agreement, dated as of January 5, 2026, among American Airlines Group, Inc., American Airlines, Inc. and Nathaniel Pieper. †</w:t>
      </w:r>
    </w:p>
    <w:p>
      <w:pPr>
        <w:spacing w:after="0" w:line="13" w:lineRule="exact"/>
        <w:rPr>
          <w:sz w:val="20"/>
          <w:szCs w:val="20"/>
          <w:color w:val="auto"/>
        </w:rPr>
      </w:pPr>
    </w:p>
    <w:p>
      <w:pPr>
        <w:jc w:val="both"/>
        <w:ind w:left="860" w:hanging="845"/>
        <w:spacing w:after="0" w:line="241" w:lineRule="auto"/>
        <w:tabs>
          <w:tab w:leader="none" w:pos="840" w:val="left"/>
        </w:tabs>
        <w:rPr>
          <w:sz w:val="20"/>
          <w:szCs w:val="20"/>
          <w:color w:val="auto"/>
        </w:rPr>
      </w:pPr>
      <w:r>
        <w:rPr>
          <w:rFonts w:ascii="Arial" w:cs="Arial" w:eastAsia="Arial" w:hAnsi="Arial"/>
          <w:sz w:val="20"/>
          <w:szCs w:val="20"/>
          <w:color w:val="00162F"/>
        </w:rPr>
        <w:t>14.1</w:t>
      </w:r>
      <w:r>
        <w:rPr>
          <w:sz w:val="20"/>
          <w:szCs w:val="20"/>
          <w:color w:val="auto"/>
        </w:rPr>
        <w:tab/>
      </w:r>
      <w:r>
        <w:rPr>
          <w:rFonts w:ascii="Arial" w:cs="Arial" w:eastAsia="Arial" w:hAnsi="Arial"/>
          <w:sz w:val="20"/>
          <w:szCs w:val="20"/>
          <w:color w:val="00162F"/>
        </w:rPr>
        <w:t>Code of Ethics (incorporated by reference to Exhibit 14.1 to AAG’s Current Report on Form 8-K filed on December 9, 2013 (Commission File No. 1-8400)).</w:t>
      </w:r>
    </w:p>
    <w:p>
      <w:pPr>
        <w:spacing w:after="0" w:line="13"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19.1</w:t>
      </w:r>
      <w:r>
        <w:rPr>
          <w:sz w:val="20"/>
          <w:szCs w:val="20"/>
          <w:color w:val="auto"/>
        </w:rPr>
        <w:tab/>
      </w:r>
      <w:r>
        <w:rPr>
          <w:rFonts w:ascii="Arial" w:cs="Arial" w:eastAsia="Arial" w:hAnsi="Arial"/>
          <w:sz w:val="20"/>
          <w:szCs w:val="20"/>
          <w:color w:val="00162F"/>
        </w:rPr>
        <w:t>American Airlines Group Inc. Amended and Restated Insider Trading Compliance Policy, (incorporated by reference to Exhibit 19.1 to AAG’s Annual Report on Form 10-K for the year ended December 31, 2024 (Commission File No. 1-8400)).</w:t>
      </w:r>
    </w:p>
    <w:p>
      <w:pPr>
        <w:spacing w:after="0" w:line="1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21.1</w:t>
      </w:r>
      <w:r>
        <w:rPr>
          <w:sz w:val="20"/>
          <w:szCs w:val="20"/>
          <w:color w:val="auto"/>
        </w:rPr>
        <w:tab/>
      </w:r>
      <w:r>
        <w:rPr>
          <w:rFonts w:ascii="Arial" w:cs="Arial" w:eastAsia="Arial" w:hAnsi="Arial"/>
          <w:sz w:val="19"/>
          <w:szCs w:val="19"/>
          <w:color w:val="00162F"/>
        </w:rPr>
        <w:t>Significant subsidiaries of AAG and American as of December 31, 2025.</w:t>
      </w:r>
    </w:p>
    <w:p>
      <w:pPr>
        <w:spacing w:after="0" w:line="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23.1</w:t>
      </w:r>
      <w:r>
        <w:rPr>
          <w:sz w:val="20"/>
          <w:szCs w:val="20"/>
          <w:color w:val="auto"/>
        </w:rPr>
        <w:tab/>
      </w:r>
      <w:r>
        <w:rPr>
          <w:rFonts w:ascii="Arial" w:cs="Arial" w:eastAsia="Arial" w:hAnsi="Arial"/>
          <w:sz w:val="19"/>
          <w:szCs w:val="19"/>
          <w:color w:val="00162F"/>
        </w:rPr>
        <w:t>Consent of Independent Registered Public Accounting Firm – KPMG LLP.</w:t>
      </w:r>
    </w:p>
    <w:p>
      <w:pPr>
        <w:spacing w:after="0" w:line="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24.1</w:t>
      </w:r>
      <w:r>
        <w:rPr>
          <w:sz w:val="20"/>
          <w:szCs w:val="20"/>
          <w:color w:val="auto"/>
        </w:rPr>
        <w:tab/>
      </w:r>
      <w:r>
        <w:rPr>
          <w:rFonts w:ascii="Arial" w:cs="Arial" w:eastAsia="Arial" w:hAnsi="Arial"/>
          <w:sz w:val="19"/>
          <w:szCs w:val="19"/>
          <w:color w:val="00162F"/>
        </w:rPr>
        <w:t>Powers of Attorney (included in signature page of this Annual Report on Form 10-K).</w:t>
      </w:r>
    </w:p>
    <w:p>
      <w:pPr>
        <w:spacing w:after="0" w:line="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31.1</w:t>
      </w:r>
      <w:r>
        <w:rPr>
          <w:sz w:val="20"/>
          <w:szCs w:val="20"/>
          <w:color w:val="auto"/>
        </w:rPr>
        <w:tab/>
      </w:r>
      <w:r>
        <w:rPr>
          <w:rFonts w:ascii="Arial" w:cs="Arial" w:eastAsia="Arial" w:hAnsi="Arial"/>
          <w:sz w:val="19"/>
          <w:szCs w:val="19"/>
          <w:color w:val="00162F"/>
        </w:rPr>
        <w:t>Certification of AAG Chief Executive Officer pursuant to Rule 13a-14(a).</w:t>
      </w:r>
    </w:p>
    <w:p>
      <w:pPr>
        <w:spacing w:after="0" w:line="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31.2</w:t>
      </w:r>
      <w:r>
        <w:rPr>
          <w:sz w:val="20"/>
          <w:szCs w:val="20"/>
          <w:color w:val="auto"/>
        </w:rPr>
        <w:tab/>
      </w:r>
      <w:r>
        <w:rPr>
          <w:rFonts w:ascii="Arial" w:cs="Arial" w:eastAsia="Arial" w:hAnsi="Arial"/>
          <w:sz w:val="19"/>
          <w:szCs w:val="19"/>
          <w:color w:val="00162F"/>
        </w:rPr>
        <w:t>Certification of AAG Chief Financial Officer pursuant to Rule 13a-14(a).</w:t>
      </w:r>
    </w:p>
    <w:p>
      <w:pPr>
        <w:spacing w:after="0" w:line="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31.3</w:t>
      </w:r>
      <w:r>
        <w:rPr>
          <w:sz w:val="20"/>
          <w:szCs w:val="20"/>
          <w:color w:val="auto"/>
        </w:rPr>
        <w:tab/>
      </w:r>
      <w:r>
        <w:rPr>
          <w:rFonts w:ascii="Arial" w:cs="Arial" w:eastAsia="Arial" w:hAnsi="Arial"/>
          <w:sz w:val="19"/>
          <w:szCs w:val="19"/>
          <w:color w:val="00162F"/>
        </w:rPr>
        <w:t>Certification of American Chief Executive Officer pursuant to Rule 13a-14(a).</w:t>
      </w:r>
    </w:p>
    <w:p>
      <w:pPr>
        <w:spacing w:after="0" w:line="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31.4</w:t>
      </w:r>
      <w:r>
        <w:rPr>
          <w:sz w:val="20"/>
          <w:szCs w:val="20"/>
          <w:color w:val="auto"/>
        </w:rPr>
        <w:tab/>
      </w:r>
      <w:r>
        <w:rPr>
          <w:rFonts w:ascii="Arial" w:cs="Arial" w:eastAsia="Arial" w:hAnsi="Arial"/>
          <w:sz w:val="19"/>
          <w:szCs w:val="19"/>
          <w:color w:val="00162F"/>
        </w:rPr>
        <w:t>Certification of American Chief Financial Officer pursuant to Rule 13a-14(a).</w:t>
      </w:r>
    </w:p>
    <w:p>
      <w:pPr>
        <w:spacing w:after="0" w:line="2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32.1</w:t>
      </w:r>
      <w:r>
        <w:rPr>
          <w:sz w:val="20"/>
          <w:szCs w:val="20"/>
          <w:color w:val="auto"/>
        </w:rPr>
        <w:tab/>
      </w:r>
      <w:r>
        <w:rPr>
          <w:rFonts w:ascii="Arial" w:cs="Arial" w:eastAsia="Arial" w:hAnsi="Arial"/>
          <w:sz w:val="20"/>
          <w:szCs w:val="20"/>
          <w:color w:val="00162F"/>
        </w:rPr>
        <w:t>Certification pursuant to Rule 13a-14(b) and section 906 of the Sarbanes-Oxley Act of 2002 (subsections</w:t>
      </w:r>
    </w:p>
    <w:p>
      <w:pPr>
        <w:ind w:left="860"/>
        <w:spacing w:after="0"/>
        <w:rPr>
          <w:sz w:val="20"/>
          <w:szCs w:val="20"/>
          <w:color w:val="auto"/>
        </w:rPr>
      </w:pPr>
      <w:r>
        <w:rPr>
          <w:rFonts w:ascii="Arial" w:cs="Arial" w:eastAsia="Arial" w:hAnsi="Arial"/>
          <w:sz w:val="20"/>
          <w:szCs w:val="20"/>
          <w:color w:val="00162F"/>
        </w:rPr>
        <w:t>(a) and (b) of section 1350, chapter 63 of title 18, United States Code).</w:t>
      </w:r>
    </w:p>
    <w:p>
      <w:pPr>
        <w:spacing w:after="0" w:line="1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32.2</w:t>
      </w:r>
      <w:r>
        <w:rPr>
          <w:sz w:val="20"/>
          <w:szCs w:val="20"/>
          <w:color w:val="auto"/>
        </w:rPr>
        <w:tab/>
      </w:r>
      <w:r>
        <w:rPr>
          <w:rFonts w:ascii="Arial" w:cs="Arial" w:eastAsia="Arial" w:hAnsi="Arial"/>
          <w:sz w:val="20"/>
          <w:szCs w:val="20"/>
          <w:color w:val="00162F"/>
        </w:rPr>
        <w:t>Certification pursuant to Rule 13a-14(b) and section 906 of the Sarbanes-Oxley Act of 2002 (subsections</w:t>
      </w:r>
    </w:p>
    <w:p>
      <w:pPr>
        <w:ind w:left="860"/>
        <w:spacing w:after="0"/>
        <w:rPr>
          <w:sz w:val="20"/>
          <w:szCs w:val="20"/>
          <w:color w:val="auto"/>
        </w:rPr>
      </w:pPr>
      <w:r>
        <w:rPr>
          <w:rFonts w:ascii="Arial" w:cs="Arial" w:eastAsia="Arial" w:hAnsi="Arial"/>
          <w:sz w:val="20"/>
          <w:szCs w:val="20"/>
          <w:color w:val="00162F"/>
        </w:rPr>
        <w:t>(a) and (b) of section 1350, chapter 63 of title 18, United States Code).</w:t>
      </w:r>
    </w:p>
    <w:p>
      <w:pPr>
        <w:spacing w:after="0" w:line="47" w:lineRule="exact"/>
        <w:rPr>
          <w:sz w:val="20"/>
          <w:szCs w:val="20"/>
          <w:color w:val="auto"/>
        </w:rPr>
      </w:pPr>
    </w:p>
    <w:p>
      <w:pPr>
        <w:jc w:val="both"/>
        <w:ind w:left="860" w:hanging="845"/>
        <w:spacing w:after="0" w:line="229" w:lineRule="auto"/>
        <w:tabs>
          <w:tab w:leader="none" w:pos="840" w:val="left"/>
        </w:tabs>
        <w:rPr>
          <w:sz w:val="20"/>
          <w:szCs w:val="20"/>
          <w:color w:val="auto"/>
        </w:rPr>
      </w:pPr>
      <w:r>
        <w:rPr>
          <w:rFonts w:ascii="Arial" w:cs="Arial" w:eastAsia="Arial" w:hAnsi="Arial"/>
          <w:sz w:val="20"/>
          <w:szCs w:val="20"/>
          <w:color w:val="00162F"/>
        </w:rPr>
        <w:t>97.1</w:t>
      </w:r>
      <w:r>
        <w:rPr>
          <w:sz w:val="20"/>
          <w:szCs w:val="20"/>
          <w:color w:val="auto"/>
        </w:rPr>
        <w:tab/>
      </w:r>
      <w:r>
        <w:rPr>
          <w:rFonts w:ascii="Arial" w:cs="Arial" w:eastAsia="Arial" w:hAnsi="Arial"/>
          <w:sz w:val="20"/>
          <w:szCs w:val="20"/>
          <w:color w:val="00162F"/>
        </w:rPr>
        <w:t>American Airlines Group Inc. Policy for Recovery of Erroneously Awarded Compensation (incorporated by reference to Exhibit 97.1 to AAG’s Annual Report on form 10-K filed on December 31, 2023 (Commission File No.1-8400)).</w:t>
      </w:r>
    </w:p>
    <w:p>
      <w:pPr>
        <w:spacing w:after="0" w:line="39" w:lineRule="exact"/>
        <w:rPr>
          <w:sz w:val="20"/>
          <w:szCs w:val="20"/>
          <w:color w:val="auto"/>
        </w:rPr>
      </w:pPr>
    </w:p>
    <w:p>
      <w:pPr>
        <w:ind w:left="860" w:right="380" w:hanging="845"/>
        <w:spacing w:after="0" w:line="241" w:lineRule="auto"/>
        <w:tabs>
          <w:tab w:leader="none" w:pos="840" w:val="left"/>
        </w:tabs>
        <w:rPr>
          <w:sz w:val="20"/>
          <w:szCs w:val="20"/>
          <w:color w:val="auto"/>
        </w:rPr>
      </w:pPr>
      <w:r>
        <w:rPr>
          <w:rFonts w:ascii="Arial" w:cs="Arial" w:eastAsia="Arial" w:hAnsi="Arial"/>
          <w:sz w:val="20"/>
          <w:szCs w:val="20"/>
          <w:color w:val="00162F"/>
        </w:rPr>
        <w:t>101.1</w:t>
      </w:r>
      <w:r>
        <w:rPr>
          <w:sz w:val="20"/>
          <w:szCs w:val="20"/>
          <w:color w:val="auto"/>
        </w:rPr>
        <w:tab/>
      </w:r>
      <w:r>
        <w:rPr>
          <w:rFonts w:ascii="Arial" w:cs="Arial" w:eastAsia="Arial" w:hAnsi="Arial"/>
          <w:sz w:val="20"/>
          <w:szCs w:val="20"/>
          <w:color w:val="00162F"/>
        </w:rPr>
        <w:t>Interactive data files pursuant to Rule 405 of Regulation S-T, formatted in Inline XBRL (eXtensible Business Reporting Language).</w:t>
      </w:r>
    </w:p>
    <w:p>
      <w:pPr>
        <w:spacing w:after="0" w:line="2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00162F"/>
        </w:rPr>
        <w:t>104.1</w:t>
      </w:r>
      <w:r>
        <w:rPr>
          <w:sz w:val="20"/>
          <w:szCs w:val="20"/>
          <w:color w:val="auto"/>
        </w:rPr>
        <w:tab/>
      </w:r>
      <w:r>
        <w:rPr>
          <w:rFonts w:ascii="Arial" w:cs="Arial" w:eastAsia="Arial" w:hAnsi="Arial"/>
          <w:sz w:val="19"/>
          <w:szCs w:val="19"/>
          <w:color w:val="00162F"/>
        </w:rPr>
        <w:t>Cover page interactive data file (formatted in Inline XBRL and contained in 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147955</wp:posOffset>
            </wp:positionV>
            <wp:extent cx="1254125" cy="127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6">
                      <a:extLst>
                        <a:ext uri="{28A0092B-C50C-407E-A947-70E740481C1C}"/>
                      </a:extLst>
                    </a:blip>
                    <a:srcRect/>
                    <a:stretch>
                      <a:fillRect/>
                    </a:stretch>
                  </pic:blipFill>
                  <pic:spPr bwMode="auto">
                    <a:xfrm>
                      <a:off x="0" y="0"/>
                      <a:ext cx="1254125" cy="12700"/>
                    </a:xfrm>
                    <a:prstGeom prst="rect">
                      <a:avLst/>
                    </a:prstGeom>
                    <a:noFill/>
                  </pic:spPr>
                </pic:pic>
              </a:graphicData>
            </a:graphic>
          </wp:anchor>
        </w:drawing>
      </w:r>
    </w:p>
    <w:p>
      <w:pPr>
        <w:sectPr>
          <w:pgSz w:w="11880" w:h="15480" w:orient="portrait"/>
          <w:cols w:equalWidth="0" w:num="1">
            <w:col w:w="10600"/>
          </w:cols>
          <w:pgMar w:left="640" w:top="107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199</w:t>
      </w:r>
    </w:p>
    <w:p>
      <w:pPr>
        <w:sectPr>
          <w:pgSz w:w="11880" w:h="15480" w:orient="portrait"/>
          <w:cols w:equalWidth="0" w:num="1">
            <w:col w:w="10600"/>
          </w:cols>
          <w:pgMar w:left="640" w:top="1071" w:right="640" w:bottom="0" w:gutter="0" w:footer="0" w:header="0"/>
          <w:type w:val="continuous"/>
        </w:sectPr>
      </w:pPr>
    </w:p>
    <w:bookmarkStart w:id="200" w:name="page201"/>
    <w:bookmarkEnd w:id="200"/>
    <w:p>
      <w:pPr>
        <w:jc w:val="both"/>
        <w:ind w:left="418" w:hanging="286"/>
        <w:spacing w:after="0" w:line="223" w:lineRule="auto"/>
        <w:tabs>
          <w:tab w:leader="none" w:pos="418" w:val="left"/>
        </w:tabs>
        <w:numPr>
          <w:ilvl w:val="0"/>
          <w:numId w:val="90"/>
        </w:numPr>
        <w:rPr>
          <w:rFonts w:ascii="Times New Roman" w:cs="Times New Roman" w:eastAsia="Times New Roman" w:hAnsi="Times New Roman"/>
          <w:sz w:val="20"/>
          <w:szCs w:val="20"/>
          <w:color w:val="00162F"/>
        </w:rPr>
      </w:pPr>
      <w:r>
        <w:rPr>
          <w:rFonts w:ascii="Arial" w:cs="Arial" w:eastAsia="Arial" w:hAnsi="Arial"/>
          <w:sz w:val="20"/>
          <w:szCs w:val="20"/>
          <w:color w:val="00162F"/>
        </w:rPr>
        <w:t>Pursuant to Item 601(a)(5)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35" w:lineRule="exact"/>
        <w:rPr>
          <w:sz w:val="20"/>
          <w:szCs w:val="20"/>
          <w:color w:val="auto"/>
        </w:rPr>
      </w:pPr>
    </w:p>
    <w:p>
      <w:pPr>
        <w:ind w:left="418" w:hanging="286"/>
        <w:spacing w:after="0"/>
        <w:tabs>
          <w:tab w:leader="none" w:pos="418" w:val="left"/>
        </w:tabs>
        <w:numPr>
          <w:ilvl w:val="0"/>
          <w:numId w:val="91"/>
        </w:numPr>
        <w:rPr>
          <w:rFonts w:ascii="Times New Roman" w:cs="Times New Roman" w:eastAsia="Times New Roman" w:hAnsi="Times New Roman"/>
          <w:sz w:val="20"/>
          <w:szCs w:val="20"/>
          <w:color w:val="00162F"/>
        </w:rPr>
      </w:pPr>
      <w:r>
        <w:rPr>
          <w:rFonts w:ascii="Arial" w:cs="Arial" w:eastAsia="Arial" w:hAnsi="Arial"/>
          <w:sz w:val="20"/>
          <w:szCs w:val="20"/>
          <w:color w:val="00162F"/>
        </w:rPr>
        <w:t>Confidential treatment has been granted with respect to certain portions of this agreement.</w:t>
      </w:r>
    </w:p>
    <w:p>
      <w:pPr>
        <w:spacing w:after="0" w:line="66" w:lineRule="exact"/>
        <w:rPr>
          <w:sz w:val="20"/>
          <w:szCs w:val="20"/>
          <w:color w:val="auto"/>
        </w:rPr>
      </w:pPr>
    </w:p>
    <w:p>
      <w:pPr>
        <w:ind w:left="418" w:hanging="385"/>
        <w:spacing w:after="0"/>
        <w:tabs>
          <w:tab w:leader="none" w:pos="418" w:val="left"/>
        </w:tabs>
        <w:numPr>
          <w:ilvl w:val="0"/>
          <w:numId w:val="92"/>
        </w:numPr>
        <w:rPr>
          <w:rFonts w:ascii="Times New Roman" w:cs="Times New Roman" w:eastAsia="Times New Roman" w:hAnsi="Times New Roman"/>
          <w:sz w:val="20"/>
          <w:szCs w:val="20"/>
          <w:color w:val="00162F"/>
        </w:rPr>
      </w:pPr>
      <w:r>
        <w:rPr>
          <w:rFonts w:ascii="Arial" w:cs="Arial" w:eastAsia="Arial" w:hAnsi="Arial"/>
          <w:sz w:val="20"/>
          <w:szCs w:val="20"/>
          <w:color w:val="00162F"/>
        </w:rPr>
        <w:t>Portions of this exhibit have been omitted in accordance with Item 601(b)(10) of Regulation S-K.</w:t>
      </w:r>
    </w:p>
    <w:p>
      <w:pPr>
        <w:spacing w:after="0" w:line="66" w:lineRule="exact"/>
        <w:rPr>
          <w:rFonts w:ascii="Times New Roman" w:cs="Times New Roman" w:eastAsia="Times New Roman" w:hAnsi="Times New Roman"/>
          <w:sz w:val="20"/>
          <w:szCs w:val="20"/>
          <w:color w:val="00162F"/>
        </w:rPr>
      </w:pPr>
    </w:p>
    <w:p>
      <w:pPr>
        <w:ind w:left="418" w:hanging="418"/>
        <w:spacing w:after="0"/>
        <w:tabs>
          <w:tab w:leader="none" w:pos="418" w:val="left"/>
        </w:tabs>
        <w:numPr>
          <w:ilvl w:val="0"/>
          <w:numId w:val="93"/>
        </w:numPr>
        <w:rPr>
          <w:rFonts w:ascii="Arial" w:cs="Arial" w:eastAsia="Arial" w:hAnsi="Arial"/>
          <w:sz w:val="20"/>
          <w:szCs w:val="20"/>
          <w:color w:val="00162F"/>
        </w:rPr>
      </w:pPr>
      <w:r>
        <w:rPr>
          <w:rFonts w:ascii="Arial" w:cs="Arial" w:eastAsia="Arial" w:hAnsi="Arial"/>
          <w:sz w:val="20"/>
          <w:szCs w:val="20"/>
          <w:color w:val="00162F"/>
        </w:rPr>
        <w:t>Portions of this exhibit have been redacted in accordance with Item 601(a)(6) of Regulation S-K.</w:t>
      </w:r>
    </w:p>
    <w:p>
      <w:pPr>
        <w:spacing w:after="0" w:line="66" w:lineRule="exact"/>
        <w:rPr>
          <w:rFonts w:ascii="Arial" w:cs="Arial" w:eastAsia="Arial" w:hAnsi="Arial"/>
          <w:sz w:val="20"/>
          <w:szCs w:val="20"/>
          <w:color w:val="00162F"/>
        </w:rPr>
      </w:pPr>
    </w:p>
    <w:p>
      <w:pPr>
        <w:ind w:left="118"/>
        <w:spacing w:after="0"/>
        <w:rPr>
          <w:rFonts w:ascii="Arial" w:cs="Arial" w:eastAsia="Arial" w:hAnsi="Arial"/>
          <w:sz w:val="20"/>
          <w:szCs w:val="20"/>
          <w:color w:val="00162F"/>
        </w:rPr>
      </w:pPr>
      <w:r>
        <w:rPr>
          <w:rFonts w:ascii="Arial" w:cs="Arial" w:eastAsia="Arial" w:hAnsi="Arial"/>
          <w:sz w:val="20"/>
          <w:szCs w:val="20"/>
          <w:color w:val="00162F"/>
        </w:rPr>
        <w:t>†  Management contract or compensatory plan or arrangement.</w:t>
      </w:r>
    </w:p>
    <w:p>
      <w:pPr>
        <w:sectPr>
          <w:pgSz w:w="11880" w:h="15480" w:orient="portrait"/>
          <w:cols w:equalWidth="0" w:num="1">
            <w:col w:w="10418"/>
          </w:cols>
          <w:pgMar w:left="802" w:top="104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42"/>
        <w:spacing w:after="0"/>
        <w:rPr>
          <w:sz w:val="20"/>
          <w:szCs w:val="20"/>
          <w:color w:val="auto"/>
        </w:rPr>
      </w:pPr>
      <w:r>
        <w:rPr>
          <w:rFonts w:ascii="Arial" w:cs="Arial" w:eastAsia="Arial" w:hAnsi="Arial"/>
          <w:sz w:val="19"/>
          <w:szCs w:val="19"/>
          <w:color w:val="00162F"/>
        </w:rPr>
        <w:t>200</w:t>
      </w:r>
    </w:p>
    <w:p>
      <w:pPr>
        <w:sectPr>
          <w:pgSz w:w="11880" w:h="15480" w:orient="portrait"/>
          <w:cols w:equalWidth="0" w:num="1">
            <w:col w:w="10418"/>
          </w:cols>
          <w:pgMar w:left="802" w:top="1044" w:right="660" w:bottom="0" w:gutter="0" w:footer="0" w:header="0"/>
          <w:type w:val="continuous"/>
        </w:sectPr>
      </w:pPr>
    </w:p>
    <w:bookmarkStart w:id="201" w:name="page202"/>
    <w:bookmarkEnd w:id="201"/>
    <w:p>
      <w:pPr>
        <w:spacing w:after="0"/>
        <w:rPr>
          <w:sz w:val="20"/>
          <w:szCs w:val="20"/>
          <w:color w:val="auto"/>
        </w:rPr>
      </w:pPr>
      <w:r>
        <w:rPr>
          <w:rFonts w:ascii="Arial" w:cs="Arial" w:eastAsia="Arial" w:hAnsi="Arial"/>
          <w:sz w:val="20"/>
          <w:szCs w:val="20"/>
          <w:b w:val="1"/>
          <w:bCs w:val="1"/>
          <w:color w:val="00162F"/>
        </w:rPr>
        <w:t>ITEM 16. FORM 10-K SUMMARY</w:t>
      </w:r>
    </w:p>
    <w:p>
      <w:pPr>
        <w:sectPr>
          <w:pgSz w:w="11880" w:h="15480" w:orient="portrait"/>
          <w:cols w:equalWidth="0" w:num="1">
            <w:col w:w="9840"/>
          </w:cols>
          <w:pgMar w:left="600" w:top="992" w:right="1440" w:bottom="0" w:gutter="0" w:footer="0" w:header="0"/>
        </w:sectPr>
      </w:pPr>
    </w:p>
    <w:p>
      <w:pPr>
        <w:spacing w:after="0" w:line="97" w:lineRule="exact"/>
        <w:rPr>
          <w:sz w:val="20"/>
          <w:szCs w:val="20"/>
          <w:color w:val="auto"/>
        </w:rPr>
      </w:pPr>
    </w:p>
    <w:p>
      <w:pPr>
        <w:ind w:left="260"/>
        <w:spacing w:after="0"/>
        <w:rPr>
          <w:sz w:val="20"/>
          <w:szCs w:val="20"/>
          <w:color w:val="auto"/>
        </w:rPr>
      </w:pPr>
      <w:r>
        <w:rPr>
          <w:rFonts w:ascii="Arial" w:cs="Arial" w:eastAsia="Arial" w:hAnsi="Arial"/>
          <w:sz w:val="20"/>
          <w:szCs w:val="20"/>
          <w:color w:val="00162F"/>
        </w:rPr>
        <w:t>None.</w:t>
      </w:r>
    </w:p>
    <w:p>
      <w:pPr>
        <w:sectPr>
          <w:pgSz w:w="11880" w:h="15480" w:orient="portrait"/>
          <w:cols w:equalWidth="0" w:num="1">
            <w:col w:w="9840"/>
          </w:cols>
          <w:pgMar w:left="600" w:top="99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80"/>
        <w:spacing w:after="0"/>
        <w:rPr>
          <w:sz w:val="20"/>
          <w:szCs w:val="20"/>
          <w:color w:val="auto"/>
        </w:rPr>
      </w:pPr>
      <w:r>
        <w:rPr>
          <w:rFonts w:ascii="Arial" w:cs="Arial" w:eastAsia="Arial" w:hAnsi="Arial"/>
          <w:sz w:val="19"/>
          <w:szCs w:val="19"/>
          <w:color w:val="00162F"/>
        </w:rPr>
        <w:t>201</w:t>
      </w:r>
    </w:p>
    <w:p>
      <w:pPr>
        <w:sectPr>
          <w:pgSz w:w="11880" w:h="15480" w:orient="portrait"/>
          <w:cols w:equalWidth="0" w:num="1">
            <w:col w:w="9840"/>
          </w:cols>
          <w:pgMar w:left="600" w:top="992" w:right="1440" w:bottom="0" w:gutter="0" w:footer="0" w:header="0"/>
          <w:type w:val="continuous"/>
        </w:sectPr>
      </w:pPr>
    </w:p>
    <w:bookmarkStart w:id="202" w:name="page203"/>
    <w:bookmarkEnd w:id="202"/>
    <w:p>
      <w:pPr>
        <w:jc w:val="center"/>
        <w:spacing w:after="0"/>
        <w:rPr>
          <w:sz w:val="20"/>
          <w:szCs w:val="20"/>
          <w:color w:val="auto"/>
        </w:rPr>
      </w:pPr>
      <w:r>
        <w:rPr>
          <w:rFonts w:ascii="Arial" w:cs="Arial" w:eastAsia="Arial" w:hAnsi="Arial"/>
          <w:sz w:val="20"/>
          <w:szCs w:val="20"/>
          <w:b w:val="1"/>
          <w:bCs w:val="1"/>
          <w:color w:val="00162F"/>
        </w:rPr>
        <w:t>SIGNATURES</w:t>
      </w:r>
    </w:p>
    <w:p>
      <w:pPr>
        <w:spacing w:after="0" w:line="187" w:lineRule="exact"/>
        <w:rPr>
          <w:sz w:val="20"/>
          <w:szCs w:val="20"/>
          <w:color w:val="auto"/>
        </w:rPr>
      </w:pPr>
    </w:p>
    <w:p>
      <w:pPr>
        <w:ind w:firstLine="267"/>
        <w:spacing w:after="0" w:line="282" w:lineRule="auto"/>
        <w:rPr>
          <w:sz w:val="20"/>
          <w:szCs w:val="20"/>
          <w:color w:val="auto"/>
        </w:rPr>
      </w:pPr>
      <w:r>
        <w:rPr>
          <w:rFonts w:ascii="Arial" w:cs="Arial" w:eastAsia="Arial" w:hAnsi="Arial"/>
          <w:sz w:val="20"/>
          <w:szCs w:val="20"/>
          <w:color w:val="00162F"/>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00162F"/>
        </w:rPr>
        <w:t>American Airlines Group Inc.</w:t>
      </w:r>
    </w:p>
    <w:p>
      <w:pPr>
        <w:spacing w:after="0" w:line="38" w:lineRule="exact"/>
        <w:rPr>
          <w:sz w:val="20"/>
          <w:szCs w:val="20"/>
          <w:color w:val="auto"/>
        </w:rPr>
      </w:pPr>
    </w:p>
    <w:p>
      <w:pPr>
        <w:ind w:left="40"/>
        <w:spacing w:after="0"/>
        <w:tabs>
          <w:tab w:leader="none" w:pos="5360" w:val="left"/>
          <w:tab w:leader="none" w:pos="6240" w:val="left"/>
          <w:tab w:leader="none" w:pos="6680" w:val="left"/>
        </w:tabs>
        <w:rPr>
          <w:sz w:val="20"/>
          <w:szCs w:val="20"/>
          <w:color w:val="auto"/>
        </w:rPr>
      </w:pPr>
      <w:r>
        <w:rPr>
          <w:rFonts w:ascii="Arial" w:cs="Arial" w:eastAsia="Arial" w:hAnsi="Arial"/>
          <w:sz w:val="20"/>
          <w:szCs w:val="20"/>
          <w:color w:val="00162F"/>
        </w:rPr>
        <w:t>Date: February 18, 2026</w:t>
      </w:r>
      <w:r>
        <w:rPr>
          <w:sz w:val="20"/>
          <w:szCs w:val="20"/>
          <w:color w:val="auto"/>
        </w:rPr>
        <w:tab/>
      </w:r>
      <w:r>
        <w:rPr>
          <w:rFonts w:ascii="Arial" w:cs="Arial" w:eastAsia="Arial" w:hAnsi="Arial"/>
          <w:sz w:val="20"/>
          <w:szCs w:val="20"/>
          <w:color w:val="00162F"/>
        </w:rPr>
        <w:t>By:</w:t>
      </w:r>
      <w:r>
        <w:rPr>
          <w:sz w:val="20"/>
          <w:szCs w:val="20"/>
          <w:color w:val="auto"/>
        </w:rPr>
        <w:tab/>
      </w:r>
      <w:r>
        <w:rPr>
          <w:rFonts w:ascii="Arial" w:cs="Arial" w:eastAsia="Arial" w:hAnsi="Arial"/>
          <w:sz w:val="20"/>
          <w:szCs w:val="20"/>
          <w:color w:val="00162F"/>
        </w:rPr>
        <w:t>/s/</w:t>
      </w:r>
      <w:r>
        <w:rPr>
          <w:sz w:val="20"/>
          <w:szCs w:val="20"/>
          <w:color w:val="auto"/>
        </w:rPr>
        <w:tab/>
      </w:r>
      <w:r>
        <w:rPr>
          <w:rFonts w:ascii="Arial" w:cs="Arial" w:eastAsia="Arial" w:hAnsi="Arial"/>
          <w:sz w:val="19"/>
          <w:szCs w:val="19"/>
          <w:color w:val="00162F"/>
        </w:rPr>
        <w:t>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38100</wp:posOffset>
            </wp:positionV>
            <wp:extent cx="2489200" cy="127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7">
                      <a:extLst>
                        <a:ext uri="{28A0092B-C50C-407E-A947-70E740481C1C}"/>
                      </a:extLst>
                    </a:blip>
                    <a:srcRect/>
                    <a:stretch>
                      <a:fillRect/>
                    </a:stretch>
                  </pic:blipFill>
                  <pic:spPr bwMode="auto">
                    <a:xfrm>
                      <a:off x="0" y="0"/>
                      <a:ext cx="2489200" cy="12700"/>
                    </a:xfrm>
                    <a:prstGeom prst="rect">
                      <a:avLst/>
                    </a:prstGeom>
                    <a:noFill/>
                  </pic:spPr>
                </pic:pic>
              </a:graphicData>
            </a:graphic>
          </wp:anchor>
        </w:drawing>
      </w:r>
    </w:p>
    <w:p>
      <w:pPr>
        <w:spacing w:after="0" w:line="76" w:lineRule="exact"/>
        <w:rPr>
          <w:sz w:val="20"/>
          <w:szCs w:val="20"/>
          <w:color w:val="auto"/>
        </w:rPr>
      </w:pPr>
    </w:p>
    <w:p>
      <w:pPr>
        <w:ind w:left="6260"/>
        <w:spacing w:after="0"/>
        <w:rPr>
          <w:sz w:val="20"/>
          <w:szCs w:val="20"/>
          <w:color w:val="auto"/>
        </w:rPr>
      </w:pPr>
      <w:r>
        <w:rPr>
          <w:rFonts w:ascii="Arial" w:cs="Arial" w:eastAsia="Arial" w:hAnsi="Arial"/>
          <w:sz w:val="20"/>
          <w:szCs w:val="20"/>
          <w:color w:val="00162F"/>
        </w:rPr>
        <w:t>Robert D. Isom</w:t>
      </w:r>
    </w:p>
    <w:p>
      <w:pPr>
        <w:spacing w:after="0" w:line="67" w:lineRule="exact"/>
        <w:rPr>
          <w:sz w:val="20"/>
          <w:szCs w:val="20"/>
          <w:color w:val="auto"/>
        </w:rPr>
      </w:pPr>
    </w:p>
    <w:p>
      <w:pPr>
        <w:ind w:left="6260"/>
        <w:spacing w:after="0"/>
        <w:rPr>
          <w:sz w:val="20"/>
          <w:szCs w:val="20"/>
          <w:color w:val="auto"/>
        </w:rPr>
      </w:pPr>
      <w:r>
        <w:rPr>
          <w:rFonts w:ascii="Arial" w:cs="Arial" w:eastAsia="Arial" w:hAnsi="Arial"/>
          <w:sz w:val="20"/>
          <w:szCs w:val="20"/>
          <w:color w:val="00162F"/>
        </w:rPr>
        <w:t>Chief Executive Officer and President</w:t>
      </w:r>
    </w:p>
    <w:p>
      <w:pPr>
        <w:spacing w:after="0" w:line="67" w:lineRule="exact"/>
        <w:rPr>
          <w:sz w:val="20"/>
          <w:szCs w:val="20"/>
          <w:color w:val="auto"/>
        </w:rPr>
      </w:pPr>
    </w:p>
    <w:p>
      <w:pPr>
        <w:ind w:left="6260"/>
        <w:spacing w:after="0"/>
        <w:rPr>
          <w:sz w:val="20"/>
          <w:szCs w:val="20"/>
          <w:color w:val="auto"/>
        </w:rPr>
      </w:pPr>
      <w:r>
        <w:rPr>
          <w:rFonts w:ascii="Arial" w:cs="Arial" w:eastAsia="Arial" w:hAnsi="Arial"/>
          <w:sz w:val="20"/>
          <w:szCs w:val="20"/>
          <w:color w:val="00162F"/>
        </w:rPr>
        <w:t>(Principal Executive Officer)</w:t>
      </w:r>
    </w:p>
    <w:p>
      <w:pPr>
        <w:spacing w:after="0" w:line="263" w:lineRule="exact"/>
        <w:rPr>
          <w:sz w:val="20"/>
          <w:szCs w:val="20"/>
          <w:color w:val="auto"/>
        </w:rPr>
      </w:pPr>
    </w:p>
    <w:p>
      <w:pPr>
        <w:ind w:firstLine="267"/>
        <w:spacing w:after="0" w:line="282" w:lineRule="auto"/>
        <w:rPr>
          <w:sz w:val="20"/>
          <w:szCs w:val="20"/>
          <w:color w:val="auto"/>
        </w:rPr>
      </w:pPr>
      <w:r>
        <w:rPr>
          <w:rFonts w:ascii="Arial" w:cs="Arial" w:eastAsia="Arial" w:hAnsi="Arial"/>
          <w:sz w:val="20"/>
          <w:szCs w:val="20"/>
          <w:color w:val="00162F"/>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00162F"/>
        </w:rPr>
        <w:t>American Airlines, Inc.</w:t>
      </w:r>
    </w:p>
    <w:p>
      <w:pPr>
        <w:spacing w:after="0" w:line="38" w:lineRule="exact"/>
        <w:rPr>
          <w:sz w:val="20"/>
          <w:szCs w:val="20"/>
          <w:color w:val="auto"/>
        </w:rPr>
      </w:pPr>
    </w:p>
    <w:p>
      <w:pPr>
        <w:ind w:left="40"/>
        <w:spacing w:after="0"/>
        <w:tabs>
          <w:tab w:leader="none" w:pos="5360" w:val="left"/>
          <w:tab w:leader="none" w:pos="6240" w:val="left"/>
          <w:tab w:leader="none" w:pos="6680" w:val="left"/>
        </w:tabs>
        <w:rPr>
          <w:sz w:val="20"/>
          <w:szCs w:val="20"/>
          <w:color w:val="auto"/>
        </w:rPr>
      </w:pPr>
      <w:r>
        <w:rPr>
          <w:rFonts w:ascii="Arial" w:cs="Arial" w:eastAsia="Arial" w:hAnsi="Arial"/>
          <w:sz w:val="20"/>
          <w:szCs w:val="20"/>
          <w:color w:val="00162F"/>
        </w:rPr>
        <w:t>Date: February 18, 2026</w:t>
      </w:r>
      <w:r>
        <w:rPr>
          <w:sz w:val="20"/>
          <w:szCs w:val="20"/>
          <w:color w:val="auto"/>
        </w:rPr>
        <w:tab/>
      </w:r>
      <w:r>
        <w:rPr>
          <w:rFonts w:ascii="Arial" w:cs="Arial" w:eastAsia="Arial" w:hAnsi="Arial"/>
          <w:sz w:val="20"/>
          <w:szCs w:val="20"/>
          <w:color w:val="00162F"/>
        </w:rPr>
        <w:t>By:</w:t>
      </w:r>
      <w:r>
        <w:rPr>
          <w:sz w:val="20"/>
          <w:szCs w:val="20"/>
          <w:color w:val="auto"/>
        </w:rPr>
        <w:tab/>
      </w:r>
      <w:r>
        <w:rPr>
          <w:rFonts w:ascii="Arial" w:cs="Arial" w:eastAsia="Arial" w:hAnsi="Arial"/>
          <w:sz w:val="20"/>
          <w:szCs w:val="20"/>
          <w:color w:val="00162F"/>
        </w:rPr>
        <w:t>/s/</w:t>
      </w:r>
      <w:r>
        <w:rPr>
          <w:sz w:val="20"/>
          <w:szCs w:val="20"/>
          <w:color w:val="auto"/>
        </w:rPr>
        <w:tab/>
      </w:r>
      <w:r>
        <w:rPr>
          <w:rFonts w:ascii="Arial" w:cs="Arial" w:eastAsia="Arial" w:hAnsi="Arial"/>
          <w:sz w:val="19"/>
          <w:szCs w:val="19"/>
          <w:color w:val="00162F"/>
        </w:rPr>
        <w:t>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38100</wp:posOffset>
            </wp:positionV>
            <wp:extent cx="2489200" cy="127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8">
                      <a:extLst>
                        <a:ext uri="{28A0092B-C50C-407E-A947-70E740481C1C}"/>
                      </a:extLst>
                    </a:blip>
                    <a:srcRect/>
                    <a:stretch>
                      <a:fillRect/>
                    </a:stretch>
                  </pic:blipFill>
                  <pic:spPr bwMode="auto">
                    <a:xfrm>
                      <a:off x="0" y="0"/>
                      <a:ext cx="2489200" cy="12700"/>
                    </a:xfrm>
                    <a:prstGeom prst="rect">
                      <a:avLst/>
                    </a:prstGeom>
                    <a:noFill/>
                  </pic:spPr>
                </pic:pic>
              </a:graphicData>
            </a:graphic>
          </wp:anchor>
        </w:drawing>
      </w:r>
    </w:p>
    <w:p>
      <w:pPr>
        <w:spacing w:after="0" w:line="76" w:lineRule="exact"/>
        <w:rPr>
          <w:sz w:val="20"/>
          <w:szCs w:val="20"/>
          <w:color w:val="auto"/>
        </w:rPr>
      </w:pPr>
    </w:p>
    <w:p>
      <w:pPr>
        <w:ind w:left="6260"/>
        <w:spacing w:after="0"/>
        <w:rPr>
          <w:sz w:val="20"/>
          <w:szCs w:val="20"/>
          <w:color w:val="auto"/>
        </w:rPr>
      </w:pPr>
      <w:r>
        <w:rPr>
          <w:rFonts w:ascii="Arial" w:cs="Arial" w:eastAsia="Arial" w:hAnsi="Arial"/>
          <w:sz w:val="20"/>
          <w:szCs w:val="20"/>
          <w:color w:val="00162F"/>
        </w:rPr>
        <w:t>Robert D. Isom</w:t>
      </w:r>
    </w:p>
    <w:p>
      <w:pPr>
        <w:spacing w:after="0" w:line="67" w:lineRule="exact"/>
        <w:rPr>
          <w:sz w:val="20"/>
          <w:szCs w:val="20"/>
          <w:color w:val="auto"/>
        </w:rPr>
      </w:pPr>
    </w:p>
    <w:p>
      <w:pPr>
        <w:ind w:left="6260"/>
        <w:spacing w:after="0"/>
        <w:rPr>
          <w:sz w:val="20"/>
          <w:szCs w:val="20"/>
          <w:color w:val="auto"/>
        </w:rPr>
      </w:pPr>
      <w:r>
        <w:rPr>
          <w:rFonts w:ascii="Arial" w:cs="Arial" w:eastAsia="Arial" w:hAnsi="Arial"/>
          <w:sz w:val="20"/>
          <w:szCs w:val="20"/>
          <w:color w:val="00162F"/>
        </w:rPr>
        <w:t>Chief Executive Officer and President</w:t>
      </w:r>
    </w:p>
    <w:p>
      <w:pPr>
        <w:spacing w:after="0" w:line="67" w:lineRule="exact"/>
        <w:rPr>
          <w:sz w:val="20"/>
          <w:szCs w:val="20"/>
          <w:color w:val="auto"/>
        </w:rPr>
      </w:pPr>
    </w:p>
    <w:p>
      <w:pPr>
        <w:ind w:left="6260"/>
        <w:spacing w:after="0"/>
        <w:rPr>
          <w:sz w:val="20"/>
          <w:szCs w:val="20"/>
          <w:color w:val="auto"/>
        </w:rPr>
      </w:pPr>
      <w:r>
        <w:rPr>
          <w:rFonts w:ascii="Arial" w:cs="Arial" w:eastAsia="Arial" w:hAnsi="Arial"/>
          <w:sz w:val="20"/>
          <w:szCs w:val="20"/>
          <w:color w:val="00162F"/>
        </w:rPr>
        <w:t>(Principal Executive Officer)</w:t>
      </w:r>
    </w:p>
    <w:p>
      <w:pPr>
        <w:sectPr>
          <w:pgSz w:w="11880" w:h="15480" w:orient="portrait"/>
          <w:cols w:equalWidth="0" w:num="1">
            <w:col w:w="10680"/>
          </w:cols>
          <w:pgMar w:left="600" w:top="99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202</w:t>
      </w:r>
    </w:p>
    <w:p>
      <w:pPr>
        <w:sectPr>
          <w:pgSz w:w="11880" w:h="15480" w:orient="portrait"/>
          <w:cols w:equalWidth="0" w:num="1">
            <w:col w:w="10680"/>
          </w:cols>
          <w:pgMar w:left="600" w:top="992" w:right="600" w:bottom="0" w:gutter="0" w:footer="0" w:header="0"/>
          <w:type w:val="continuous"/>
        </w:sectPr>
      </w:pPr>
    </w:p>
    <w:bookmarkStart w:id="203" w:name="page204"/>
    <w:bookmarkEnd w:id="203"/>
    <w:p>
      <w:pPr>
        <w:jc w:val="both"/>
        <w:ind w:firstLine="267"/>
        <w:spacing w:after="0" w:line="252" w:lineRule="auto"/>
        <w:rPr>
          <w:sz w:val="20"/>
          <w:szCs w:val="20"/>
          <w:color w:val="auto"/>
        </w:rPr>
      </w:pPr>
      <w:r>
        <w:rPr>
          <w:rFonts w:ascii="Arial" w:cs="Arial" w:eastAsia="Arial" w:hAnsi="Arial"/>
          <w:sz w:val="20"/>
          <w:szCs w:val="20"/>
          <w:color w:val="00162F"/>
        </w:rPr>
        <w:t>KNOW ALL PERSONS BY THESE PRESENTS, that each individual whose signature appears below constitutes and appoints Robert D. Isom and Devon E. May and each or any of them, his or her true and lawful attorneys and agents, with full power of substitution and resubstitution, for him or her and in his or her name, place and stead, in any and all capacities, to sign any and all amendments to the registrants’ Annual Report on Form 10-K for the fiscal year ended December 31, 2025, and to file the same with all exhibits thereto, and all other documents in connection therewith, with the Securities and Exchange Commission, granting unto said attorneys and agents, and each or any of them, full power and authority to do and perform each and every act and thing requisite and necessary to be done, as fully to all intents and purposes as he or she might or could do in person, hereby ratifying and confirming all that said attorneys and agents, and each of them, or his substitute or substitutes, may lawfully do or cause to be done by virtue hereof.</w:t>
      </w:r>
    </w:p>
    <w:p>
      <w:pPr>
        <w:spacing w:after="0" w:line="143" w:lineRule="exact"/>
        <w:rPr>
          <w:sz w:val="20"/>
          <w:szCs w:val="20"/>
          <w:color w:val="auto"/>
        </w:rPr>
      </w:pPr>
    </w:p>
    <w:p>
      <w:pPr>
        <w:jc w:val="both"/>
        <w:ind w:firstLine="267"/>
        <w:spacing w:after="0" w:line="282" w:lineRule="auto"/>
        <w:rPr>
          <w:sz w:val="20"/>
          <w:szCs w:val="20"/>
          <w:color w:val="auto"/>
        </w:rPr>
      </w:pPr>
      <w:r>
        <w:rPr>
          <w:rFonts w:ascii="Arial" w:cs="Arial" w:eastAsia="Arial" w:hAnsi="Arial"/>
          <w:sz w:val="20"/>
          <w:szCs w:val="20"/>
          <w:color w:val="00162F"/>
        </w:rPr>
        <w:t>Pursuant to the requirements of the Securities Exchange Act of 1934, this report has been signed below by the following persons on behalf of American Airlines Group Inc. and in the capacities and on the dates noted:</w:t>
      </w:r>
    </w:p>
    <w:p>
      <w:pPr>
        <w:spacing w:after="0" w:line="165" w:lineRule="exact"/>
        <w:rPr>
          <w:sz w:val="20"/>
          <w:szCs w:val="20"/>
          <w:color w:val="auto"/>
        </w:rPr>
      </w:pPr>
    </w:p>
    <w:p>
      <w:pPr>
        <w:ind w:left="40"/>
        <w:spacing w:after="0"/>
        <w:tabs>
          <w:tab w:leader="none" w:pos="5100" w:val="left"/>
          <w:tab w:leader="none" w:pos="5520" w:val="left"/>
        </w:tabs>
        <w:rPr>
          <w:sz w:val="20"/>
          <w:szCs w:val="20"/>
          <w:color w:val="auto"/>
        </w:rPr>
      </w:pPr>
      <w:r>
        <w:rPr>
          <w:rFonts w:ascii="Arial" w:cs="Arial" w:eastAsia="Arial" w:hAnsi="Arial"/>
          <w:sz w:val="20"/>
          <w:szCs w:val="20"/>
          <w:color w:val="00162F"/>
        </w:rPr>
        <w:t>Date: February 18, 2026</w:t>
      </w:r>
      <w:r>
        <w:rPr>
          <w:sz w:val="20"/>
          <w:szCs w:val="20"/>
          <w:color w:val="auto"/>
        </w:rPr>
        <w:tab/>
      </w:r>
      <w:r>
        <w:rPr>
          <w:rFonts w:ascii="Arial" w:cs="Arial" w:eastAsia="Arial" w:hAnsi="Arial"/>
          <w:sz w:val="20"/>
          <w:szCs w:val="20"/>
          <w:color w:val="00162F"/>
        </w:rPr>
        <w:t>/s/</w:t>
      </w:r>
      <w:r>
        <w:rPr>
          <w:sz w:val="20"/>
          <w:szCs w:val="20"/>
          <w:color w:val="auto"/>
        </w:rPr>
        <w:tab/>
      </w:r>
      <w:r>
        <w:rPr>
          <w:rFonts w:ascii="Arial" w:cs="Arial" w:eastAsia="Arial" w:hAnsi="Arial"/>
          <w:sz w:val="19"/>
          <w:szCs w:val="19"/>
          <w:color w:val="00162F"/>
        </w:rPr>
        <w:t>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38100</wp:posOffset>
            </wp:positionV>
            <wp:extent cx="3215005" cy="127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9">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76"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Robert D. Isom</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Chief Executive Officer, President and Director</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(Principal Executive Officer)</w:t>
      </w:r>
    </w:p>
    <w:p>
      <w:pPr>
        <w:spacing w:after="0" w:line="334" w:lineRule="exact"/>
        <w:rPr>
          <w:sz w:val="20"/>
          <w:szCs w:val="20"/>
          <w:color w:val="auto"/>
        </w:rPr>
      </w:pPr>
    </w:p>
    <w:p>
      <w:pPr>
        <w:ind w:left="40"/>
        <w:spacing w:after="0"/>
        <w:tabs>
          <w:tab w:leader="none" w:pos="5100" w:val="left"/>
          <w:tab w:leader="none" w:pos="5520" w:val="left"/>
        </w:tabs>
        <w:rPr>
          <w:sz w:val="20"/>
          <w:szCs w:val="20"/>
          <w:color w:val="auto"/>
        </w:rPr>
      </w:pPr>
      <w:r>
        <w:rPr>
          <w:rFonts w:ascii="Arial" w:cs="Arial" w:eastAsia="Arial" w:hAnsi="Arial"/>
          <w:sz w:val="20"/>
          <w:szCs w:val="20"/>
          <w:color w:val="00162F"/>
        </w:rPr>
        <w:t>Date: February 18, 2026</w:t>
      </w:r>
      <w:r>
        <w:rPr>
          <w:sz w:val="20"/>
          <w:szCs w:val="20"/>
          <w:color w:val="auto"/>
        </w:rPr>
        <w:tab/>
      </w:r>
      <w:r>
        <w:rPr>
          <w:rFonts w:ascii="Arial" w:cs="Arial" w:eastAsia="Arial" w:hAnsi="Arial"/>
          <w:sz w:val="20"/>
          <w:szCs w:val="20"/>
          <w:color w:val="00162F"/>
        </w:rPr>
        <w:t>/s/</w:t>
      </w:r>
      <w:r>
        <w:rPr>
          <w:sz w:val="20"/>
          <w:szCs w:val="20"/>
          <w:color w:val="auto"/>
        </w:rPr>
        <w:tab/>
      </w:r>
      <w:r>
        <w:rPr>
          <w:rFonts w:ascii="Arial" w:cs="Arial" w:eastAsia="Arial" w:hAnsi="Arial"/>
          <w:sz w:val="19"/>
          <w:szCs w:val="19"/>
          <w:color w:val="00162F"/>
        </w:rPr>
        <w:t>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38100</wp:posOffset>
            </wp:positionV>
            <wp:extent cx="3215005" cy="127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0">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76"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Devon E. May</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Executive Vice President and Chief Financial Officer</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(Principal Financial Officer)</w:t>
      </w:r>
    </w:p>
    <w:p>
      <w:pPr>
        <w:spacing w:after="0" w:line="334" w:lineRule="exact"/>
        <w:rPr>
          <w:sz w:val="20"/>
          <w:szCs w:val="20"/>
          <w:color w:val="auto"/>
        </w:rPr>
      </w:pPr>
    </w:p>
    <w:p>
      <w:pPr>
        <w:ind w:left="40"/>
        <w:spacing w:after="0"/>
        <w:tabs>
          <w:tab w:leader="none" w:pos="5100" w:val="left"/>
          <w:tab w:leader="none" w:pos="5500" w:val="left"/>
        </w:tabs>
        <w:rPr>
          <w:sz w:val="20"/>
          <w:szCs w:val="20"/>
          <w:color w:val="auto"/>
        </w:rPr>
      </w:pPr>
      <w:r>
        <w:rPr>
          <w:rFonts w:ascii="Arial" w:cs="Arial" w:eastAsia="Arial" w:hAnsi="Arial"/>
          <w:sz w:val="20"/>
          <w:szCs w:val="20"/>
          <w:color w:val="00162F"/>
        </w:rPr>
        <w:t>Date: February 18, 2026</w:t>
      </w:r>
      <w:r>
        <w:rPr>
          <w:sz w:val="20"/>
          <w:szCs w:val="20"/>
          <w:color w:val="auto"/>
        </w:rPr>
        <w:tab/>
      </w:r>
      <w:r>
        <w:rPr>
          <w:rFonts w:ascii="Arial" w:cs="Arial" w:eastAsia="Arial" w:hAnsi="Arial"/>
          <w:sz w:val="20"/>
          <w:szCs w:val="20"/>
          <w:color w:val="00162F"/>
        </w:rPr>
        <w:t>/s/</w:t>
      </w:r>
      <w:r>
        <w:rPr>
          <w:sz w:val="20"/>
          <w:szCs w:val="20"/>
          <w:color w:val="auto"/>
        </w:rPr>
        <w:tab/>
      </w:r>
      <w:r>
        <w:rPr>
          <w:rFonts w:ascii="Arial" w:cs="Arial" w:eastAsia="Arial" w:hAnsi="Arial"/>
          <w:sz w:val="19"/>
          <w:szCs w:val="19"/>
          <w:color w:val="00162F"/>
        </w:rPr>
        <w:t>Angela K.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38100</wp:posOffset>
            </wp:positionV>
            <wp:extent cx="3215005" cy="127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1">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76"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Angela K. Owens</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Senior Vice President and Corporate Controller</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(Principal Accounting Officer)</w:t>
      </w:r>
    </w:p>
    <w:p>
      <w:pPr>
        <w:sectPr>
          <w:pgSz w:w="11880" w:h="15480" w:orient="portrait"/>
          <w:cols w:equalWidth="0" w:num="1">
            <w:col w:w="10680"/>
          </w:cols>
          <w:pgMar w:left="600" w:top="992" w:right="600" w:bottom="0" w:gutter="0" w:footer="0" w:header="0"/>
        </w:sect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Date: February 18,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Date: February 18, 2026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Date: February 18, 2026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Date: February 18, 2026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Date: February 18, 2026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9"/>
          <w:szCs w:val="19"/>
          <w:color w:val="00162F"/>
        </w:rPr>
        <w:t>Date: February 18, 2026</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00162F"/>
        </w:rPr>
        <w:t>/s/</w:t>
      </w:r>
      <w:r>
        <w:rPr>
          <w:sz w:val="20"/>
          <w:szCs w:val="20"/>
          <w:color w:val="auto"/>
        </w:rPr>
        <w:tab/>
      </w:r>
      <w:r>
        <w:rPr>
          <w:rFonts w:ascii="Arial" w:cs="Arial" w:eastAsia="Arial" w:hAnsi="Arial"/>
          <w:sz w:val="19"/>
          <w:szCs w:val="19"/>
          <w:color w:val="00162F"/>
        </w:rPr>
        <w:t>Adriane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19050</wp:posOffset>
            </wp:positionV>
            <wp:extent cx="3215005" cy="127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2">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00162F"/>
        </w:rPr>
        <w:t>Adriane M. Brown, Director</w:t>
      </w: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00162F"/>
        </w:rPr>
        <w:t>/s/</w:t>
        <w:tab/>
        <w:t>John T.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19050</wp:posOffset>
            </wp:positionV>
            <wp:extent cx="3215005" cy="127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3">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00162F"/>
        </w:rPr>
        <w:t>John T. Cahill, Director</w:t>
      </w:r>
    </w:p>
    <w:p>
      <w:pPr>
        <w:spacing w:after="0" w:line="364"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00162F"/>
        </w:rPr>
        <w:t>/s/</w:t>
        <w:tab/>
        <w:t>Kathryn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19050</wp:posOffset>
            </wp:positionV>
            <wp:extent cx="3215005" cy="127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4">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00162F"/>
        </w:rPr>
        <w:t>Kathryn Farmer, Director</w:t>
      </w:r>
    </w:p>
    <w:p>
      <w:pPr>
        <w:spacing w:after="0" w:line="364"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00162F"/>
        </w:rPr>
        <w:t>/s/</w:t>
        <w:tab/>
        <w:t>Matthew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19050</wp:posOffset>
            </wp:positionV>
            <wp:extent cx="3215005" cy="127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5">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00162F"/>
        </w:rPr>
        <w:t>Matthew J. Hart, Director</w:t>
      </w:r>
    </w:p>
    <w:p>
      <w:pPr>
        <w:spacing w:after="0" w:line="364"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00162F"/>
        </w:rPr>
        <w:t>/s/</w:t>
        <w:tab/>
        <w:t>Susan D. Kronick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19050</wp:posOffset>
            </wp:positionV>
            <wp:extent cx="3215005" cy="127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6">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00162F"/>
        </w:rPr>
        <w:t>Susan D. Kronick, Director</w:t>
      </w:r>
    </w:p>
    <w:p>
      <w:pPr>
        <w:spacing w:after="0" w:line="364"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00162F"/>
        </w:rPr>
        <w:t>/s/</w:t>
        <w:tab/>
        <w:t>Martin H. Nesbitt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19050</wp:posOffset>
            </wp:positionV>
            <wp:extent cx="3215005" cy="127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7">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00162F"/>
        </w:rPr>
        <w:t>Martin H. Nesbitt, Director</w:t>
      </w:r>
    </w:p>
    <w:p>
      <w:pPr>
        <w:spacing w:after="0" w:line="200" w:lineRule="exact"/>
        <w:rPr>
          <w:sz w:val="20"/>
          <w:szCs w:val="20"/>
          <w:color w:val="auto"/>
        </w:rPr>
      </w:pPr>
    </w:p>
    <w:p>
      <w:pPr>
        <w:sectPr>
          <w:pgSz w:w="11880" w:h="15480" w:orient="portrait"/>
          <w:cols w:equalWidth="0" w:num="2">
            <w:col w:w="4400" w:space="720"/>
            <w:col w:w="5560"/>
          </w:cols>
          <w:pgMar w:left="600" w:top="992"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203</w:t>
      </w:r>
    </w:p>
    <w:p>
      <w:pPr>
        <w:sectPr>
          <w:pgSz w:w="11880" w:h="15480" w:orient="portrait"/>
          <w:cols w:equalWidth="0" w:num="1">
            <w:col w:w="10680"/>
          </w:cols>
          <w:pgMar w:left="600" w:top="992" w:right="600" w:bottom="0" w:gutter="0" w:footer="0" w:header="0"/>
          <w:type w:val="continuous"/>
        </w:sectPr>
      </w:pPr>
    </w:p>
    <w:bookmarkStart w:id="204" w:name="page205"/>
    <w:bookmarkEnd w:id="204"/>
    <w:tbl>
      <w:tblPr>
        <w:tblLayout w:type="fixed"/>
        <w:tblInd w:w="40" w:type="dxa"/>
        <w:tblCellMar>
          <w:top w:w="0" w:type="dxa"/>
          <w:left w:w="0" w:type="dxa"/>
          <w:bottom w:w="0" w:type="dxa"/>
          <w:right w:w="0" w:type="dxa"/>
        </w:tblCellMar>
      </w:tblPr>
      <w:tr>
        <w:trPr>
          <w:trHeight w:val="290"/>
        </w:trPr>
        <w:tc>
          <w:tcPr>
            <w:tcW w:w="5020" w:type="dxa"/>
            <w:vAlign w:val="bottom"/>
          </w:tcPr>
          <w:p>
            <w:pPr>
              <w:spacing w:after="0"/>
              <w:rPr>
                <w:sz w:val="20"/>
                <w:szCs w:val="20"/>
                <w:color w:val="auto"/>
              </w:rPr>
            </w:pPr>
            <w:r>
              <w:rPr>
                <w:rFonts w:ascii="Arial" w:cs="Arial" w:eastAsia="Arial" w:hAnsi="Arial"/>
                <w:sz w:val="20"/>
                <w:szCs w:val="20"/>
                <w:color w:val="00162F"/>
              </w:rPr>
              <w:t>Date: February 18, 2026</w:t>
            </w:r>
          </w:p>
        </w:tc>
        <w:tc>
          <w:tcPr>
            <w:tcW w:w="340" w:type="dxa"/>
            <w:vAlign w:val="bottom"/>
            <w:tcBorders>
              <w:bottom w:val="single" w:sz="8" w:color="00162F"/>
            </w:tcBorders>
          </w:tcPr>
          <w:p>
            <w:pPr>
              <w:ind w:left="60"/>
              <w:spacing w:after="0"/>
              <w:rPr>
                <w:sz w:val="20"/>
                <w:szCs w:val="20"/>
                <w:color w:val="auto"/>
              </w:rPr>
            </w:pPr>
            <w:r>
              <w:rPr>
                <w:rFonts w:ascii="Arial" w:cs="Arial" w:eastAsia="Arial" w:hAnsi="Arial"/>
                <w:sz w:val="20"/>
                <w:szCs w:val="20"/>
                <w:color w:val="00162F"/>
              </w:rPr>
              <w:t>/s/</w:t>
            </w:r>
          </w:p>
        </w:tc>
        <w:tc>
          <w:tcPr>
            <w:tcW w:w="4720" w:type="dxa"/>
            <w:vAlign w:val="bottom"/>
            <w:tcBorders>
              <w:bottom w:val="single" w:sz="8" w:color="00162F"/>
            </w:tcBorders>
          </w:tcPr>
          <w:p>
            <w:pPr>
              <w:ind w:left="140"/>
              <w:spacing w:after="0"/>
              <w:rPr>
                <w:sz w:val="20"/>
                <w:szCs w:val="20"/>
                <w:color w:val="auto"/>
              </w:rPr>
            </w:pPr>
            <w:r>
              <w:rPr>
                <w:rFonts w:ascii="Arial" w:cs="Arial" w:eastAsia="Arial" w:hAnsi="Arial"/>
                <w:sz w:val="20"/>
                <w:szCs w:val="20"/>
                <w:color w:val="00162F"/>
              </w:rPr>
              <w:t>Denise M. O’Leary</w:t>
            </w:r>
          </w:p>
        </w:tc>
      </w:tr>
      <w:tr>
        <w:trPr>
          <w:trHeight w:val="280"/>
        </w:trPr>
        <w:tc>
          <w:tcPr>
            <w:tcW w:w="5020" w:type="dxa"/>
            <w:vAlign w:val="bottom"/>
          </w:tcPr>
          <w:p>
            <w:pPr>
              <w:spacing w:after="0"/>
              <w:rPr>
                <w:sz w:val="24"/>
                <w:szCs w:val="24"/>
                <w:color w:val="auto"/>
              </w:rPr>
            </w:pPr>
          </w:p>
        </w:tc>
        <w:tc>
          <w:tcPr>
            <w:tcW w:w="5060" w:type="dxa"/>
            <w:vAlign w:val="bottom"/>
            <w:gridSpan w:val="2"/>
          </w:tcPr>
          <w:p>
            <w:pPr>
              <w:ind w:left="60"/>
              <w:spacing w:after="0"/>
              <w:rPr>
                <w:sz w:val="20"/>
                <w:szCs w:val="20"/>
                <w:color w:val="auto"/>
              </w:rPr>
            </w:pPr>
            <w:r>
              <w:rPr>
                <w:rFonts w:ascii="Arial" w:cs="Arial" w:eastAsia="Arial" w:hAnsi="Arial"/>
                <w:sz w:val="20"/>
                <w:szCs w:val="20"/>
                <w:color w:val="00162F"/>
              </w:rPr>
              <w:t>Denise M. O’Leary, Director</w:t>
            </w:r>
          </w:p>
        </w:tc>
      </w:tr>
      <w:tr>
        <w:trPr>
          <w:trHeight w:val="591"/>
        </w:trPr>
        <w:tc>
          <w:tcPr>
            <w:tcW w:w="5020" w:type="dxa"/>
            <w:vAlign w:val="bottom"/>
          </w:tcPr>
          <w:p>
            <w:pPr>
              <w:spacing w:after="0"/>
              <w:rPr>
                <w:sz w:val="20"/>
                <w:szCs w:val="20"/>
                <w:color w:val="auto"/>
              </w:rPr>
            </w:pPr>
            <w:r>
              <w:rPr>
                <w:rFonts w:ascii="Arial" w:cs="Arial" w:eastAsia="Arial" w:hAnsi="Arial"/>
                <w:sz w:val="20"/>
                <w:szCs w:val="20"/>
                <w:color w:val="00162F"/>
              </w:rPr>
              <w:t>Date: February 18, 2026</w:t>
            </w:r>
          </w:p>
        </w:tc>
        <w:tc>
          <w:tcPr>
            <w:tcW w:w="340" w:type="dxa"/>
            <w:vAlign w:val="bottom"/>
            <w:tcBorders>
              <w:bottom w:val="single" w:sz="8" w:color="00162F"/>
            </w:tcBorders>
          </w:tcPr>
          <w:p>
            <w:pPr>
              <w:ind w:left="60"/>
              <w:spacing w:after="0"/>
              <w:rPr>
                <w:sz w:val="20"/>
                <w:szCs w:val="20"/>
                <w:color w:val="auto"/>
              </w:rPr>
            </w:pPr>
            <w:r>
              <w:rPr>
                <w:rFonts w:ascii="Arial" w:cs="Arial" w:eastAsia="Arial" w:hAnsi="Arial"/>
                <w:sz w:val="20"/>
                <w:szCs w:val="20"/>
                <w:color w:val="00162F"/>
              </w:rPr>
              <w:t>/s/</w:t>
            </w:r>
          </w:p>
        </w:tc>
        <w:tc>
          <w:tcPr>
            <w:tcW w:w="4720" w:type="dxa"/>
            <w:vAlign w:val="bottom"/>
            <w:tcBorders>
              <w:bottom w:val="single" w:sz="8" w:color="00162F"/>
            </w:tcBorders>
          </w:tcPr>
          <w:p>
            <w:pPr>
              <w:ind w:left="140"/>
              <w:spacing w:after="0"/>
              <w:rPr>
                <w:sz w:val="20"/>
                <w:szCs w:val="20"/>
                <w:color w:val="auto"/>
              </w:rPr>
            </w:pPr>
            <w:r>
              <w:rPr>
                <w:rFonts w:ascii="Arial" w:cs="Arial" w:eastAsia="Arial" w:hAnsi="Arial"/>
                <w:sz w:val="20"/>
                <w:szCs w:val="20"/>
                <w:color w:val="00162F"/>
              </w:rPr>
              <w:t>Vicente Reynal</w:t>
            </w:r>
          </w:p>
        </w:tc>
      </w:tr>
      <w:tr>
        <w:trPr>
          <w:trHeight w:val="280"/>
        </w:trPr>
        <w:tc>
          <w:tcPr>
            <w:tcW w:w="5020" w:type="dxa"/>
            <w:vAlign w:val="bottom"/>
          </w:tcPr>
          <w:p>
            <w:pPr>
              <w:spacing w:after="0"/>
              <w:rPr>
                <w:sz w:val="24"/>
                <w:szCs w:val="24"/>
                <w:color w:val="auto"/>
              </w:rPr>
            </w:pPr>
          </w:p>
        </w:tc>
        <w:tc>
          <w:tcPr>
            <w:tcW w:w="5060" w:type="dxa"/>
            <w:vAlign w:val="bottom"/>
            <w:gridSpan w:val="2"/>
          </w:tcPr>
          <w:p>
            <w:pPr>
              <w:ind w:left="60"/>
              <w:spacing w:after="0"/>
              <w:rPr>
                <w:sz w:val="20"/>
                <w:szCs w:val="20"/>
                <w:color w:val="auto"/>
              </w:rPr>
            </w:pPr>
            <w:r>
              <w:rPr>
                <w:rFonts w:ascii="Arial" w:cs="Arial" w:eastAsia="Arial" w:hAnsi="Arial"/>
                <w:sz w:val="20"/>
                <w:szCs w:val="20"/>
                <w:color w:val="00162F"/>
              </w:rPr>
              <w:t>Vicente Reynal, Director</w:t>
            </w:r>
          </w:p>
        </w:tc>
      </w:tr>
      <w:tr>
        <w:trPr>
          <w:trHeight w:val="606"/>
        </w:trPr>
        <w:tc>
          <w:tcPr>
            <w:tcW w:w="5020" w:type="dxa"/>
            <w:vAlign w:val="bottom"/>
          </w:tcPr>
          <w:p>
            <w:pPr>
              <w:spacing w:after="0"/>
              <w:rPr>
                <w:sz w:val="20"/>
                <w:szCs w:val="20"/>
                <w:color w:val="auto"/>
              </w:rPr>
            </w:pPr>
            <w:r>
              <w:rPr>
                <w:rFonts w:ascii="Arial" w:cs="Arial" w:eastAsia="Arial" w:hAnsi="Arial"/>
                <w:sz w:val="20"/>
                <w:szCs w:val="20"/>
                <w:color w:val="00162F"/>
              </w:rPr>
              <w:t>Date: February 18, 2026</w:t>
            </w:r>
          </w:p>
        </w:tc>
        <w:tc>
          <w:tcPr>
            <w:tcW w:w="340" w:type="dxa"/>
            <w:vAlign w:val="bottom"/>
            <w:tcBorders>
              <w:bottom w:val="single" w:sz="8" w:color="00162F"/>
            </w:tcBorders>
          </w:tcPr>
          <w:p>
            <w:pPr>
              <w:ind w:left="60"/>
              <w:spacing w:after="0"/>
              <w:rPr>
                <w:sz w:val="20"/>
                <w:szCs w:val="20"/>
                <w:color w:val="auto"/>
              </w:rPr>
            </w:pPr>
            <w:r>
              <w:rPr>
                <w:rFonts w:ascii="Arial" w:cs="Arial" w:eastAsia="Arial" w:hAnsi="Arial"/>
                <w:sz w:val="20"/>
                <w:szCs w:val="20"/>
                <w:color w:val="00162F"/>
              </w:rPr>
              <w:t>/s/</w:t>
            </w:r>
          </w:p>
        </w:tc>
        <w:tc>
          <w:tcPr>
            <w:tcW w:w="4720" w:type="dxa"/>
            <w:vAlign w:val="bottom"/>
            <w:tcBorders>
              <w:bottom w:val="single" w:sz="8" w:color="00162F"/>
            </w:tcBorders>
          </w:tcPr>
          <w:p>
            <w:pPr>
              <w:ind w:left="140"/>
              <w:spacing w:after="0"/>
              <w:rPr>
                <w:sz w:val="20"/>
                <w:szCs w:val="20"/>
                <w:color w:val="auto"/>
              </w:rPr>
            </w:pPr>
            <w:r>
              <w:rPr>
                <w:rFonts w:ascii="Arial" w:cs="Arial" w:eastAsia="Arial" w:hAnsi="Arial"/>
                <w:sz w:val="20"/>
                <w:szCs w:val="20"/>
                <w:color w:val="00162F"/>
              </w:rPr>
              <w:t>Gregory D. Smith</w:t>
            </w:r>
          </w:p>
        </w:tc>
      </w:tr>
      <w:tr>
        <w:trPr>
          <w:trHeight w:val="280"/>
        </w:trPr>
        <w:tc>
          <w:tcPr>
            <w:tcW w:w="5020" w:type="dxa"/>
            <w:vAlign w:val="bottom"/>
          </w:tcPr>
          <w:p>
            <w:pPr>
              <w:spacing w:after="0"/>
              <w:rPr>
                <w:sz w:val="24"/>
                <w:szCs w:val="24"/>
                <w:color w:val="auto"/>
              </w:rPr>
            </w:pPr>
          </w:p>
        </w:tc>
        <w:tc>
          <w:tcPr>
            <w:tcW w:w="5060" w:type="dxa"/>
            <w:vAlign w:val="bottom"/>
            <w:gridSpan w:val="2"/>
          </w:tcPr>
          <w:p>
            <w:pPr>
              <w:ind w:left="60"/>
              <w:spacing w:after="0"/>
              <w:rPr>
                <w:sz w:val="20"/>
                <w:szCs w:val="20"/>
                <w:color w:val="auto"/>
              </w:rPr>
            </w:pPr>
            <w:r>
              <w:rPr>
                <w:rFonts w:ascii="Arial" w:cs="Arial" w:eastAsia="Arial" w:hAnsi="Arial"/>
                <w:sz w:val="20"/>
                <w:szCs w:val="20"/>
                <w:color w:val="00162F"/>
              </w:rPr>
              <w:t>Gregory D. Smith, Chairman</w:t>
            </w:r>
          </w:p>
        </w:tc>
      </w:tr>
      <w:tr>
        <w:trPr>
          <w:trHeight w:val="591"/>
        </w:trPr>
        <w:tc>
          <w:tcPr>
            <w:tcW w:w="5020" w:type="dxa"/>
            <w:vAlign w:val="bottom"/>
          </w:tcPr>
          <w:p>
            <w:pPr>
              <w:spacing w:after="0"/>
              <w:rPr>
                <w:sz w:val="20"/>
                <w:szCs w:val="20"/>
                <w:color w:val="auto"/>
              </w:rPr>
            </w:pPr>
            <w:r>
              <w:rPr>
                <w:rFonts w:ascii="Arial" w:cs="Arial" w:eastAsia="Arial" w:hAnsi="Arial"/>
                <w:sz w:val="20"/>
                <w:szCs w:val="20"/>
                <w:color w:val="00162F"/>
              </w:rPr>
              <w:t>Date: February 18, 2026</w:t>
            </w:r>
          </w:p>
        </w:tc>
        <w:tc>
          <w:tcPr>
            <w:tcW w:w="340" w:type="dxa"/>
            <w:vAlign w:val="bottom"/>
            <w:tcBorders>
              <w:bottom w:val="single" w:sz="8" w:color="00162F"/>
            </w:tcBorders>
          </w:tcPr>
          <w:p>
            <w:pPr>
              <w:ind w:left="60"/>
              <w:spacing w:after="0"/>
              <w:rPr>
                <w:sz w:val="20"/>
                <w:szCs w:val="20"/>
                <w:color w:val="auto"/>
              </w:rPr>
            </w:pPr>
            <w:r>
              <w:rPr>
                <w:rFonts w:ascii="Arial" w:cs="Arial" w:eastAsia="Arial" w:hAnsi="Arial"/>
                <w:sz w:val="20"/>
                <w:szCs w:val="20"/>
                <w:color w:val="00162F"/>
              </w:rPr>
              <w:t>/s/</w:t>
            </w:r>
          </w:p>
        </w:tc>
        <w:tc>
          <w:tcPr>
            <w:tcW w:w="4720" w:type="dxa"/>
            <w:vAlign w:val="bottom"/>
            <w:tcBorders>
              <w:bottom w:val="single" w:sz="8" w:color="00162F"/>
            </w:tcBorders>
          </w:tcPr>
          <w:p>
            <w:pPr>
              <w:ind w:left="140"/>
              <w:spacing w:after="0"/>
              <w:rPr>
                <w:sz w:val="20"/>
                <w:szCs w:val="20"/>
                <w:color w:val="auto"/>
              </w:rPr>
            </w:pPr>
            <w:r>
              <w:rPr>
                <w:rFonts w:ascii="Arial" w:cs="Arial" w:eastAsia="Arial" w:hAnsi="Arial"/>
                <w:sz w:val="20"/>
                <w:szCs w:val="20"/>
                <w:color w:val="00162F"/>
              </w:rPr>
              <w:t>Douglas M. Steenland</w:t>
            </w:r>
          </w:p>
        </w:tc>
      </w:tr>
      <w:tr>
        <w:trPr>
          <w:trHeight w:val="280"/>
        </w:trPr>
        <w:tc>
          <w:tcPr>
            <w:tcW w:w="5020" w:type="dxa"/>
            <w:vAlign w:val="bottom"/>
          </w:tcPr>
          <w:p>
            <w:pPr>
              <w:spacing w:after="0"/>
              <w:rPr>
                <w:sz w:val="24"/>
                <w:szCs w:val="24"/>
                <w:color w:val="auto"/>
              </w:rPr>
            </w:pPr>
          </w:p>
        </w:tc>
        <w:tc>
          <w:tcPr>
            <w:tcW w:w="5060" w:type="dxa"/>
            <w:vAlign w:val="bottom"/>
            <w:gridSpan w:val="2"/>
          </w:tcPr>
          <w:p>
            <w:pPr>
              <w:ind w:left="60"/>
              <w:spacing w:after="0"/>
              <w:rPr>
                <w:sz w:val="20"/>
                <w:szCs w:val="20"/>
                <w:color w:val="auto"/>
              </w:rPr>
            </w:pPr>
            <w:r>
              <w:rPr>
                <w:rFonts w:ascii="Arial" w:cs="Arial" w:eastAsia="Arial" w:hAnsi="Arial"/>
                <w:sz w:val="20"/>
                <w:szCs w:val="20"/>
                <w:color w:val="00162F"/>
              </w:rPr>
              <w:t>Douglas M. Steenland, Director</w:t>
            </w:r>
          </w:p>
        </w:tc>
      </w:tr>
      <w:tr>
        <w:trPr>
          <w:trHeight w:val="621"/>
        </w:trPr>
        <w:tc>
          <w:tcPr>
            <w:tcW w:w="5020" w:type="dxa"/>
            <w:vAlign w:val="bottom"/>
          </w:tcPr>
          <w:p>
            <w:pPr>
              <w:spacing w:after="0"/>
              <w:rPr>
                <w:sz w:val="20"/>
                <w:szCs w:val="20"/>
                <w:color w:val="auto"/>
              </w:rPr>
            </w:pPr>
            <w:r>
              <w:rPr>
                <w:rFonts w:ascii="Arial" w:cs="Arial" w:eastAsia="Arial" w:hAnsi="Arial"/>
                <w:sz w:val="20"/>
                <w:szCs w:val="20"/>
                <w:color w:val="00162F"/>
              </w:rPr>
              <w:t>Date: February 18, 2026</w:t>
            </w:r>
          </w:p>
        </w:tc>
        <w:tc>
          <w:tcPr>
            <w:tcW w:w="340" w:type="dxa"/>
            <w:vAlign w:val="bottom"/>
            <w:tcBorders>
              <w:bottom w:val="single" w:sz="8" w:color="00162F"/>
            </w:tcBorders>
          </w:tcPr>
          <w:p>
            <w:pPr>
              <w:ind w:left="60"/>
              <w:spacing w:after="0"/>
              <w:rPr>
                <w:sz w:val="20"/>
                <w:szCs w:val="20"/>
                <w:color w:val="auto"/>
              </w:rPr>
            </w:pPr>
            <w:r>
              <w:rPr>
                <w:rFonts w:ascii="Arial" w:cs="Arial" w:eastAsia="Arial" w:hAnsi="Arial"/>
                <w:sz w:val="20"/>
                <w:szCs w:val="20"/>
                <w:color w:val="00162F"/>
              </w:rPr>
              <w:t>/s/</w:t>
            </w:r>
          </w:p>
        </w:tc>
        <w:tc>
          <w:tcPr>
            <w:tcW w:w="4720" w:type="dxa"/>
            <w:vAlign w:val="bottom"/>
            <w:tcBorders>
              <w:bottom w:val="single" w:sz="8" w:color="00162F"/>
            </w:tcBorders>
          </w:tcPr>
          <w:p>
            <w:pPr>
              <w:ind w:left="80"/>
              <w:spacing w:after="0"/>
              <w:rPr>
                <w:sz w:val="20"/>
                <w:szCs w:val="20"/>
                <w:color w:val="auto"/>
              </w:rPr>
            </w:pPr>
            <w:r>
              <w:rPr>
                <w:rFonts w:ascii="Arial" w:cs="Arial" w:eastAsia="Arial" w:hAnsi="Arial"/>
                <w:sz w:val="20"/>
                <w:szCs w:val="20"/>
                <w:color w:val="00162F"/>
              </w:rPr>
              <w:t>Howard Ungerleider</w:t>
            </w:r>
          </w:p>
        </w:tc>
      </w:tr>
      <w:tr>
        <w:trPr>
          <w:trHeight w:val="295"/>
        </w:trPr>
        <w:tc>
          <w:tcPr>
            <w:tcW w:w="5020" w:type="dxa"/>
            <w:vAlign w:val="bottom"/>
          </w:tcPr>
          <w:p>
            <w:pPr>
              <w:spacing w:after="0"/>
              <w:rPr>
                <w:sz w:val="24"/>
                <w:szCs w:val="24"/>
                <w:color w:val="auto"/>
              </w:rPr>
            </w:pPr>
          </w:p>
        </w:tc>
        <w:tc>
          <w:tcPr>
            <w:tcW w:w="5060" w:type="dxa"/>
            <w:vAlign w:val="bottom"/>
            <w:gridSpan w:val="2"/>
          </w:tcPr>
          <w:p>
            <w:pPr>
              <w:ind w:left="60"/>
              <w:spacing w:after="0"/>
              <w:rPr>
                <w:sz w:val="20"/>
                <w:szCs w:val="20"/>
                <w:color w:val="auto"/>
              </w:rPr>
            </w:pPr>
            <w:r>
              <w:rPr>
                <w:rFonts w:ascii="Arial" w:cs="Arial" w:eastAsia="Arial" w:hAnsi="Arial"/>
                <w:sz w:val="20"/>
                <w:szCs w:val="20"/>
                <w:color w:val="00162F"/>
              </w:rPr>
              <w:t>Howard Ungerleider,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267"/>
        <w:spacing w:after="0" w:line="282" w:lineRule="auto"/>
        <w:rPr>
          <w:sz w:val="20"/>
          <w:szCs w:val="20"/>
          <w:color w:val="auto"/>
        </w:rPr>
      </w:pPr>
      <w:r>
        <w:rPr>
          <w:rFonts w:ascii="Arial" w:cs="Arial" w:eastAsia="Arial" w:hAnsi="Arial"/>
          <w:sz w:val="20"/>
          <w:szCs w:val="20"/>
          <w:color w:val="00162F"/>
        </w:rPr>
        <w:t>Pursuant to the requirements of the Securities Exchange Act of 1934, this report has been signed below by the following persons on behalf of American Airlines, Inc. and in the capacities and on the dates noted:</w:t>
      </w:r>
    </w:p>
    <w:p>
      <w:pPr>
        <w:spacing w:after="0" w:line="165" w:lineRule="exact"/>
        <w:rPr>
          <w:sz w:val="20"/>
          <w:szCs w:val="20"/>
          <w:color w:val="auto"/>
        </w:rPr>
      </w:pPr>
    </w:p>
    <w:p>
      <w:pPr>
        <w:ind w:left="40"/>
        <w:spacing w:after="0"/>
        <w:tabs>
          <w:tab w:leader="none" w:pos="5100" w:val="left"/>
          <w:tab w:leader="none" w:pos="5520" w:val="left"/>
        </w:tabs>
        <w:rPr>
          <w:sz w:val="20"/>
          <w:szCs w:val="20"/>
          <w:color w:val="auto"/>
        </w:rPr>
      </w:pPr>
      <w:r>
        <w:rPr>
          <w:rFonts w:ascii="Arial" w:cs="Arial" w:eastAsia="Arial" w:hAnsi="Arial"/>
          <w:sz w:val="20"/>
          <w:szCs w:val="20"/>
          <w:color w:val="00162F"/>
        </w:rPr>
        <w:t>Date: February 18, 2026</w:t>
      </w:r>
      <w:r>
        <w:rPr>
          <w:sz w:val="20"/>
          <w:szCs w:val="20"/>
          <w:color w:val="auto"/>
        </w:rPr>
        <w:tab/>
      </w:r>
      <w:r>
        <w:rPr>
          <w:rFonts w:ascii="Arial" w:cs="Arial" w:eastAsia="Arial" w:hAnsi="Arial"/>
          <w:sz w:val="20"/>
          <w:szCs w:val="20"/>
          <w:color w:val="00162F"/>
        </w:rPr>
        <w:t>/s/</w:t>
      </w:r>
      <w:r>
        <w:rPr>
          <w:sz w:val="20"/>
          <w:szCs w:val="20"/>
          <w:color w:val="auto"/>
        </w:rPr>
        <w:tab/>
      </w:r>
      <w:r>
        <w:rPr>
          <w:rFonts w:ascii="Arial" w:cs="Arial" w:eastAsia="Arial" w:hAnsi="Arial"/>
          <w:sz w:val="19"/>
          <w:szCs w:val="19"/>
          <w:color w:val="00162F"/>
        </w:rPr>
        <w:t>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38100</wp:posOffset>
            </wp:positionV>
            <wp:extent cx="3215005" cy="127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8">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76"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Robert D. Isom</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Chief Executive Officer, President and Director</w:t>
      </w:r>
    </w:p>
    <w:p>
      <w:pPr>
        <w:spacing w:after="0" w:line="3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(Principal Executive Officer)</w:t>
      </w:r>
    </w:p>
    <w:p>
      <w:pPr>
        <w:spacing w:after="0" w:line="364" w:lineRule="exact"/>
        <w:rPr>
          <w:sz w:val="20"/>
          <w:szCs w:val="20"/>
          <w:color w:val="auto"/>
        </w:rPr>
      </w:pPr>
    </w:p>
    <w:p>
      <w:pPr>
        <w:ind w:left="40"/>
        <w:spacing w:after="0"/>
        <w:tabs>
          <w:tab w:leader="none" w:pos="5100" w:val="left"/>
          <w:tab w:leader="none" w:pos="5520" w:val="left"/>
        </w:tabs>
        <w:rPr>
          <w:sz w:val="20"/>
          <w:szCs w:val="20"/>
          <w:color w:val="auto"/>
        </w:rPr>
      </w:pPr>
      <w:r>
        <w:rPr>
          <w:rFonts w:ascii="Arial" w:cs="Arial" w:eastAsia="Arial" w:hAnsi="Arial"/>
          <w:sz w:val="20"/>
          <w:szCs w:val="20"/>
          <w:color w:val="00162F"/>
        </w:rPr>
        <w:t>Date: February 18, 2026</w:t>
      </w:r>
      <w:r>
        <w:rPr>
          <w:sz w:val="20"/>
          <w:szCs w:val="20"/>
          <w:color w:val="auto"/>
        </w:rPr>
        <w:tab/>
      </w:r>
      <w:r>
        <w:rPr>
          <w:rFonts w:ascii="Arial" w:cs="Arial" w:eastAsia="Arial" w:hAnsi="Arial"/>
          <w:sz w:val="20"/>
          <w:szCs w:val="20"/>
          <w:color w:val="00162F"/>
        </w:rPr>
        <w:t>/s/</w:t>
      </w:r>
      <w:r>
        <w:rPr>
          <w:sz w:val="20"/>
          <w:szCs w:val="20"/>
          <w:color w:val="auto"/>
        </w:rPr>
        <w:tab/>
      </w:r>
      <w:r>
        <w:rPr>
          <w:rFonts w:ascii="Arial" w:cs="Arial" w:eastAsia="Arial" w:hAnsi="Arial"/>
          <w:sz w:val="19"/>
          <w:szCs w:val="19"/>
          <w:color w:val="00162F"/>
        </w:rPr>
        <w:t>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38100</wp:posOffset>
            </wp:positionV>
            <wp:extent cx="3215005" cy="127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9">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76"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Devon E. May</w:t>
      </w:r>
    </w:p>
    <w:p>
      <w:pPr>
        <w:spacing w:after="0" w:line="60"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Executive Vice President, Chief Financial Officer and</w:t>
      </w:r>
    </w:p>
    <w:p>
      <w:pPr>
        <w:ind w:left="5120"/>
        <w:spacing w:after="0"/>
        <w:rPr>
          <w:sz w:val="20"/>
          <w:szCs w:val="20"/>
          <w:color w:val="auto"/>
        </w:rPr>
      </w:pPr>
      <w:r>
        <w:rPr>
          <w:rFonts w:ascii="Arial" w:cs="Arial" w:eastAsia="Arial" w:hAnsi="Arial"/>
          <w:sz w:val="20"/>
          <w:szCs w:val="20"/>
          <w:color w:val="00162F"/>
        </w:rPr>
        <w:t>Director</w:t>
      </w:r>
    </w:p>
    <w:p>
      <w:pPr>
        <w:spacing w:after="0" w:line="3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(Principal Financial Officer)</w:t>
      </w:r>
    </w:p>
    <w:p>
      <w:pPr>
        <w:spacing w:after="0" w:line="364" w:lineRule="exact"/>
        <w:rPr>
          <w:sz w:val="20"/>
          <w:szCs w:val="20"/>
          <w:color w:val="auto"/>
        </w:rPr>
      </w:pPr>
    </w:p>
    <w:p>
      <w:pPr>
        <w:ind w:left="40"/>
        <w:spacing w:after="0"/>
        <w:tabs>
          <w:tab w:leader="none" w:pos="5100" w:val="left"/>
          <w:tab w:leader="none" w:pos="5500" w:val="left"/>
        </w:tabs>
        <w:rPr>
          <w:sz w:val="20"/>
          <w:szCs w:val="20"/>
          <w:color w:val="auto"/>
        </w:rPr>
      </w:pPr>
      <w:r>
        <w:rPr>
          <w:rFonts w:ascii="Arial" w:cs="Arial" w:eastAsia="Arial" w:hAnsi="Arial"/>
          <w:sz w:val="20"/>
          <w:szCs w:val="20"/>
          <w:color w:val="00162F"/>
        </w:rPr>
        <w:t>Date: February 18, 2026</w:t>
      </w:r>
      <w:r>
        <w:rPr>
          <w:sz w:val="20"/>
          <w:szCs w:val="20"/>
          <w:color w:val="auto"/>
        </w:rPr>
        <w:tab/>
      </w:r>
      <w:r>
        <w:rPr>
          <w:rFonts w:ascii="Arial" w:cs="Arial" w:eastAsia="Arial" w:hAnsi="Arial"/>
          <w:sz w:val="20"/>
          <w:szCs w:val="20"/>
          <w:color w:val="00162F"/>
        </w:rPr>
        <w:t>/s/</w:t>
      </w:r>
      <w:r>
        <w:rPr>
          <w:sz w:val="20"/>
          <w:szCs w:val="20"/>
          <w:color w:val="auto"/>
        </w:rPr>
        <w:tab/>
      </w:r>
      <w:r>
        <w:rPr>
          <w:rFonts w:ascii="Arial" w:cs="Arial" w:eastAsia="Arial" w:hAnsi="Arial"/>
          <w:sz w:val="19"/>
          <w:szCs w:val="19"/>
          <w:color w:val="00162F"/>
        </w:rPr>
        <w:t>Angela K.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38100</wp:posOffset>
            </wp:positionV>
            <wp:extent cx="3215005" cy="127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0">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76"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Angela K. Owens</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Senior Vice President and Corporate Controller</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(Principal Accounting Officer)</w:t>
      </w:r>
    </w:p>
    <w:p>
      <w:pPr>
        <w:spacing w:after="0" w:line="334" w:lineRule="exact"/>
        <w:rPr>
          <w:sz w:val="20"/>
          <w:szCs w:val="20"/>
          <w:color w:val="auto"/>
        </w:rPr>
      </w:pPr>
    </w:p>
    <w:p>
      <w:pPr>
        <w:ind w:left="40"/>
        <w:spacing w:after="0"/>
        <w:tabs>
          <w:tab w:leader="none" w:pos="5100" w:val="left"/>
          <w:tab w:leader="none" w:pos="5520" w:val="left"/>
        </w:tabs>
        <w:rPr>
          <w:sz w:val="20"/>
          <w:szCs w:val="20"/>
          <w:color w:val="auto"/>
        </w:rPr>
      </w:pPr>
      <w:r>
        <w:rPr>
          <w:rFonts w:ascii="Arial" w:cs="Arial" w:eastAsia="Arial" w:hAnsi="Arial"/>
          <w:sz w:val="20"/>
          <w:szCs w:val="20"/>
          <w:color w:val="00162F"/>
        </w:rPr>
        <w:t>Date: February 18, 2026</w:t>
      </w:r>
      <w:r>
        <w:rPr>
          <w:sz w:val="20"/>
          <w:szCs w:val="20"/>
          <w:color w:val="auto"/>
        </w:rPr>
        <w:tab/>
      </w:r>
      <w:r>
        <w:rPr>
          <w:rFonts w:ascii="Arial" w:cs="Arial" w:eastAsia="Arial" w:hAnsi="Arial"/>
          <w:sz w:val="20"/>
          <w:szCs w:val="20"/>
          <w:color w:val="00162F"/>
        </w:rPr>
        <w:t>/s/</w:t>
      </w:r>
      <w:r>
        <w:rPr>
          <w:sz w:val="20"/>
          <w:szCs w:val="20"/>
          <w:color w:val="auto"/>
        </w:rPr>
        <w:tab/>
      </w:r>
      <w:r>
        <w:rPr>
          <w:rFonts w:ascii="Arial" w:cs="Arial" w:eastAsia="Arial" w:hAnsi="Arial"/>
          <w:sz w:val="19"/>
          <w:szCs w:val="19"/>
          <w:color w:val="00162F"/>
        </w:rPr>
        <w:t>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38100</wp:posOffset>
            </wp:positionV>
            <wp:extent cx="3215005" cy="127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1">
                      <a:extLst>
                        <a:ext uri="{28A0092B-C50C-407E-A947-70E740481C1C}"/>
                      </a:extLst>
                    </a:blip>
                    <a:srcRect/>
                    <a:stretch>
                      <a:fillRect/>
                    </a:stretch>
                  </pic:blipFill>
                  <pic:spPr bwMode="auto">
                    <a:xfrm>
                      <a:off x="0" y="0"/>
                      <a:ext cx="3215005" cy="1270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00162F"/>
        </w:rPr>
        <w:t>Stephen L. Johnson, Director</w:t>
      </w:r>
    </w:p>
    <w:p>
      <w:pPr>
        <w:sectPr>
          <w:pgSz w:w="11880" w:h="15480" w:orient="portrait"/>
          <w:cols w:equalWidth="0" w:num="1">
            <w:col w:w="10680"/>
          </w:cols>
          <w:pgMar w:left="600" w:top="104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00162F"/>
        </w:rPr>
        <w:t>204</w:t>
      </w:r>
    </w:p>
    <w:p>
      <w:pPr>
        <w:sectPr>
          <w:pgSz w:w="11880" w:h="15480" w:orient="portrait"/>
          <w:cols w:equalWidth="0" w:num="1">
            <w:col w:w="10680"/>
          </w:cols>
          <w:pgMar w:left="600" w:top="1044" w:right="600" w:bottom="0" w:gutter="0" w:footer="0" w:header="0"/>
          <w:type w:val="continuous"/>
        </w:sectPr>
      </w:pPr>
    </w:p>
    <w:bookmarkStart w:id="205" w:name="page206"/>
    <w:bookmarkEnd w:id="205"/>
    <w:p>
      <w:pPr>
        <w:jc w:val="center"/>
        <w:spacing w:after="0"/>
        <w:rPr>
          <w:sz w:val="20"/>
          <w:szCs w:val="20"/>
          <w:color w:val="auto"/>
        </w:rPr>
      </w:pPr>
      <w:r>
        <w:rPr>
          <w:rFonts w:ascii="Arial" w:cs="Arial" w:eastAsia="Arial" w:hAnsi="Arial"/>
          <w:sz w:val="26"/>
          <w:szCs w:val="26"/>
          <w:b w:val="1"/>
          <w:bCs w:val="1"/>
          <w:color w:val="00162F"/>
        </w:rPr>
        <w:t>Directors of American Airlines Group Inc.</w:t>
      </w:r>
    </w:p>
    <w:p>
      <w:pPr>
        <w:jc w:val="center"/>
        <w:spacing w:after="0" w:line="234" w:lineRule="auto"/>
        <w:rPr>
          <w:sz w:val="20"/>
          <w:szCs w:val="20"/>
          <w:color w:val="auto"/>
        </w:rPr>
      </w:pPr>
      <w:r>
        <w:rPr>
          <w:rFonts w:ascii="Arial" w:cs="Arial" w:eastAsia="Arial" w:hAnsi="Arial"/>
          <w:sz w:val="18"/>
          <w:szCs w:val="18"/>
          <w:i w:val="1"/>
          <w:iCs w:val="1"/>
          <w:color w:val="00162F"/>
        </w:rPr>
        <w:t>(as of April 28, 2026)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20"/>
                <w:szCs w:val="20"/>
                <w:color w:val="auto"/>
              </w:rPr>
            </w:pPr>
            <w:r>
              <w:rPr>
                <w:rFonts w:ascii="Arial" w:cs="Arial" w:eastAsia="Arial" w:hAnsi="Arial"/>
                <w:sz w:val="18"/>
                <w:szCs w:val="18"/>
                <w:b w:val="1"/>
                <w:bCs w:val="1"/>
                <w:color w:val="00162F"/>
              </w:rPr>
              <w:t>Adriane M. Brown</w:t>
            </w:r>
          </w:p>
        </w:tc>
        <w:tc>
          <w:tcPr>
            <w:tcW w:w="3280" w:type="dxa"/>
            <w:vAlign w:val="bottom"/>
          </w:tcPr>
          <w:p>
            <w:pPr>
              <w:ind w:left="360"/>
              <w:spacing w:after="0"/>
              <w:rPr>
                <w:sz w:val="20"/>
                <w:szCs w:val="20"/>
                <w:color w:val="auto"/>
              </w:rPr>
            </w:pPr>
            <w:r>
              <w:rPr>
                <w:rFonts w:ascii="Arial" w:cs="Arial" w:eastAsia="Arial" w:hAnsi="Arial"/>
                <w:sz w:val="18"/>
                <w:szCs w:val="18"/>
                <w:b w:val="1"/>
                <w:bCs w:val="1"/>
                <w:color w:val="00162F"/>
              </w:rPr>
              <w:t>John T. Cahill</w:t>
            </w:r>
          </w:p>
        </w:tc>
        <w:tc>
          <w:tcPr>
            <w:tcW w:w="3360" w:type="dxa"/>
            <w:vAlign w:val="bottom"/>
          </w:tcPr>
          <w:p>
            <w:pPr>
              <w:ind w:left="320"/>
              <w:spacing w:after="0"/>
              <w:rPr>
                <w:sz w:val="20"/>
                <w:szCs w:val="20"/>
                <w:color w:val="auto"/>
              </w:rPr>
            </w:pPr>
            <w:r>
              <w:rPr>
                <w:rFonts w:ascii="Arial" w:cs="Arial" w:eastAsia="Arial" w:hAnsi="Arial"/>
                <w:sz w:val="18"/>
                <w:szCs w:val="18"/>
                <w:b w:val="1"/>
                <w:bCs w:val="1"/>
                <w:color w:val="00162F"/>
              </w:rPr>
              <w:t>Mary N. Dillon</w:t>
            </w:r>
          </w:p>
        </w:tc>
      </w:tr>
      <w:tr>
        <w:trPr>
          <w:trHeight w:val="220"/>
        </w:trPr>
        <w:tc>
          <w:tcPr>
            <w:tcW w:w="3080" w:type="dxa"/>
            <w:vAlign w:val="bottom"/>
          </w:tcPr>
          <w:p>
            <w:pPr>
              <w:spacing w:after="0"/>
              <w:rPr>
                <w:sz w:val="20"/>
                <w:szCs w:val="20"/>
                <w:color w:val="auto"/>
              </w:rPr>
            </w:pPr>
            <w:r>
              <w:rPr>
                <w:rFonts w:ascii="Arial" w:cs="Arial" w:eastAsia="Arial" w:hAnsi="Arial"/>
                <w:sz w:val="18"/>
                <w:szCs w:val="18"/>
                <w:color w:val="00162F"/>
              </w:rPr>
              <w:t>Managing Partner</w:t>
            </w:r>
          </w:p>
        </w:tc>
        <w:tc>
          <w:tcPr>
            <w:tcW w:w="3280" w:type="dxa"/>
            <w:vAlign w:val="bottom"/>
          </w:tcPr>
          <w:p>
            <w:pPr>
              <w:ind w:left="360"/>
              <w:spacing w:after="0"/>
              <w:rPr>
                <w:sz w:val="20"/>
                <w:szCs w:val="20"/>
                <w:color w:val="auto"/>
              </w:rPr>
            </w:pPr>
            <w:r>
              <w:rPr>
                <w:rFonts w:ascii="Arial" w:cs="Arial" w:eastAsia="Arial" w:hAnsi="Arial"/>
                <w:sz w:val="18"/>
                <w:szCs w:val="18"/>
                <w:color w:val="00162F"/>
              </w:rPr>
              <w:t>Chairman</w:t>
            </w:r>
          </w:p>
        </w:tc>
        <w:tc>
          <w:tcPr>
            <w:tcW w:w="3360" w:type="dxa"/>
            <w:vAlign w:val="bottom"/>
          </w:tcPr>
          <w:p>
            <w:pPr>
              <w:ind w:left="320"/>
              <w:spacing w:after="0"/>
              <w:rPr>
                <w:sz w:val="20"/>
                <w:szCs w:val="20"/>
                <w:color w:val="auto"/>
              </w:rPr>
            </w:pPr>
            <w:r>
              <w:rPr>
                <w:rFonts w:ascii="Arial" w:cs="Arial" w:eastAsia="Arial" w:hAnsi="Arial"/>
                <w:sz w:val="18"/>
                <w:szCs w:val="18"/>
                <w:color w:val="00162F"/>
              </w:rPr>
              <w:t>Former Chief Executive Officer</w:t>
            </w:r>
          </w:p>
        </w:tc>
      </w:tr>
      <w:tr>
        <w:trPr>
          <w:trHeight w:val="220"/>
        </w:trPr>
        <w:tc>
          <w:tcPr>
            <w:tcW w:w="3080" w:type="dxa"/>
            <w:vAlign w:val="bottom"/>
          </w:tcPr>
          <w:p>
            <w:pPr>
              <w:spacing w:after="0"/>
              <w:rPr>
                <w:sz w:val="20"/>
                <w:szCs w:val="20"/>
                <w:color w:val="auto"/>
              </w:rPr>
            </w:pPr>
            <w:r>
              <w:rPr>
                <w:rFonts w:ascii="Arial" w:cs="Arial" w:eastAsia="Arial" w:hAnsi="Arial"/>
                <w:sz w:val="18"/>
                <w:szCs w:val="18"/>
                <w:i w:val="1"/>
                <w:iCs w:val="1"/>
                <w:color w:val="00162F"/>
              </w:rPr>
              <w:t>Flying Fish Partners</w:t>
            </w:r>
          </w:p>
        </w:tc>
        <w:tc>
          <w:tcPr>
            <w:tcW w:w="3280" w:type="dxa"/>
            <w:vAlign w:val="bottom"/>
          </w:tcPr>
          <w:p>
            <w:pPr>
              <w:ind w:left="360"/>
              <w:spacing w:after="0"/>
              <w:rPr>
                <w:sz w:val="20"/>
                <w:szCs w:val="20"/>
                <w:color w:val="auto"/>
              </w:rPr>
            </w:pPr>
            <w:r>
              <w:rPr>
                <w:rFonts w:ascii="Arial" w:cs="Arial" w:eastAsia="Arial" w:hAnsi="Arial"/>
                <w:sz w:val="18"/>
                <w:szCs w:val="18"/>
                <w:i w:val="1"/>
                <w:iCs w:val="1"/>
                <w:color w:val="00162F"/>
              </w:rPr>
              <w:t>The Kraft Heinz Company</w:t>
            </w:r>
          </w:p>
        </w:tc>
        <w:tc>
          <w:tcPr>
            <w:tcW w:w="3360" w:type="dxa"/>
            <w:vAlign w:val="bottom"/>
          </w:tcPr>
          <w:p>
            <w:pPr>
              <w:ind w:left="320"/>
              <w:spacing w:after="0"/>
              <w:rPr>
                <w:sz w:val="20"/>
                <w:szCs w:val="20"/>
                <w:color w:val="auto"/>
              </w:rPr>
            </w:pPr>
            <w:r>
              <w:rPr>
                <w:rFonts w:ascii="Arial" w:cs="Arial" w:eastAsia="Arial" w:hAnsi="Arial"/>
                <w:sz w:val="18"/>
                <w:szCs w:val="18"/>
                <w:i w:val="1"/>
                <w:iCs w:val="1"/>
                <w:color w:val="00162F"/>
              </w:rPr>
              <w:t>Footlocker, Inc.</w:t>
            </w:r>
          </w:p>
        </w:tc>
      </w:tr>
      <w:tr>
        <w:trPr>
          <w:trHeight w:val="220"/>
        </w:trPr>
        <w:tc>
          <w:tcPr>
            <w:tcW w:w="3080" w:type="dxa"/>
            <w:vAlign w:val="bottom"/>
          </w:tcPr>
          <w:p>
            <w:pPr>
              <w:spacing w:after="0"/>
              <w:rPr>
                <w:sz w:val="20"/>
                <w:szCs w:val="20"/>
                <w:color w:val="auto"/>
              </w:rPr>
            </w:pPr>
            <w:r>
              <w:rPr>
                <w:rFonts w:ascii="Arial" w:cs="Arial" w:eastAsia="Arial" w:hAnsi="Arial"/>
                <w:sz w:val="18"/>
                <w:szCs w:val="18"/>
                <w:color w:val="00162F"/>
              </w:rPr>
              <w:t>(Chair of the Safety Committee,</w:t>
            </w:r>
          </w:p>
        </w:tc>
        <w:tc>
          <w:tcPr>
            <w:tcW w:w="3280" w:type="dxa"/>
            <w:vAlign w:val="bottom"/>
          </w:tcPr>
          <w:p>
            <w:pPr>
              <w:ind w:left="360"/>
              <w:spacing w:after="0"/>
              <w:rPr>
                <w:sz w:val="20"/>
                <w:szCs w:val="20"/>
                <w:color w:val="auto"/>
              </w:rPr>
            </w:pPr>
            <w:r>
              <w:rPr>
                <w:rFonts w:ascii="Arial" w:cs="Arial" w:eastAsia="Arial" w:hAnsi="Arial"/>
                <w:sz w:val="18"/>
                <w:szCs w:val="18"/>
                <w:color w:val="00162F"/>
              </w:rPr>
              <w:t>(Audit and Finance Committees)</w:t>
            </w:r>
          </w:p>
        </w:tc>
        <w:tc>
          <w:tcPr>
            <w:tcW w:w="3360" w:type="dxa"/>
            <w:vAlign w:val="bottom"/>
          </w:tcPr>
          <w:p>
            <w:pPr>
              <w:ind w:left="320"/>
              <w:spacing w:after="0"/>
              <w:rPr>
                <w:sz w:val="20"/>
                <w:szCs w:val="20"/>
                <w:color w:val="auto"/>
              </w:rPr>
            </w:pPr>
            <w:r>
              <w:rPr>
                <w:rFonts w:ascii="Arial" w:cs="Arial" w:eastAsia="Arial" w:hAnsi="Arial"/>
                <w:sz w:val="18"/>
                <w:szCs w:val="18"/>
                <w:color w:val="00162F"/>
              </w:rPr>
              <w:t>(Compensation and Corporate</w:t>
            </w:r>
          </w:p>
        </w:tc>
      </w:tr>
      <w:tr>
        <w:trPr>
          <w:trHeight w:val="220"/>
        </w:trPr>
        <w:tc>
          <w:tcPr>
            <w:tcW w:w="3080" w:type="dxa"/>
            <w:vAlign w:val="bottom"/>
          </w:tcPr>
          <w:p>
            <w:pPr>
              <w:spacing w:after="0"/>
              <w:rPr>
                <w:sz w:val="20"/>
                <w:szCs w:val="20"/>
                <w:color w:val="auto"/>
              </w:rPr>
            </w:pPr>
            <w:r>
              <w:rPr>
                <w:rFonts w:ascii="Arial" w:cs="Arial" w:eastAsia="Arial" w:hAnsi="Arial"/>
                <w:sz w:val="18"/>
                <w:szCs w:val="18"/>
                <w:color w:val="00162F"/>
              </w:rPr>
              <w:t>Corporate Governance and Public</w:t>
            </w:r>
          </w:p>
        </w:tc>
        <w:tc>
          <w:tcPr>
            <w:tcW w:w="3280" w:type="dxa"/>
            <w:vAlign w:val="bottom"/>
          </w:tcPr>
          <w:p>
            <w:pPr>
              <w:spacing w:after="0"/>
              <w:rPr>
                <w:sz w:val="19"/>
                <w:szCs w:val="19"/>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00162F"/>
                <w:w w:val="99"/>
              </w:rPr>
              <w:t>Governance and Public Responsibility</w:t>
            </w:r>
          </w:p>
        </w:tc>
      </w:tr>
      <w:tr>
        <w:trPr>
          <w:trHeight w:val="220"/>
        </w:trPr>
        <w:tc>
          <w:tcPr>
            <w:tcW w:w="3080" w:type="dxa"/>
            <w:vAlign w:val="bottom"/>
          </w:tcPr>
          <w:p>
            <w:pPr>
              <w:spacing w:after="0"/>
              <w:rPr>
                <w:sz w:val="20"/>
                <w:szCs w:val="20"/>
                <w:color w:val="auto"/>
              </w:rPr>
            </w:pPr>
            <w:r>
              <w:rPr>
                <w:rFonts w:ascii="Arial" w:cs="Arial" w:eastAsia="Arial" w:hAnsi="Arial"/>
                <w:sz w:val="18"/>
                <w:szCs w:val="18"/>
                <w:color w:val="00162F"/>
              </w:rPr>
              <w:t>Responsibility Committee)</w:t>
            </w:r>
          </w:p>
        </w:tc>
        <w:tc>
          <w:tcPr>
            <w:tcW w:w="3280" w:type="dxa"/>
            <w:vAlign w:val="bottom"/>
          </w:tcPr>
          <w:p>
            <w:pPr>
              <w:spacing w:after="0"/>
              <w:rPr>
                <w:sz w:val="19"/>
                <w:szCs w:val="19"/>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00162F"/>
              </w:rPr>
              <w:t>Committees)</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b w:val="1"/>
                <w:bCs w:val="1"/>
                <w:color w:val="00162F"/>
              </w:rPr>
              <w:t>Kathryn M. Farmer</w:t>
            </w:r>
          </w:p>
        </w:tc>
        <w:tc>
          <w:tcPr>
            <w:tcW w:w="3340" w:type="dxa"/>
            <w:vAlign w:val="bottom"/>
          </w:tcPr>
          <w:p>
            <w:pPr>
              <w:ind w:left="220"/>
              <w:spacing w:after="0"/>
              <w:rPr>
                <w:sz w:val="20"/>
                <w:szCs w:val="20"/>
                <w:color w:val="auto"/>
              </w:rPr>
            </w:pPr>
            <w:r>
              <w:rPr>
                <w:rFonts w:ascii="Arial" w:cs="Arial" w:eastAsia="Arial" w:hAnsi="Arial"/>
                <w:sz w:val="18"/>
                <w:szCs w:val="18"/>
                <w:b w:val="1"/>
                <w:bCs w:val="1"/>
                <w:color w:val="00162F"/>
              </w:rPr>
              <w:t>Matthew J. Hart</w:t>
            </w:r>
          </w:p>
        </w:tc>
        <w:tc>
          <w:tcPr>
            <w:tcW w:w="3120" w:type="dxa"/>
            <w:vAlign w:val="bottom"/>
          </w:tcPr>
          <w:p>
            <w:pPr>
              <w:ind w:left="120"/>
              <w:spacing w:after="0"/>
              <w:rPr>
                <w:sz w:val="20"/>
                <w:szCs w:val="20"/>
                <w:color w:val="auto"/>
              </w:rPr>
            </w:pPr>
            <w:r>
              <w:rPr>
                <w:rFonts w:ascii="Arial" w:cs="Arial" w:eastAsia="Arial" w:hAnsi="Arial"/>
                <w:sz w:val="18"/>
                <w:szCs w:val="18"/>
                <w:b w:val="1"/>
                <w:bCs w:val="1"/>
                <w:color w:val="00162F"/>
              </w:rPr>
              <w:t>Robert D. Isom</w:t>
            </w:r>
          </w:p>
        </w:tc>
      </w:tr>
      <w:tr>
        <w:trPr>
          <w:trHeight w:val="220"/>
        </w:trPr>
        <w:tc>
          <w:tcPr>
            <w:tcW w:w="3220" w:type="dxa"/>
            <w:vAlign w:val="bottom"/>
          </w:tcPr>
          <w:p>
            <w:pPr>
              <w:spacing w:after="0"/>
              <w:rPr>
                <w:sz w:val="20"/>
                <w:szCs w:val="20"/>
                <w:color w:val="auto"/>
              </w:rPr>
            </w:pPr>
            <w:r>
              <w:rPr>
                <w:rFonts w:ascii="Arial" w:cs="Arial" w:eastAsia="Arial" w:hAnsi="Arial"/>
                <w:sz w:val="18"/>
                <w:szCs w:val="18"/>
                <w:color w:val="00162F"/>
              </w:rPr>
              <w:t>President and Chief Executive Officer</w:t>
            </w:r>
          </w:p>
        </w:tc>
        <w:tc>
          <w:tcPr>
            <w:tcW w:w="3340" w:type="dxa"/>
            <w:vAlign w:val="bottom"/>
          </w:tcPr>
          <w:p>
            <w:pPr>
              <w:ind w:left="220"/>
              <w:spacing w:after="0"/>
              <w:rPr>
                <w:sz w:val="20"/>
                <w:szCs w:val="20"/>
                <w:color w:val="auto"/>
              </w:rPr>
            </w:pPr>
            <w:r>
              <w:rPr>
                <w:rFonts w:ascii="Arial" w:cs="Arial" w:eastAsia="Arial" w:hAnsi="Arial"/>
                <w:sz w:val="18"/>
                <w:szCs w:val="18"/>
                <w:color w:val="00162F"/>
              </w:rPr>
              <w:t>Former President and Chief</w:t>
            </w:r>
          </w:p>
        </w:tc>
        <w:tc>
          <w:tcPr>
            <w:tcW w:w="3120" w:type="dxa"/>
            <w:vAlign w:val="bottom"/>
          </w:tcPr>
          <w:p>
            <w:pPr>
              <w:ind w:left="120"/>
              <w:spacing w:after="0"/>
              <w:rPr>
                <w:sz w:val="20"/>
                <w:szCs w:val="20"/>
                <w:color w:val="auto"/>
              </w:rPr>
            </w:pPr>
            <w:r>
              <w:rPr>
                <w:rFonts w:ascii="Arial" w:cs="Arial" w:eastAsia="Arial" w:hAnsi="Arial"/>
                <w:sz w:val="18"/>
                <w:szCs w:val="18"/>
                <w:color w:val="00162F"/>
                <w:w w:val="99"/>
              </w:rPr>
              <w:t>Chief Executive Officer and President</w:t>
            </w:r>
          </w:p>
        </w:tc>
      </w:tr>
      <w:tr>
        <w:trPr>
          <w:trHeight w:val="220"/>
        </w:trPr>
        <w:tc>
          <w:tcPr>
            <w:tcW w:w="3220" w:type="dxa"/>
            <w:vAlign w:val="bottom"/>
          </w:tcPr>
          <w:p>
            <w:pPr>
              <w:spacing w:after="0"/>
              <w:rPr>
                <w:sz w:val="20"/>
                <w:szCs w:val="20"/>
                <w:color w:val="auto"/>
              </w:rPr>
            </w:pPr>
            <w:r>
              <w:rPr>
                <w:rFonts w:ascii="Arial" w:cs="Arial" w:eastAsia="Arial" w:hAnsi="Arial"/>
                <w:sz w:val="18"/>
                <w:szCs w:val="18"/>
                <w:i w:val="1"/>
                <w:iCs w:val="1"/>
                <w:color w:val="00162F"/>
              </w:rPr>
              <w:t>BNSF Railway</w:t>
            </w:r>
          </w:p>
        </w:tc>
        <w:tc>
          <w:tcPr>
            <w:tcW w:w="3340" w:type="dxa"/>
            <w:vAlign w:val="bottom"/>
          </w:tcPr>
          <w:p>
            <w:pPr>
              <w:ind w:left="220"/>
              <w:spacing w:after="0"/>
              <w:rPr>
                <w:sz w:val="20"/>
                <w:szCs w:val="20"/>
                <w:color w:val="auto"/>
              </w:rPr>
            </w:pPr>
            <w:r>
              <w:rPr>
                <w:rFonts w:ascii="Arial" w:cs="Arial" w:eastAsia="Arial" w:hAnsi="Arial"/>
                <w:sz w:val="18"/>
                <w:szCs w:val="18"/>
                <w:color w:val="00162F"/>
              </w:rPr>
              <w:t>Operating Officer</w:t>
            </w:r>
          </w:p>
        </w:tc>
        <w:tc>
          <w:tcPr>
            <w:tcW w:w="3120" w:type="dxa"/>
            <w:vAlign w:val="bottom"/>
          </w:tcPr>
          <w:p>
            <w:pPr>
              <w:ind w:left="120"/>
              <w:spacing w:after="0"/>
              <w:rPr>
                <w:sz w:val="20"/>
                <w:szCs w:val="20"/>
                <w:color w:val="auto"/>
              </w:rPr>
            </w:pPr>
            <w:r>
              <w:rPr>
                <w:rFonts w:ascii="Arial" w:cs="Arial" w:eastAsia="Arial" w:hAnsi="Arial"/>
                <w:sz w:val="18"/>
                <w:szCs w:val="18"/>
                <w:i w:val="1"/>
                <w:iCs w:val="1"/>
                <w:color w:val="00162F"/>
              </w:rPr>
              <w:t>American Airlines Group Inc.</w:t>
            </w:r>
          </w:p>
        </w:tc>
      </w:tr>
      <w:tr>
        <w:trPr>
          <w:trHeight w:val="220"/>
        </w:trPr>
        <w:tc>
          <w:tcPr>
            <w:tcW w:w="3220" w:type="dxa"/>
            <w:vAlign w:val="bottom"/>
          </w:tcPr>
          <w:p>
            <w:pPr>
              <w:spacing w:after="0"/>
              <w:rPr>
                <w:sz w:val="20"/>
                <w:szCs w:val="20"/>
                <w:color w:val="auto"/>
              </w:rPr>
            </w:pPr>
            <w:r>
              <w:rPr>
                <w:rFonts w:ascii="Arial" w:cs="Arial" w:eastAsia="Arial" w:hAnsi="Arial"/>
                <w:sz w:val="18"/>
                <w:szCs w:val="18"/>
                <w:color w:val="00162F"/>
              </w:rPr>
              <w:t>(Finance and Safety Committees)</w:t>
            </w:r>
          </w:p>
        </w:tc>
        <w:tc>
          <w:tcPr>
            <w:tcW w:w="3340" w:type="dxa"/>
            <w:vAlign w:val="bottom"/>
          </w:tcPr>
          <w:p>
            <w:pPr>
              <w:ind w:left="220"/>
              <w:spacing w:after="0"/>
              <w:rPr>
                <w:sz w:val="20"/>
                <w:szCs w:val="20"/>
                <w:color w:val="auto"/>
              </w:rPr>
            </w:pPr>
            <w:r>
              <w:rPr>
                <w:rFonts w:ascii="Arial" w:cs="Arial" w:eastAsia="Arial" w:hAnsi="Arial"/>
                <w:sz w:val="18"/>
                <w:szCs w:val="18"/>
                <w:i w:val="1"/>
                <w:iCs w:val="1"/>
                <w:color w:val="00162F"/>
              </w:rPr>
              <w:t>Hilton Hotels Corporation</w:t>
            </w:r>
          </w:p>
        </w:tc>
        <w:tc>
          <w:tcPr>
            <w:tcW w:w="3120" w:type="dxa"/>
            <w:vAlign w:val="bottom"/>
          </w:tcPr>
          <w:p>
            <w:pPr>
              <w:spacing w:after="0"/>
              <w:rPr>
                <w:sz w:val="19"/>
                <w:szCs w:val="19"/>
                <w:color w:val="auto"/>
              </w:rPr>
            </w:pPr>
          </w:p>
        </w:tc>
      </w:tr>
      <w:tr>
        <w:trPr>
          <w:trHeight w:val="220"/>
        </w:trPr>
        <w:tc>
          <w:tcPr>
            <w:tcW w:w="32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00162F"/>
              </w:rPr>
              <w:t>(Chair of the Audit Committee, Safety</w:t>
            </w:r>
          </w:p>
        </w:tc>
        <w:tc>
          <w:tcPr>
            <w:tcW w:w="3120" w:type="dxa"/>
            <w:vAlign w:val="bottom"/>
          </w:tcPr>
          <w:p>
            <w:pPr>
              <w:spacing w:after="0"/>
              <w:rPr>
                <w:sz w:val="19"/>
                <w:szCs w:val="19"/>
                <w:color w:val="auto"/>
              </w:rPr>
            </w:pPr>
          </w:p>
        </w:tc>
      </w:tr>
      <w:tr>
        <w:trPr>
          <w:trHeight w:val="220"/>
        </w:trPr>
        <w:tc>
          <w:tcPr>
            <w:tcW w:w="32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00162F"/>
              </w:rPr>
              <w:t>Committee)</w:t>
            </w:r>
          </w:p>
        </w:tc>
        <w:tc>
          <w:tcPr>
            <w:tcW w:w="3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b w:val="1"/>
                <w:bCs w:val="1"/>
                <w:color w:val="00162F"/>
              </w:rPr>
              <w:t>Susan D. Kronick</w:t>
            </w:r>
          </w:p>
        </w:tc>
        <w:tc>
          <w:tcPr>
            <w:tcW w:w="3280" w:type="dxa"/>
            <w:vAlign w:val="bottom"/>
          </w:tcPr>
          <w:p>
            <w:pPr>
              <w:ind w:left="180"/>
              <w:spacing w:after="0"/>
              <w:rPr>
                <w:sz w:val="20"/>
                <w:szCs w:val="20"/>
                <w:color w:val="auto"/>
              </w:rPr>
            </w:pPr>
            <w:r>
              <w:rPr>
                <w:rFonts w:ascii="Arial" w:cs="Arial" w:eastAsia="Arial" w:hAnsi="Arial"/>
                <w:sz w:val="18"/>
                <w:szCs w:val="18"/>
                <w:b w:val="1"/>
                <w:bCs w:val="1"/>
                <w:color w:val="00162F"/>
              </w:rPr>
              <w:t>Martin H. Nesbitt</w:t>
            </w:r>
          </w:p>
        </w:tc>
        <w:tc>
          <w:tcPr>
            <w:tcW w:w="3180" w:type="dxa"/>
            <w:vAlign w:val="bottom"/>
          </w:tcPr>
          <w:p>
            <w:pPr>
              <w:ind w:left="140"/>
              <w:spacing w:after="0"/>
              <w:rPr>
                <w:sz w:val="20"/>
                <w:szCs w:val="20"/>
                <w:color w:val="auto"/>
              </w:rPr>
            </w:pPr>
            <w:r>
              <w:rPr>
                <w:rFonts w:ascii="Arial" w:cs="Arial" w:eastAsia="Arial" w:hAnsi="Arial"/>
                <w:sz w:val="18"/>
                <w:szCs w:val="18"/>
                <w:b w:val="1"/>
                <w:bCs w:val="1"/>
                <w:color w:val="00162F"/>
              </w:rPr>
              <w:t>Denise M. O’Leary</w:t>
            </w:r>
          </w:p>
        </w:tc>
      </w:tr>
      <w:tr>
        <w:trPr>
          <w:trHeight w:val="220"/>
        </w:trPr>
        <w:tc>
          <w:tcPr>
            <w:tcW w:w="3260" w:type="dxa"/>
            <w:vAlign w:val="bottom"/>
          </w:tcPr>
          <w:p>
            <w:pPr>
              <w:spacing w:after="0"/>
              <w:rPr>
                <w:sz w:val="20"/>
                <w:szCs w:val="20"/>
                <w:color w:val="auto"/>
              </w:rPr>
            </w:pPr>
            <w:r>
              <w:rPr>
                <w:rFonts w:ascii="Arial" w:cs="Arial" w:eastAsia="Arial" w:hAnsi="Arial"/>
                <w:sz w:val="18"/>
                <w:szCs w:val="18"/>
                <w:color w:val="00162F"/>
              </w:rPr>
              <w:t>Former Vice Chairman</w:t>
            </w:r>
          </w:p>
        </w:tc>
        <w:tc>
          <w:tcPr>
            <w:tcW w:w="3280" w:type="dxa"/>
            <w:vAlign w:val="bottom"/>
          </w:tcPr>
          <w:p>
            <w:pPr>
              <w:ind w:left="180"/>
              <w:spacing w:after="0"/>
              <w:rPr>
                <w:sz w:val="20"/>
                <w:szCs w:val="20"/>
                <w:color w:val="auto"/>
              </w:rPr>
            </w:pPr>
            <w:r>
              <w:rPr>
                <w:rFonts w:ascii="Arial" w:cs="Arial" w:eastAsia="Arial" w:hAnsi="Arial"/>
                <w:sz w:val="18"/>
                <w:szCs w:val="18"/>
                <w:color w:val="00162F"/>
              </w:rPr>
              <w:t>Co-Chief Executive Officer</w:t>
            </w:r>
          </w:p>
        </w:tc>
        <w:tc>
          <w:tcPr>
            <w:tcW w:w="3180" w:type="dxa"/>
            <w:vAlign w:val="bottom"/>
          </w:tcPr>
          <w:p>
            <w:pPr>
              <w:ind w:left="140"/>
              <w:spacing w:after="0"/>
              <w:rPr>
                <w:sz w:val="20"/>
                <w:szCs w:val="20"/>
                <w:color w:val="auto"/>
              </w:rPr>
            </w:pPr>
            <w:r>
              <w:rPr>
                <w:rFonts w:ascii="Arial" w:cs="Arial" w:eastAsia="Arial" w:hAnsi="Arial"/>
                <w:sz w:val="18"/>
                <w:szCs w:val="18"/>
                <w:color w:val="00162F"/>
              </w:rPr>
              <w:t>Private Venture Capital Investor</w:t>
            </w:r>
          </w:p>
        </w:tc>
      </w:tr>
      <w:tr>
        <w:trPr>
          <w:trHeight w:val="220"/>
        </w:trPr>
        <w:tc>
          <w:tcPr>
            <w:tcW w:w="3260" w:type="dxa"/>
            <w:vAlign w:val="bottom"/>
          </w:tcPr>
          <w:p>
            <w:pPr>
              <w:spacing w:after="0"/>
              <w:rPr>
                <w:sz w:val="20"/>
                <w:szCs w:val="20"/>
                <w:color w:val="auto"/>
              </w:rPr>
            </w:pPr>
            <w:r>
              <w:rPr>
                <w:rFonts w:ascii="Arial" w:cs="Arial" w:eastAsia="Arial" w:hAnsi="Arial"/>
                <w:sz w:val="18"/>
                <w:szCs w:val="18"/>
                <w:i w:val="1"/>
                <w:iCs w:val="1"/>
                <w:color w:val="00162F"/>
              </w:rPr>
              <w:t>Macy’s, Inc.</w:t>
            </w:r>
          </w:p>
        </w:tc>
        <w:tc>
          <w:tcPr>
            <w:tcW w:w="3280" w:type="dxa"/>
            <w:vAlign w:val="bottom"/>
          </w:tcPr>
          <w:p>
            <w:pPr>
              <w:ind w:left="180"/>
              <w:spacing w:after="0"/>
              <w:rPr>
                <w:sz w:val="20"/>
                <w:szCs w:val="20"/>
                <w:color w:val="auto"/>
              </w:rPr>
            </w:pPr>
            <w:r>
              <w:rPr>
                <w:rFonts w:ascii="Arial" w:cs="Arial" w:eastAsia="Arial" w:hAnsi="Arial"/>
                <w:sz w:val="18"/>
                <w:szCs w:val="18"/>
                <w:i w:val="1"/>
                <w:iCs w:val="1"/>
                <w:color w:val="00162F"/>
              </w:rPr>
              <w:t>The Vistria Group</w:t>
            </w:r>
          </w:p>
        </w:tc>
        <w:tc>
          <w:tcPr>
            <w:tcW w:w="3180" w:type="dxa"/>
            <w:vAlign w:val="bottom"/>
          </w:tcPr>
          <w:p>
            <w:pPr>
              <w:ind w:left="140"/>
              <w:spacing w:after="0"/>
              <w:rPr>
                <w:sz w:val="20"/>
                <w:szCs w:val="20"/>
                <w:color w:val="auto"/>
              </w:rPr>
            </w:pPr>
            <w:r>
              <w:rPr>
                <w:rFonts w:ascii="Arial" w:cs="Arial" w:eastAsia="Arial" w:hAnsi="Arial"/>
                <w:sz w:val="18"/>
                <w:szCs w:val="18"/>
                <w:color w:val="00162F"/>
              </w:rPr>
              <w:t>(Compensation and Corporate</w:t>
            </w:r>
          </w:p>
        </w:tc>
      </w:tr>
      <w:tr>
        <w:trPr>
          <w:trHeight w:val="220"/>
        </w:trPr>
        <w:tc>
          <w:tcPr>
            <w:tcW w:w="3260" w:type="dxa"/>
            <w:vAlign w:val="bottom"/>
          </w:tcPr>
          <w:p>
            <w:pPr>
              <w:spacing w:after="0"/>
              <w:rPr>
                <w:sz w:val="20"/>
                <w:szCs w:val="20"/>
                <w:color w:val="auto"/>
              </w:rPr>
            </w:pPr>
            <w:r>
              <w:rPr>
                <w:rFonts w:ascii="Arial" w:cs="Arial" w:eastAsia="Arial" w:hAnsi="Arial"/>
                <w:sz w:val="18"/>
                <w:szCs w:val="18"/>
                <w:color w:val="00162F"/>
              </w:rPr>
              <w:t>(Corporate Governance and Public</w:t>
            </w:r>
          </w:p>
        </w:tc>
        <w:tc>
          <w:tcPr>
            <w:tcW w:w="3280" w:type="dxa"/>
            <w:vAlign w:val="bottom"/>
          </w:tcPr>
          <w:p>
            <w:pPr>
              <w:ind w:left="180"/>
              <w:spacing w:after="0"/>
              <w:rPr>
                <w:sz w:val="20"/>
                <w:szCs w:val="20"/>
                <w:color w:val="auto"/>
              </w:rPr>
            </w:pPr>
            <w:r>
              <w:rPr>
                <w:rFonts w:ascii="Arial" w:cs="Arial" w:eastAsia="Arial" w:hAnsi="Arial"/>
                <w:sz w:val="18"/>
                <w:szCs w:val="18"/>
                <w:color w:val="00162F"/>
              </w:rPr>
              <w:t>(Chair of the Corporate Governance</w:t>
            </w:r>
          </w:p>
        </w:tc>
        <w:tc>
          <w:tcPr>
            <w:tcW w:w="3180" w:type="dxa"/>
            <w:vAlign w:val="bottom"/>
          </w:tcPr>
          <w:p>
            <w:pPr>
              <w:ind w:left="140"/>
              <w:spacing w:after="0"/>
              <w:rPr>
                <w:sz w:val="20"/>
                <w:szCs w:val="20"/>
                <w:color w:val="auto"/>
              </w:rPr>
            </w:pPr>
            <w:r>
              <w:rPr>
                <w:rFonts w:ascii="Arial" w:cs="Arial" w:eastAsia="Arial" w:hAnsi="Arial"/>
                <w:sz w:val="18"/>
                <w:szCs w:val="18"/>
                <w:color w:val="00162F"/>
                <w:w w:val="99"/>
              </w:rPr>
              <w:t>Governance and Public Responsibility</w:t>
            </w:r>
          </w:p>
        </w:tc>
      </w:tr>
      <w:tr>
        <w:trPr>
          <w:trHeight w:val="220"/>
        </w:trPr>
        <w:tc>
          <w:tcPr>
            <w:tcW w:w="3260" w:type="dxa"/>
            <w:vAlign w:val="bottom"/>
          </w:tcPr>
          <w:p>
            <w:pPr>
              <w:spacing w:after="0"/>
              <w:rPr>
                <w:sz w:val="20"/>
                <w:szCs w:val="20"/>
                <w:color w:val="auto"/>
              </w:rPr>
            </w:pPr>
            <w:r>
              <w:rPr>
                <w:rFonts w:ascii="Arial" w:cs="Arial" w:eastAsia="Arial" w:hAnsi="Arial"/>
                <w:sz w:val="18"/>
                <w:szCs w:val="18"/>
                <w:color w:val="00162F"/>
              </w:rPr>
              <w:t>Responsibility and Safety Committees)</w:t>
            </w:r>
          </w:p>
        </w:tc>
        <w:tc>
          <w:tcPr>
            <w:tcW w:w="3280" w:type="dxa"/>
            <w:vAlign w:val="bottom"/>
          </w:tcPr>
          <w:p>
            <w:pPr>
              <w:ind w:left="180"/>
              <w:spacing w:after="0"/>
              <w:rPr>
                <w:sz w:val="20"/>
                <w:szCs w:val="20"/>
                <w:color w:val="auto"/>
              </w:rPr>
            </w:pPr>
            <w:r>
              <w:rPr>
                <w:rFonts w:ascii="Arial" w:cs="Arial" w:eastAsia="Arial" w:hAnsi="Arial"/>
                <w:sz w:val="18"/>
                <w:szCs w:val="18"/>
                <w:color w:val="00162F"/>
              </w:rPr>
              <w:t>and Public Responsibility Committee,</w:t>
            </w:r>
          </w:p>
        </w:tc>
        <w:tc>
          <w:tcPr>
            <w:tcW w:w="3180" w:type="dxa"/>
            <w:vAlign w:val="bottom"/>
          </w:tcPr>
          <w:p>
            <w:pPr>
              <w:ind w:left="140"/>
              <w:spacing w:after="0"/>
              <w:rPr>
                <w:sz w:val="20"/>
                <w:szCs w:val="20"/>
                <w:color w:val="auto"/>
              </w:rPr>
            </w:pPr>
            <w:r>
              <w:rPr>
                <w:rFonts w:ascii="Arial" w:cs="Arial" w:eastAsia="Arial" w:hAnsi="Arial"/>
                <w:sz w:val="18"/>
                <w:szCs w:val="18"/>
                <w:color w:val="00162F"/>
              </w:rPr>
              <w:t>Committees)</w:t>
            </w:r>
          </w:p>
        </w:tc>
      </w:tr>
      <w:tr>
        <w:trPr>
          <w:trHeight w:val="220"/>
        </w:trPr>
        <w:tc>
          <w:tcPr>
            <w:tcW w:w="3260" w:type="dxa"/>
            <w:vAlign w:val="bottom"/>
          </w:tcPr>
          <w:p>
            <w:pPr>
              <w:spacing w:after="0"/>
              <w:rPr>
                <w:sz w:val="19"/>
                <w:szCs w:val="19"/>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00162F"/>
              </w:rPr>
              <w:t>Audit Committee)</w:t>
            </w:r>
          </w:p>
        </w:tc>
        <w:tc>
          <w:tcPr>
            <w:tcW w:w="3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b w:val="1"/>
                <w:bCs w:val="1"/>
                <w:color w:val="00162F"/>
              </w:rPr>
              <w:t>Vicente Reynal</w:t>
            </w:r>
          </w:p>
        </w:tc>
        <w:tc>
          <w:tcPr>
            <w:tcW w:w="3320" w:type="dxa"/>
            <w:vAlign w:val="bottom"/>
          </w:tcPr>
          <w:p>
            <w:pPr>
              <w:ind w:left="400"/>
              <w:spacing w:after="0"/>
              <w:rPr>
                <w:sz w:val="20"/>
                <w:szCs w:val="20"/>
                <w:color w:val="auto"/>
              </w:rPr>
            </w:pPr>
            <w:r>
              <w:rPr>
                <w:rFonts w:ascii="Arial" w:cs="Arial" w:eastAsia="Arial" w:hAnsi="Arial"/>
                <w:sz w:val="18"/>
                <w:szCs w:val="18"/>
                <w:b w:val="1"/>
                <w:bCs w:val="1"/>
                <w:color w:val="00162F"/>
              </w:rPr>
              <w:t>Gregory D. Smith</w:t>
            </w:r>
          </w:p>
        </w:tc>
        <w:tc>
          <w:tcPr>
            <w:tcW w:w="2920" w:type="dxa"/>
            <w:vAlign w:val="bottom"/>
          </w:tcPr>
          <w:p>
            <w:pPr>
              <w:ind w:left="320"/>
              <w:spacing w:after="0"/>
              <w:rPr>
                <w:sz w:val="20"/>
                <w:szCs w:val="20"/>
                <w:color w:val="auto"/>
              </w:rPr>
            </w:pPr>
            <w:r>
              <w:rPr>
                <w:rFonts w:ascii="Arial" w:cs="Arial" w:eastAsia="Arial" w:hAnsi="Arial"/>
                <w:sz w:val="18"/>
                <w:szCs w:val="18"/>
                <w:b w:val="1"/>
                <w:bCs w:val="1"/>
                <w:color w:val="00162F"/>
              </w:rPr>
              <w:t>Douglas M. Steenland</w:t>
            </w:r>
          </w:p>
        </w:tc>
      </w:tr>
      <w:tr>
        <w:trPr>
          <w:trHeight w:val="220"/>
        </w:trPr>
        <w:tc>
          <w:tcPr>
            <w:tcW w:w="3040" w:type="dxa"/>
            <w:vAlign w:val="bottom"/>
          </w:tcPr>
          <w:p>
            <w:pPr>
              <w:spacing w:after="0"/>
              <w:rPr>
                <w:sz w:val="20"/>
                <w:szCs w:val="20"/>
                <w:color w:val="auto"/>
              </w:rPr>
            </w:pPr>
            <w:r>
              <w:rPr>
                <w:rFonts w:ascii="Arial" w:cs="Arial" w:eastAsia="Arial" w:hAnsi="Arial"/>
                <w:sz w:val="18"/>
                <w:szCs w:val="18"/>
                <w:color w:val="00162F"/>
              </w:rPr>
              <w:t>Chairman, President and Chief</w:t>
            </w:r>
          </w:p>
        </w:tc>
        <w:tc>
          <w:tcPr>
            <w:tcW w:w="3320" w:type="dxa"/>
            <w:vAlign w:val="bottom"/>
          </w:tcPr>
          <w:p>
            <w:pPr>
              <w:ind w:left="400"/>
              <w:spacing w:after="0"/>
              <w:rPr>
                <w:sz w:val="20"/>
                <w:szCs w:val="20"/>
                <w:color w:val="auto"/>
              </w:rPr>
            </w:pPr>
            <w:r>
              <w:rPr>
                <w:rFonts w:ascii="Arial" w:cs="Arial" w:eastAsia="Arial" w:hAnsi="Arial"/>
                <w:sz w:val="18"/>
                <w:szCs w:val="18"/>
                <w:color w:val="00162F"/>
              </w:rPr>
              <w:t>Chairman of the Board</w:t>
            </w:r>
          </w:p>
        </w:tc>
        <w:tc>
          <w:tcPr>
            <w:tcW w:w="2920" w:type="dxa"/>
            <w:vAlign w:val="bottom"/>
          </w:tcPr>
          <w:p>
            <w:pPr>
              <w:ind w:left="320"/>
              <w:spacing w:after="0"/>
              <w:rPr>
                <w:sz w:val="20"/>
                <w:szCs w:val="20"/>
                <w:color w:val="auto"/>
              </w:rPr>
            </w:pPr>
            <w:r>
              <w:rPr>
                <w:rFonts w:ascii="Arial" w:cs="Arial" w:eastAsia="Arial" w:hAnsi="Arial"/>
                <w:sz w:val="18"/>
                <w:szCs w:val="18"/>
                <w:color w:val="00162F"/>
              </w:rPr>
              <w:t>Senior Advisor</w:t>
            </w:r>
          </w:p>
        </w:tc>
      </w:tr>
      <w:tr>
        <w:trPr>
          <w:trHeight w:val="220"/>
        </w:trPr>
        <w:tc>
          <w:tcPr>
            <w:tcW w:w="3040" w:type="dxa"/>
            <w:vAlign w:val="bottom"/>
          </w:tcPr>
          <w:p>
            <w:pPr>
              <w:spacing w:after="0"/>
              <w:rPr>
                <w:sz w:val="20"/>
                <w:szCs w:val="20"/>
                <w:color w:val="auto"/>
              </w:rPr>
            </w:pPr>
            <w:r>
              <w:rPr>
                <w:rFonts w:ascii="Arial" w:cs="Arial" w:eastAsia="Arial" w:hAnsi="Arial"/>
                <w:sz w:val="18"/>
                <w:szCs w:val="18"/>
                <w:color w:val="00162F"/>
              </w:rPr>
              <w:t>Executive Officer</w:t>
            </w:r>
          </w:p>
        </w:tc>
        <w:tc>
          <w:tcPr>
            <w:tcW w:w="3320" w:type="dxa"/>
            <w:vAlign w:val="bottom"/>
          </w:tcPr>
          <w:p>
            <w:pPr>
              <w:ind w:left="400"/>
              <w:spacing w:after="0"/>
              <w:rPr>
                <w:sz w:val="20"/>
                <w:szCs w:val="20"/>
                <w:color w:val="auto"/>
              </w:rPr>
            </w:pPr>
            <w:r>
              <w:rPr>
                <w:rFonts w:ascii="Arial" w:cs="Arial" w:eastAsia="Arial" w:hAnsi="Arial"/>
                <w:sz w:val="18"/>
                <w:szCs w:val="18"/>
                <w:i w:val="1"/>
                <w:iCs w:val="1"/>
                <w:color w:val="00162F"/>
              </w:rPr>
              <w:t>American Airlines Group Inc.</w:t>
            </w:r>
          </w:p>
        </w:tc>
        <w:tc>
          <w:tcPr>
            <w:tcW w:w="2920" w:type="dxa"/>
            <w:vAlign w:val="bottom"/>
          </w:tcPr>
          <w:p>
            <w:pPr>
              <w:ind w:left="320"/>
              <w:spacing w:after="0"/>
              <w:rPr>
                <w:sz w:val="20"/>
                <w:szCs w:val="20"/>
                <w:color w:val="auto"/>
              </w:rPr>
            </w:pPr>
            <w:r>
              <w:rPr>
                <w:rFonts w:ascii="Arial" w:cs="Arial" w:eastAsia="Arial" w:hAnsi="Arial"/>
                <w:sz w:val="18"/>
                <w:szCs w:val="18"/>
                <w:i w:val="1"/>
                <w:iCs w:val="1"/>
                <w:color w:val="00162F"/>
              </w:rPr>
              <w:t>The Blackstone Group L.P.</w:t>
            </w:r>
          </w:p>
        </w:tc>
      </w:tr>
      <w:tr>
        <w:trPr>
          <w:trHeight w:val="220"/>
        </w:trPr>
        <w:tc>
          <w:tcPr>
            <w:tcW w:w="3040" w:type="dxa"/>
            <w:vAlign w:val="bottom"/>
          </w:tcPr>
          <w:p>
            <w:pPr>
              <w:spacing w:after="0"/>
              <w:rPr>
                <w:sz w:val="20"/>
                <w:szCs w:val="20"/>
                <w:color w:val="auto"/>
              </w:rPr>
            </w:pPr>
            <w:r>
              <w:rPr>
                <w:rFonts w:ascii="Arial" w:cs="Arial" w:eastAsia="Arial" w:hAnsi="Arial"/>
                <w:sz w:val="18"/>
                <w:szCs w:val="18"/>
                <w:i w:val="1"/>
                <w:iCs w:val="1"/>
                <w:color w:val="00162F"/>
              </w:rPr>
              <w:t>Ingersoll Rand Inc.</w:t>
            </w:r>
          </w:p>
        </w:tc>
        <w:tc>
          <w:tcPr>
            <w:tcW w:w="3320" w:type="dxa"/>
            <w:vAlign w:val="bottom"/>
          </w:tcPr>
          <w:p>
            <w:pPr>
              <w:ind w:left="400"/>
              <w:spacing w:after="0"/>
              <w:rPr>
                <w:sz w:val="20"/>
                <w:szCs w:val="20"/>
                <w:color w:val="auto"/>
              </w:rPr>
            </w:pPr>
            <w:r>
              <w:rPr>
                <w:rFonts w:ascii="Arial" w:cs="Arial" w:eastAsia="Arial" w:hAnsi="Arial"/>
                <w:sz w:val="18"/>
                <w:szCs w:val="18"/>
                <w:color w:val="00162F"/>
              </w:rPr>
              <w:t>Co-Founder and Chief Executive</w:t>
            </w:r>
          </w:p>
        </w:tc>
        <w:tc>
          <w:tcPr>
            <w:tcW w:w="2920" w:type="dxa"/>
            <w:vAlign w:val="bottom"/>
          </w:tcPr>
          <w:p>
            <w:pPr>
              <w:ind w:left="320"/>
              <w:spacing w:after="0"/>
              <w:rPr>
                <w:sz w:val="20"/>
                <w:szCs w:val="20"/>
                <w:color w:val="auto"/>
              </w:rPr>
            </w:pPr>
            <w:r>
              <w:rPr>
                <w:rFonts w:ascii="Arial" w:cs="Arial" w:eastAsia="Arial" w:hAnsi="Arial"/>
                <w:sz w:val="18"/>
                <w:szCs w:val="18"/>
                <w:color w:val="00162F"/>
              </w:rPr>
              <w:t>(Chair of the Compensation</w:t>
            </w:r>
          </w:p>
        </w:tc>
      </w:tr>
      <w:tr>
        <w:trPr>
          <w:trHeight w:val="220"/>
        </w:trPr>
        <w:tc>
          <w:tcPr>
            <w:tcW w:w="3040" w:type="dxa"/>
            <w:vAlign w:val="bottom"/>
          </w:tcPr>
          <w:p>
            <w:pPr>
              <w:spacing w:after="0"/>
              <w:rPr>
                <w:sz w:val="20"/>
                <w:szCs w:val="20"/>
                <w:color w:val="auto"/>
              </w:rPr>
            </w:pPr>
            <w:r>
              <w:rPr>
                <w:rFonts w:ascii="Arial" w:cs="Arial" w:eastAsia="Arial" w:hAnsi="Arial"/>
                <w:sz w:val="18"/>
                <w:szCs w:val="18"/>
                <w:color w:val="00162F"/>
              </w:rPr>
              <w:t>(Chair of the Finance Committee,</w:t>
            </w:r>
          </w:p>
        </w:tc>
        <w:tc>
          <w:tcPr>
            <w:tcW w:w="3320" w:type="dxa"/>
            <w:vAlign w:val="bottom"/>
          </w:tcPr>
          <w:p>
            <w:pPr>
              <w:ind w:left="400"/>
              <w:spacing w:after="0"/>
              <w:rPr>
                <w:sz w:val="20"/>
                <w:szCs w:val="20"/>
                <w:color w:val="auto"/>
              </w:rPr>
            </w:pPr>
            <w:r>
              <w:rPr>
                <w:rFonts w:ascii="Arial" w:cs="Arial" w:eastAsia="Arial" w:hAnsi="Arial"/>
                <w:sz w:val="18"/>
                <w:szCs w:val="18"/>
                <w:color w:val="00162F"/>
              </w:rPr>
              <w:t>Officer</w:t>
            </w:r>
          </w:p>
        </w:tc>
        <w:tc>
          <w:tcPr>
            <w:tcW w:w="2920" w:type="dxa"/>
            <w:vAlign w:val="bottom"/>
          </w:tcPr>
          <w:p>
            <w:pPr>
              <w:ind w:left="320"/>
              <w:spacing w:after="0"/>
              <w:rPr>
                <w:sz w:val="20"/>
                <w:szCs w:val="20"/>
                <w:color w:val="auto"/>
              </w:rPr>
            </w:pPr>
            <w:r>
              <w:rPr>
                <w:rFonts w:ascii="Arial" w:cs="Arial" w:eastAsia="Arial" w:hAnsi="Arial"/>
                <w:sz w:val="18"/>
                <w:szCs w:val="18"/>
                <w:color w:val="00162F"/>
                <w:w w:val="99"/>
              </w:rPr>
              <w:t>Committee, Finance Committee)</w:t>
            </w:r>
          </w:p>
        </w:tc>
      </w:tr>
      <w:tr>
        <w:trPr>
          <w:trHeight w:val="220"/>
        </w:trPr>
        <w:tc>
          <w:tcPr>
            <w:tcW w:w="3040" w:type="dxa"/>
            <w:vAlign w:val="bottom"/>
          </w:tcPr>
          <w:p>
            <w:pPr>
              <w:spacing w:after="0"/>
              <w:rPr>
                <w:sz w:val="20"/>
                <w:szCs w:val="20"/>
                <w:color w:val="auto"/>
              </w:rPr>
            </w:pPr>
            <w:r>
              <w:rPr>
                <w:rFonts w:ascii="Arial" w:cs="Arial" w:eastAsia="Arial" w:hAnsi="Arial"/>
                <w:sz w:val="18"/>
                <w:szCs w:val="18"/>
                <w:color w:val="00162F"/>
              </w:rPr>
              <w:t>Compensation Committee)</w:t>
            </w:r>
          </w:p>
        </w:tc>
        <w:tc>
          <w:tcPr>
            <w:tcW w:w="3320" w:type="dxa"/>
            <w:vAlign w:val="bottom"/>
          </w:tcPr>
          <w:p>
            <w:pPr>
              <w:ind w:left="400"/>
              <w:spacing w:after="0"/>
              <w:rPr>
                <w:sz w:val="20"/>
                <w:szCs w:val="20"/>
                <w:color w:val="auto"/>
              </w:rPr>
            </w:pPr>
            <w:r>
              <w:rPr>
                <w:rFonts w:ascii="Arial" w:cs="Arial" w:eastAsia="Arial" w:hAnsi="Arial"/>
                <w:sz w:val="18"/>
                <w:szCs w:val="18"/>
                <w:i w:val="1"/>
                <w:iCs w:val="1"/>
                <w:color w:val="00162F"/>
              </w:rPr>
              <w:t>G2 Equity Partners</w:t>
            </w:r>
          </w:p>
        </w:tc>
        <w:tc>
          <w:tcPr>
            <w:tcW w:w="29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00162F"/>
        </w:rPr>
        <w:t>Howard I. Ungerleider</w:t>
      </w:r>
    </w:p>
    <w:p>
      <w:pPr>
        <w:spacing w:after="0" w:line="13" w:lineRule="exact"/>
        <w:rPr>
          <w:sz w:val="20"/>
          <w:szCs w:val="20"/>
          <w:color w:val="auto"/>
        </w:rPr>
      </w:pPr>
    </w:p>
    <w:p>
      <w:pPr>
        <w:ind w:left="3440"/>
        <w:spacing w:after="0"/>
        <w:rPr>
          <w:sz w:val="20"/>
          <w:szCs w:val="20"/>
          <w:color w:val="auto"/>
        </w:rPr>
      </w:pPr>
      <w:r>
        <w:rPr>
          <w:rFonts w:ascii="Arial" w:cs="Arial" w:eastAsia="Arial" w:hAnsi="Arial"/>
          <w:sz w:val="18"/>
          <w:szCs w:val="18"/>
          <w:color w:val="00162F"/>
        </w:rPr>
        <w:t>Operating Advisor</w:t>
      </w:r>
    </w:p>
    <w:p>
      <w:pPr>
        <w:spacing w:after="0" w:line="13" w:lineRule="exact"/>
        <w:rPr>
          <w:sz w:val="20"/>
          <w:szCs w:val="20"/>
          <w:color w:val="auto"/>
        </w:rPr>
      </w:pPr>
    </w:p>
    <w:p>
      <w:pPr>
        <w:ind w:left="3440"/>
        <w:spacing w:after="0"/>
        <w:rPr>
          <w:sz w:val="20"/>
          <w:szCs w:val="20"/>
          <w:color w:val="auto"/>
        </w:rPr>
      </w:pPr>
      <w:r>
        <w:rPr>
          <w:rFonts w:ascii="Arial" w:cs="Arial" w:eastAsia="Arial" w:hAnsi="Arial"/>
          <w:sz w:val="18"/>
          <w:szCs w:val="18"/>
          <w:i w:val="1"/>
          <w:iCs w:val="1"/>
          <w:color w:val="00162F"/>
        </w:rPr>
        <w:t>Clayton, Dubilier &amp; Rice</w:t>
      </w:r>
    </w:p>
    <w:p>
      <w:pPr>
        <w:spacing w:after="0" w:line="13" w:lineRule="exact"/>
        <w:rPr>
          <w:sz w:val="20"/>
          <w:szCs w:val="20"/>
          <w:color w:val="auto"/>
        </w:rPr>
      </w:pPr>
    </w:p>
    <w:p>
      <w:pPr>
        <w:ind w:left="3440"/>
        <w:spacing w:after="0"/>
        <w:rPr>
          <w:sz w:val="20"/>
          <w:szCs w:val="20"/>
          <w:color w:val="auto"/>
        </w:rPr>
      </w:pPr>
      <w:r>
        <w:rPr>
          <w:rFonts w:ascii="Arial" w:cs="Arial" w:eastAsia="Arial" w:hAnsi="Arial"/>
          <w:sz w:val="18"/>
          <w:szCs w:val="18"/>
          <w:color w:val="00162F"/>
        </w:rPr>
        <w:t>(Audit and Compensation Committees)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00162F"/>
        </w:rPr>
        <w:t>Executive Officers of American Airlines Group Inc.</w:t>
      </w:r>
    </w:p>
    <w:p>
      <w:pPr>
        <w:jc w:val="center"/>
        <w:spacing w:after="0" w:line="234" w:lineRule="auto"/>
        <w:rPr>
          <w:sz w:val="20"/>
          <w:szCs w:val="20"/>
          <w:color w:val="auto"/>
        </w:rPr>
      </w:pPr>
      <w:r>
        <w:rPr>
          <w:rFonts w:ascii="Arial" w:cs="Arial" w:eastAsia="Arial" w:hAnsi="Arial"/>
          <w:sz w:val="18"/>
          <w:szCs w:val="18"/>
          <w:i w:val="1"/>
          <w:iCs w:val="1"/>
          <w:color w:val="00162F"/>
        </w:rPr>
        <w:t>(as of April 28, 2026)</w:t>
      </w:r>
    </w:p>
    <w:p>
      <w:pPr>
        <w:sectPr>
          <w:pgSz w:w="11880" w:h="15480" w:orient="portrait"/>
          <w:cols w:equalWidth="0" w:num="1">
            <w:col w:w="9720"/>
          </w:cols>
          <w:pgMar w:left="1080" w:top="795" w:right="1080" w:bottom="1053" w:gutter="0" w:footer="0" w:header="0"/>
        </w:sectPr>
      </w:pPr>
    </w:p>
    <w:p>
      <w:pPr>
        <w:spacing w:after="0" w:line="256"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162F"/>
        </w:rPr>
        <w:t>Robert D. Isom</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940"/>
        <w:spacing w:after="0"/>
        <w:rPr>
          <w:sz w:val="20"/>
          <w:szCs w:val="20"/>
          <w:color w:val="auto"/>
        </w:rPr>
      </w:pPr>
      <w:r>
        <w:rPr>
          <w:rFonts w:ascii="Arial" w:cs="Arial" w:eastAsia="Arial" w:hAnsi="Arial"/>
          <w:sz w:val="16"/>
          <w:szCs w:val="16"/>
          <w:b w:val="1"/>
          <w:bCs w:val="1"/>
          <w:color w:val="00162F"/>
        </w:rPr>
        <w:t>Stephen L. Johnson</w:t>
      </w:r>
    </w:p>
    <w:p>
      <w:pPr>
        <w:spacing w:after="0" w:line="23" w:lineRule="exact"/>
        <w:rPr>
          <w:sz w:val="20"/>
          <w:szCs w:val="20"/>
          <w:color w:val="auto"/>
        </w:rPr>
      </w:pPr>
    </w:p>
    <w:p>
      <w:pPr>
        <w:sectPr>
          <w:pgSz w:w="11880" w:h="15480" w:orient="portrait"/>
          <w:cols w:equalWidth="0" w:num="2">
            <w:col w:w="4440" w:space="720"/>
            <w:col w:w="4560"/>
          </w:cols>
          <w:pgMar w:left="1080" w:top="795" w:right="1080" w:bottom="1053" w:gutter="0" w:footer="0" w:header="0"/>
          <w:type w:val="continuous"/>
        </w:sectPr>
      </w:pP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00162F"/>
        </w:rPr>
        <w:t>Chief Executive Officer and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00162F"/>
        </w:rPr>
        <w:t>Vice Chair and Chief Strategy Officer</w:t>
      </w:r>
    </w:p>
    <w:p>
      <w:pPr>
        <w:spacing w:after="0" w:line="200" w:lineRule="exact"/>
        <w:rPr>
          <w:sz w:val="20"/>
          <w:szCs w:val="20"/>
          <w:color w:val="auto"/>
        </w:rPr>
      </w:pPr>
    </w:p>
    <w:p>
      <w:pPr>
        <w:sectPr>
          <w:pgSz w:w="11880" w:h="15480" w:orient="portrait"/>
          <w:cols w:equalWidth="0" w:num="2">
            <w:col w:w="4440" w:space="720"/>
            <w:col w:w="4560"/>
          </w:cols>
          <w:pgMar w:left="1080" w:top="795" w:right="1080" w:bottom="1053" w:gutter="0" w:footer="0" w:header="0"/>
          <w:type w:val="continuous"/>
        </w:sectPr>
      </w:pP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162F"/>
        </w:rPr>
        <w:t>Devon E. May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220"/>
        <w:spacing w:after="0"/>
        <w:rPr>
          <w:sz w:val="20"/>
          <w:szCs w:val="20"/>
          <w:color w:val="auto"/>
        </w:rPr>
      </w:pPr>
      <w:r>
        <w:rPr>
          <w:rFonts w:ascii="Arial" w:cs="Arial" w:eastAsia="Arial" w:hAnsi="Arial"/>
          <w:sz w:val="17"/>
          <w:szCs w:val="17"/>
          <w:b w:val="1"/>
          <w:bCs w:val="1"/>
          <w:color w:val="00162F"/>
        </w:rPr>
        <w:t>Nathaniel Pieper</w:t>
      </w:r>
    </w:p>
    <w:p>
      <w:pPr>
        <w:spacing w:after="0" w:line="20" w:lineRule="exact"/>
        <w:rPr>
          <w:sz w:val="20"/>
          <w:szCs w:val="20"/>
          <w:color w:val="auto"/>
        </w:rPr>
      </w:pPr>
    </w:p>
    <w:p>
      <w:pPr>
        <w:sectPr>
          <w:pgSz w:w="11880" w:h="15480" w:orient="portrait"/>
          <w:cols w:equalWidth="0" w:num="2">
            <w:col w:w="4440" w:space="720"/>
            <w:col w:w="4560"/>
          </w:cols>
          <w:pgMar w:left="1080" w:top="795" w:right="1080" w:bottom="1053" w:gutter="0" w:footer="0" w:header="0"/>
          <w:type w:val="continuous"/>
        </w:sectPr>
      </w:pPr>
    </w:p>
    <w:p>
      <w:pPr>
        <w:ind w:left="1100"/>
        <w:spacing w:after="0" w:line="251" w:lineRule="auto"/>
        <w:rPr>
          <w:sz w:val="20"/>
          <w:szCs w:val="20"/>
          <w:color w:val="auto"/>
        </w:rPr>
      </w:pPr>
      <w:r>
        <w:rPr>
          <w:rFonts w:ascii="Arial" w:cs="Arial" w:eastAsia="Arial" w:hAnsi="Arial"/>
          <w:sz w:val="17"/>
          <w:szCs w:val="17"/>
          <w:color w:val="00162F"/>
        </w:rPr>
        <w:t>Executive Vice President and Chief Financial Officer</w:t>
      </w:r>
    </w:p>
    <w:p>
      <w:pPr>
        <w:spacing w:after="0" w:line="20" w:lineRule="exact"/>
        <w:rPr>
          <w:sz w:val="20"/>
          <w:szCs w:val="20"/>
          <w:color w:val="auto"/>
        </w:rPr>
      </w:pPr>
      <w:r>
        <w:rPr>
          <w:sz w:val="20"/>
          <w:szCs w:val="20"/>
          <w:color w:val="auto"/>
        </w:rPr>
        <w:br w:type="column"/>
      </w:r>
    </w:p>
    <w:p>
      <w:pPr>
        <w:ind w:right="1900"/>
        <w:spacing w:after="0" w:line="251" w:lineRule="auto"/>
        <w:rPr>
          <w:sz w:val="20"/>
          <w:szCs w:val="20"/>
          <w:color w:val="auto"/>
        </w:rPr>
      </w:pPr>
      <w:r>
        <w:rPr>
          <w:rFonts w:ascii="Arial" w:cs="Arial" w:eastAsia="Arial" w:hAnsi="Arial"/>
          <w:sz w:val="17"/>
          <w:szCs w:val="17"/>
          <w:color w:val="00162F"/>
        </w:rPr>
        <w:t>Executive Vice President and Chief Commercial Officer</w:t>
      </w:r>
    </w:p>
    <w:p>
      <w:pPr>
        <w:spacing w:after="0" w:line="200" w:lineRule="exact"/>
        <w:rPr>
          <w:sz w:val="20"/>
          <w:szCs w:val="20"/>
          <w:color w:val="auto"/>
        </w:rPr>
      </w:pPr>
    </w:p>
    <w:p>
      <w:pPr>
        <w:sectPr>
          <w:pgSz w:w="11880" w:h="15480" w:orient="portrait"/>
          <w:cols w:equalWidth="0" w:num="2">
            <w:col w:w="4480" w:space="680"/>
            <w:col w:w="4560"/>
          </w:cols>
          <w:pgMar w:left="1080" w:top="795" w:right="1080" w:bottom="1053" w:gutter="0" w:footer="0" w:header="0"/>
          <w:type w:val="continuous"/>
        </w:sectPr>
      </w:pP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162F"/>
        </w:rPr>
        <w:t>Anthony J. Richmond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162F"/>
        </w:rPr>
        <w:t>David G. Seymour</w:t>
      </w:r>
    </w:p>
    <w:p>
      <w:pPr>
        <w:spacing w:after="0" w:line="28" w:lineRule="exact"/>
        <w:rPr>
          <w:sz w:val="20"/>
          <w:szCs w:val="20"/>
          <w:color w:val="auto"/>
        </w:rPr>
      </w:pPr>
    </w:p>
    <w:p>
      <w:pPr>
        <w:sectPr>
          <w:pgSz w:w="11880" w:h="15480" w:orient="portrait"/>
          <w:cols w:equalWidth="0" w:num="2">
            <w:col w:w="4440" w:space="720"/>
            <w:col w:w="4560"/>
          </w:cols>
          <w:pgMar w:left="1080" w:top="795" w:right="1080" w:bottom="1053" w:gutter="0" w:footer="0" w:header="0"/>
          <w:type w:val="continuous"/>
        </w:sectPr>
      </w:pPr>
    </w:p>
    <w:p>
      <w:pPr>
        <w:ind w:left="1100" w:right="80"/>
        <w:spacing w:after="0" w:line="251" w:lineRule="auto"/>
        <w:rPr>
          <w:sz w:val="20"/>
          <w:szCs w:val="20"/>
          <w:color w:val="auto"/>
        </w:rPr>
      </w:pPr>
      <w:r>
        <w:rPr>
          <w:rFonts w:ascii="Arial" w:cs="Arial" w:eastAsia="Arial" w:hAnsi="Arial"/>
          <w:sz w:val="17"/>
          <w:szCs w:val="17"/>
          <w:color w:val="00162F"/>
        </w:rPr>
        <w:t>Executive Vice President, Corporate Affairs and Chief Legal Officer</w:t>
      </w:r>
    </w:p>
    <w:p>
      <w:pPr>
        <w:spacing w:after="0" w:line="20" w:lineRule="exact"/>
        <w:rPr>
          <w:sz w:val="20"/>
          <w:szCs w:val="20"/>
          <w:color w:val="auto"/>
        </w:rPr>
      </w:pPr>
      <w:r>
        <w:rPr>
          <w:sz w:val="20"/>
          <w:szCs w:val="20"/>
          <w:color w:val="auto"/>
        </w:rPr>
        <w:br w:type="column"/>
      </w:r>
    </w:p>
    <w:p>
      <w:pPr>
        <w:ind w:right="1100"/>
        <w:spacing w:after="0" w:line="251" w:lineRule="auto"/>
        <w:rPr>
          <w:sz w:val="20"/>
          <w:szCs w:val="20"/>
          <w:color w:val="auto"/>
        </w:rPr>
      </w:pPr>
      <w:r>
        <w:rPr>
          <w:rFonts w:ascii="Arial" w:cs="Arial" w:eastAsia="Arial" w:hAnsi="Arial"/>
          <w:sz w:val="17"/>
          <w:szCs w:val="17"/>
          <w:color w:val="00162F"/>
        </w:rPr>
        <w:t>Executive Vice President and Chief Operating Officer</w:t>
      </w:r>
    </w:p>
    <w:p>
      <w:pPr>
        <w:sectPr>
          <w:pgSz w:w="11880" w:h="15480" w:orient="portrait"/>
          <w:cols w:equalWidth="0" w:num="2">
            <w:col w:w="4440" w:space="720"/>
            <w:col w:w="4560"/>
          </w:cols>
          <w:pgMar w:left="1080" w:top="795" w:right="1080" w:bottom="1053" w:gutter="0" w:footer="0" w:header="0"/>
          <w:type w:val="continuous"/>
        </w:sectPr>
      </w:pPr>
    </w:p>
    <w:bookmarkStart w:id="206" w:name="page207"/>
    <w:bookmarkEnd w:id="206"/>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color w:val="00162F"/>
        </w:rPr>
        <w:t>Corporate Headquarters</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26"/>
          <w:szCs w:val="26"/>
          <w:b w:val="1"/>
          <w:bCs w:val="1"/>
          <w:color w:val="00162F"/>
        </w:rPr>
        <w:t>Investor Information</w:t>
      </w:r>
    </w:p>
    <w:p>
      <w:pPr>
        <w:spacing w:after="0" w:line="199" w:lineRule="exact"/>
        <w:rPr>
          <w:sz w:val="20"/>
          <w:szCs w:val="20"/>
          <w:color w:val="auto"/>
        </w:rPr>
      </w:pPr>
    </w:p>
    <w:p>
      <w:pPr>
        <w:spacing w:after="0"/>
        <w:tabs>
          <w:tab w:leader="none" w:pos="3460" w:val="left"/>
        </w:tabs>
        <w:rPr>
          <w:sz w:val="20"/>
          <w:szCs w:val="20"/>
          <w:color w:val="auto"/>
        </w:rPr>
      </w:pPr>
      <w:r>
        <w:rPr>
          <w:rFonts w:ascii="Arial" w:cs="Arial" w:eastAsia="Arial" w:hAnsi="Arial"/>
          <w:sz w:val="22"/>
          <w:szCs w:val="22"/>
          <w:b w:val="1"/>
          <w:bCs w:val="1"/>
          <w:color w:val="00162F"/>
        </w:rPr>
        <w:t>Annual Meeting</w:t>
      </w:r>
      <w:r>
        <w:rPr>
          <w:sz w:val="20"/>
          <w:szCs w:val="20"/>
          <w:color w:val="auto"/>
        </w:rPr>
        <w:tab/>
      </w:r>
      <w:r>
        <w:rPr>
          <w:rFonts w:ascii="Arial" w:cs="Arial" w:eastAsia="Arial" w:hAnsi="Arial"/>
          <w:sz w:val="22"/>
          <w:szCs w:val="22"/>
          <w:b w:val="1"/>
          <w:bCs w:val="1"/>
          <w:color w:val="00162F"/>
        </w:rPr>
        <w:t>Electronic Access</w:t>
      </w:r>
    </w:p>
    <w:p>
      <w:pPr>
        <w:spacing w:after="0" w:line="200" w:lineRule="exact"/>
        <w:rPr>
          <w:sz w:val="20"/>
          <w:szCs w:val="20"/>
          <w:color w:val="auto"/>
        </w:rPr>
      </w:pPr>
    </w:p>
    <w:p>
      <w:pPr>
        <w:sectPr>
          <w:pgSz w:w="11880" w:h="15480" w:orient="portrait"/>
          <w:cols w:equalWidth="0" w:num="2">
            <w:col w:w="2960" w:space="720"/>
            <w:col w:w="6500"/>
          </w:cols>
          <w:pgMar w:left="720" w:top="795" w:right="980"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00162F"/>
        </w:rPr>
        <w:t>American Airlines Group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1 Skyview Drive</w:t>
      </w:r>
    </w:p>
    <w:p>
      <w:pPr>
        <w:spacing w:after="0" w:line="19" w:lineRule="exact"/>
        <w:rPr>
          <w:sz w:val="20"/>
          <w:szCs w:val="20"/>
          <w:color w:val="auto"/>
        </w:rPr>
      </w:pPr>
    </w:p>
    <w:p>
      <w:pPr>
        <w:ind w:right="960"/>
        <w:spacing w:after="0" w:line="248" w:lineRule="auto"/>
        <w:rPr>
          <w:sz w:val="20"/>
          <w:szCs w:val="20"/>
          <w:color w:val="auto"/>
        </w:rPr>
      </w:pPr>
      <w:r>
        <w:rPr>
          <w:rFonts w:ascii="Arial" w:cs="Arial" w:eastAsia="Arial" w:hAnsi="Arial"/>
          <w:sz w:val="18"/>
          <w:szCs w:val="18"/>
          <w:color w:val="00162F"/>
        </w:rPr>
        <w:t xml:space="preserve">Fort Worth, Texas 76155 </w:t>
      </w:r>
      <w:r>
        <w:rPr>
          <w:rFonts w:ascii="Arial" w:cs="Arial" w:eastAsia="Arial" w:hAnsi="Arial"/>
          <w:sz w:val="18"/>
          <w:szCs w:val="18"/>
          <w:i w:val="1"/>
          <w:iCs w:val="1"/>
          <w:color w:val="00162F"/>
        </w:rPr>
        <w:t>www.aa.com</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color w:val="00162F"/>
        </w:rPr>
        <w:t xml:space="preserve">The annual meeting of stockholders of American Airlines Group Inc. will be held in virtual format via live audio webcast on Wednesday, June 10, 2026 at 9:00 a.m., Central Time. Stockholders can attend the meeting via the Internet at: </w:t>
      </w:r>
      <w:r>
        <w:rPr>
          <w:rFonts w:ascii="Arial" w:cs="Arial" w:eastAsia="Arial" w:hAnsi="Arial"/>
          <w:sz w:val="18"/>
          <w:szCs w:val="18"/>
          <w:i w:val="1"/>
          <w:iCs w:val="1"/>
          <w:color w:val="00162F"/>
        </w:rPr>
        <w:t>www.proxydocs.com/AAL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color w:val="00162F"/>
        </w:rPr>
        <w:t xml:space="preserve">Rather than receiving mailed copies, stockholders whose shares are registered directly in the stockholder’s name with our stock registrar and transfer agent, Equiniti Trust Company, LLC, may sign up at the following website for electronic communications, including annual meeting materials: </w:t>
      </w:r>
      <w:r>
        <w:rPr>
          <w:rFonts w:ascii="Arial" w:cs="Arial" w:eastAsia="Arial" w:hAnsi="Arial"/>
          <w:sz w:val="18"/>
          <w:szCs w:val="18"/>
          <w:i w:val="1"/>
          <w:iCs w:val="1"/>
          <w:color w:val="00162F"/>
        </w:rPr>
        <w:t>equiniti.com/us</w:t>
      </w:r>
    </w:p>
    <w:p>
      <w:pPr>
        <w:spacing w:after="0" w:line="230" w:lineRule="exact"/>
        <w:rPr>
          <w:sz w:val="20"/>
          <w:szCs w:val="20"/>
          <w:color w:val="auto"/>
        </w:rPr>
      </w:pPr>
    </w:p>
    <w:p>
      <w:pPr>
        <w:spacing w:after="0" w:line="271" w:lineRule="auto"/>
        <w:rPr>
          <w:sz w:val="20"/>
          <w:szCs w:val="20"/>
          <w:color w:val="auto"/>
        </w:rPr>
      </w:pPr>
      <w:r>
        <w:rPr>
          <w:rFonts w:ascii="Arial" w:cs="Arial" w:eastAsia="Arial" w:hAnsi="Arial"/>
          <w:sz w:val="17"/>
          <w:szCs w:val="17"/>
          <w:color w:val="00162F"/>
        </w:rPr>
        <w:t>If you hold your shares in a brokerage account or otherwise through a third party in “street name,” please refer to the information provided by your broker, bank or other nominee for instructions on how to elect to receive and view future annual meeting materials electronically.</w:t>
      </w:r>
    </w:p>
    <w:p>
      <w:pPr>
        <w:spacing w:after="0" w:line="193" w:lineRule="exact"/>
        <w:rPr>
          <w:sz w:val="20"/>
          <w:szCs w:val="20"/>
          <w:color w:val="auto"/>
        </w:rPr>
      </w:pPr>
    </w:p>
    <w:p>
      <w:pPr>
        <w:sectPr>
          <w:pgSz w:w="11880" w:h="15480" w:orient="portrait"/>
          <w:cols w:equalWidth="0" w:num="3">
            <w:col w:w="2960" w:space="720"/>
            <w:col w:w="3280" w:space="200"/>
            <w:col w:w="3020"/>
          </w:cols>
          <w:pgMar w:left="720" w:top="795" w:right="980" w:bottom="1440" w:gutter="0" w:footer="0" w:header="0"/>
          <w:type w:val="continuous"/>
        </w:sectPr>
      </w:pPr>
    </w:p>
    <w:p>
      <w:pPr>
        <w:spacing w:after="0"/>
        <w:tabs>
          <w:tab w:leader="none" w:pos="3660" w:val="left"/>
        </w:tabs>
        <w:rPr>
          <w:sz w:val="20"/>
          <w:szCs w:val="20"/>
          <w:color w:val="auto"/>
        </w:rPr>
      </w:pPr>
      <w:r>
        <w:rPr>
          <w:rFonts w:ascii="Arial" w:cs="Arial" w:eastAsia="Arial" w:hAnsi="Arial"/>
          <w:sz w:val="22"/>
          <w:szCs w:val="22"/>
          <w:b w:val="1"/>
          <w:bCs w:val="1"/>
          <w:color w:val="00162F"/>
        </w:rPr>
        <w:t>Mailing Address</w:t>
      </w:r>
      <w:r>
        <w:rPr>
          <w:sz w:val="20"/>
          <w:szCs w:val="20"/>
          <w:color w:val="auto"/>
        </w:rPr>
        <w:tab/>
      </w:r>
      <w:r>
        <w:rPr>
          <w:rFonts w:ascii="Arial" w:cs="Arial" w:eastAsia="Arial" w:hAnsi="Arial"/>
          <w:sz w:val="22"/>
          <w:szCs w:val="22"/>
          <w:b w:val="1"/>
          <w:bCs w:val="1"/>
          <w:color w:val="00162F"/>
        </w:rPr>
        <w:t>Financial and Other Company</w:t>
      </w:r>
    </w:p>
    <w:p>
      <w:pPr>
        <w:ind w:left="3680"/>
        <w:spacing w:after="0" w:line="208" w:lineRule="auto"/>
        <w:rPr>
          <w:sz w:val="20"/>
          <w:szCs w:val="20"/>
          <w:color w:val="auto"/>
        </w:rPr>
      </w:pPr>
      <w:r>
        <w:rPr>
          <w:rFonts w:ascii="Arial" w:cs="Arial" w:eastAsia="Arial" w:hAnsi="Arial"/>
          <w:sz w:val="22"/>
          <w:szCs w:val="22"/>
          <w:b w:val="1"/>
          <w:bCs w:val="1"/>
          <w:color w:val="00162F"/>
        </w:rPr>
        <w:t>Information</w:t>
      </w:r>
    </w:p>
    <w:p>
      <w:pPr>
        <w:spacing w:after="0" w:line="244"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00162F"/>
        </w:rPr>
        <w:t>American Airlines Group Inc.</w:t>
      </w:r>
      <w:r>
        <w:rPr>
          <w:sz w:val="20"/>
          <w:szCs w:val="20"/>
          <w:color w:val="auto"/>
        </w:rPr>
        <w:tab/>
      </w:r>
      <w:r>
        <w:rPr>
          <w:rFonts w:ascii="Arial" w:cs="Arial" w:eastAsia="Arial" w:hAnsi="Arial"/>
          <w:sz w:val="18"/>
          <w:szCs w:val="18"/>
          <w:color w:val="00162F"/>
        </w:rPr>
        <w:t>Our Annual Report on Form 10-K for the</w:t>
      </w:r>
    </w:p>
    <w:p>
      <w:pPr>
        <w:spacing w:after="0" w:line="13"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00162F"/>
        </w:rPr>
        <w:t>MD8B503</w:t>
      </w:r>
      <w:r>
        <w:rPr>
          <w:sz w:val="20"/>
          <w:szCs w:val="20"/>
          <w:color w:val="auto"/>
        </w:rPr>
        <w:tab/>
      </w:r>
      <w:r>
        <w:rPr>
          <w:rFonts w:ascii="Arial" w:cs="Arial" w:eastAsia="Arial" w:hAnsi="Arial"/>
          <w:sz w:val="18"/>
          <w:szCs w:val="18"/>
          <w:color w:val="00162F"/>
        </w:rPr>
        <w:t>fiscal year ended December 31, 2025</w:t>
      </w:r>
    </w:p>
    <w:p>
      <w:pPr>
        <w:spacing w:after="0" w:line="13"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00162F"/>
        </w:rPr>
        <w:t>1 Skyview Drive</w:t>
      </w:r>
      <w:r>
        <w:rPr>
          <w:sz w:val="20"/>
          <w:szCs w:val="20"/>
          <w:color w:val="auto"/>
        </w:rPr>
        <w:tab/>
      </w:r>
      <w:r>
        <w:rPr>
          <w:rFonts w:ascii="Arial" w:cs="Arial" w:eastAsia="Arial" w:hAnsi="Arial"/>
          <w:sz w:val="17"/>
          <w:szCs w:val="17"/>
          <w:color w:val="00162F"/>
        </w:rPr>
        <w:t>and other financial reports and filings</w:t>
      </w:r>
    </w:p>
    <w:p>
      <w:pPr>
        <w:spacing w:after="0" w:line="13"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00162F"/>
        </w:rPr>
        <w:t>Fort Worth, Texas 76155</w:t>
      </w:r>
      <w:r>
        <w:rPr>
          <w:sz w:val="20"/>
          <w:szCs w:val="20"/>
          <w:color w:val="auto"/>
        </w:rPr>
        <w:tab/>
      </w:r>
      <w:r>
        <w:rPr>
          <w:rFonts w:ascii="Arial" w:cs="Arial" w:eastAsia="Arial" w:hAnsi="Arial"/>
          <w:sz w:val="17"/>
          <w:szCs w:val="17"/>
          <w:color w:val="00162F"/>
        </w:rPr>
        <w:t>with the U.S. Securities and Exchange</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18"/>
          <w:szCs w:val="18"/>
          <w:color w:val="00162F"/>
        </w:rPr>
        <w:t>Commission, news releases and other</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18"/>
          <w:szCs w:val="18"/>
          <w:color w:val="00162F"/>
        </w:rPr>
        <w:t>information are available on our website</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18"/>
          <w:szCs w:val="18"/>
          <w:color w:val="00162F"/>
        </w:rPr>
        <w:t xml:space="preserve">at: </w:t>
      </w:r>
      <w:r>
        <w:rPr>
          <w:rFonts w:ascii="Arial" w:cs="Arial" w:eastAsia="Arial" w:hAnsi="Arial"/>
          <w:sz w:val="18"/>
          <w:szCs w:val="18"/>
          <w:i w:val="1"/>
          <w:iCs w:val="1"/>
          <w:color w:val="00162F"/>
        </w:rPr>
        <w:t>www.aa.com/investorrelations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00162F"/>
        </w:rPr>
        <w:t>Stock Exchange Listing</w:t>
      </w:r>
    </w:p>
    <w:p>
      <w:pPr>
        <w:spacing w:after="0" w:line="200" w:lineRule="exact"/>
        <w:rPr>
          <w:sz w:val="20"/>
          <w:szCs w:val="20"/>
          <w:color w:val="auto"/>
        </w:rPr>
      </w:pPr>
    </w:p>
    <w:p>
      <w:pPr>
        <w:spacing w:after="0" w:line="28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00162F"/>
        </w:rPr>
        <w:t>The common stock of American Airlines Group Inc. is listed on the NASDAQ Global Select Market under the trading symbol “AAL.”</w:t>
      </w:r>
    </w:p>
    <w:p>
      <w:pPr>
        <w:spacing w:after="0" w:line="831" w:lineRule="exact"/>
        <w:rPr>
          <w:sz w:val="20"/>
          <w:szCs w:val="20"/>
          <w:color w:val="auto"/>
        </w:rPr>
      </w:pPr>
    </w:p>
    <w:p>
      <w:pPr>
        <w:sectPr>
          <w:pgSz w:w="11880" w:h="15480" w:orient="portrait"/>
          <w:cols w:equalWidth="0" w:num="2">
            <w:col w:w="6900" w:space="260"/>
            <w:col w:w="3020"/>
          </w:cols>
          <w:pgMar w:left="720" w:top="795" w:right="980"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00162F"/>
        </w:rPr>
        <w:t>Investor Relations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00162F"/>
        </w:rPr>
        <w:t>The Investor Relations department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American Airlines Group Inc. provides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stockholders, potential stockholders and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the investment community with investor-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related information. For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inquiries, please send an email to: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00162F"/>
        </w:rPr>
        <w:t>investor.relations@aa.com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00162F"/>
        </w:rPr>
        <w:t>Investor Relations mailing address: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American Airlines Group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P.O. Box 619616, MD8B351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DFW Airport, Texas 75261-9616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00162F"/>
        </w:rPr>
        <w:t>Transfer Agent &amp; Registrar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00162F"/>
        </w:rPr>
        <w:t>Equiniti Trust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Attn: Shareholder Services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P.O. Box 500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Newark, NJ 07101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Toll-free telephone number is open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00162F"/>
        </w:rPr>
        <w:t>Monday—Friday 8 a.m. to 8 p.m. 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00162F"/>
        </w:rPr>
        <w:t>U.S. only: (800) 937-5449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International: (718) 921-8124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 xml:space="preserve">Website: </w:t>
      </w:r>
      <w:r>
        <w:rPr>
          <w:rFonts w:ascii="Arial" w:cs="Arial" w:eastAsia="Arial" w:hAnsi="Arial"/>
          <w:sz w:val="18"/>
          <w:szCs w:val="18"/>
          <w:i w:val="1"/>
          <w:iCs w:val="1"/>
          <w:color w:val="00162F"/>
        </w:rPr>
        <w:t>equiniti.com/us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162F"/>
        </w:rPr>
        <w:t xml:space="preserve">E-mail: </w:t>
      </w:r>
      <w:r>
        <w:rPr>
          <w:rFonts w:ascii="Arial" w:cs="Arial" w:eastAsia="Arial" w:hAnsi="Arial"/>
          <w:sz w:val="18"/>
          <w:szCs w:val="18"/>
          <w:i w:val="1"/>
          <w:iCs w:val="1"/>
          <w:color w:val="00162F"/>
        </w:rPr>
        <w:t>HelpAST@equiniti.com</w:t>
      </w:r>
    </w:p>
    <w:sectPr>
      <w:pgSz w:w="11880" w:h="15480" w:orient="portrait"/>
      <w:cols w:equalWidth="0" w:num="2">
        <w:col w:w="6440" w:space="720"/>
        <w:col w:w="3020"/>
      </w:cols>
      <w:pgMar w:left="720" w:top="795" w:right="9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1."/>
      <w:numFmt w:val="decimal"/>
      <w:start w:val="2"/>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lvl w:ilvl="1">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lvl w:ilvl="1">
      <w:lvlJc w:val="left"/>
      <w:lvlText w:val="(%2)"/>
      <w:numFmt w:val="decimal"/>
      <w:start w:val="2"/>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1)"/>
      <w:numFmt w:val="decimal"/>
      <w:start w:val="1"/>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1)"/>
      <w:numFmt w:val="decimal"/>
      <w:start w:val="1"/>
    </w:lvl>
  </w:abstractNum>
  <w:abstractNum w:abstractNumId="26">
    <w:nsid w:val="741226BB"/>
    <w:multiLevelType w:val="hybridMultilevel"/>
    <w:lvl w:ilvl="0">
      <w:lvlJc w:val="left"/>
      <w:lvlText w:val="(%1)"/>
      <w:numFmt w:val="decimal"/>
      <w:start w:val="1"/>
    </w:lvl>
  </w:abstractNum>
  <w:abstractNum w:abstractNumId="27">
    <w:nsid w:val="D34B6A8"/>
    <w:multiLevelType w:val="hybridMultilevel"/>
    <w:lvl w:ilvl="0">
      <w:lvlJc w:val="left"/>
      <w:lvlText w:val="(%1)"/>
      <w:numFmt w:val="decimal"/>
      <w:start w:val="5"/>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1)"/>
      <w:numFmt w:val="lowerLetter"/>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1)"/>
      <w:numFmt w:val="decimal"/>
      <w:start w:val="1"/>
    </w:lvl>
  </w:abstractNum>
  <w:abstractNum w:abstractNumId="36">
    <w:nsid w:val="2F305DEF"/>
    <w:multiLevelType w:val="hybridMultilevel"/>
    <w:lvl w:ilvl="0">
      <w:lvlJc w:val="left"/>
      <w:lvlText w:val="(%1)"/>
      <w:numFmt w:val="lowerLetter"/>
      <w:start w:val="1"/>
    </w:lvl>
  </w:abstractNum>
  <w:abstractNum w:abstractNumId="37">
    <w:nsid w:val="25A70BF7"/>
    <w:multiLevelType w:val="hybridMultilevel"/>
    <w:lvl w:ilvl="0">
      <w:lvlJc w:val="left"/>
      <w:lvlText w:val="(%1)"/>
      <w:numFmt w:val="lowerLetter"/>
      <w:start w:val="6"/>
    </w:lvl>
  </w:abstractNum>
  <w:abstractNum w:abstractNumId="38">
    <w:nsid w:val="1DBABF00"/>
    <w:multiLevelType w:val="hybridMultilevel"/>
    <w:lvl w:ilvl="0">
      <w:lvlJc w:val="left"/>
      <w:lvlText w:val="(%1)"/>
      <w:numFmt w:val="lowerLetter"/>
      <w:start w:val="1"/>
    </w:lvl>
  </w:abstractNum>
  <w:abstractNum w:abstractNumId="39">
    <w:nsid w:val="4AD084E9"/>
    <w:multiLevelType w:val="hybridMultilevel"/>
    <w:lvl w:ilvl="0">
      <w:lvlJc w:val="left"/>
      <w:lvlText w:val="%1."/>
      <w:numFmt w:val="decimal"/>
      <w:start w:val="1"/>
    </w:lvl>
    <w:lvl w:ilvl="1">
      <w:lvlJc w:val="left"/>
      <w:lvlText w:val="(%2)"/>
      <w:numFmt w:val="lowerLetter"/>
      <w:start w:val="1"/>
    </w:lvl>
  </w:abstractNum>
  <w:abstractNum w:abstractNumId="40">
    <w:nsid w:val="1F48EAA1"/>
    <w:multiLevelType w:val="hybridMultilevel"/>
    <w:lvl w:ilvl="0">
      <w:lvlJc w:val="left"/>
      <w:lvlText w:val="(%1)"/>
      <w:numFmt w:val="lowerLetter"/>
      <w:start w:val="13"/>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lowerLetter"/>
      <w:start w:val="2"/>
    </w:lvl>
  </w:abstractNum>
  <w:abstractNum w:abstractNumId="49">
    <w:nsid w:val="6B94764"/>
    <w:multiLevelType w:val="hybridMultilevel"/>
    <w:lvl w:ilvl="0">
      <w:lvlJc w:val="left"/>
      <w:lvlText w:val="(%1)"/>
      <w:numFmt w:val="lowerLetter"/>
      <w:start w:val="4"/>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11"/>
    </w:lvl>
    <w:lvl w:ilvl="1">
      <w:lvlJc w:val="left"/>
      <w:lvlText w:val="(%2)"/>
      <w:numFmt w:val="lowerLetter"/>
      <w:start w:val="1"/>
    </w:lvl>
  </w:abstractNum>
  <w:abstractNum w:abstractNumId="58">
    <w:nsid w:val="613EFDC5"/>
    <w:multiLevelType w:val="hybridMultilevel"/>
    <w:lvl w:ilvl="0">
      <w:lvlJc w:val="left"/>
      <w:lvlText w:val="(%1)"/>
      <w:numFmt w:val="decimal"/>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lowerLetter"/>
      <w:start w:val="4"/>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lowerLetter"/>
      <w:start w:val="1"/>
    </w:lvl>
  </w:abstractNum>
  <w:abstractNum w:abstractNumId="64">
    <w:nsid w:val="1A32234B"/>
    <w:multiLevelType w:val="hybridMultilevel"/>
    <w:lvl w:ilvl="0">
      <w:lvlJc w:val="left"/>
      <w:lvlText w:val="%1."/>
      <w:numFmt w:val="decimal"/>
      <w:start w:val="1"/>
    </w:lvl>
    <w:lvl w:ilvl="1">
      <w:lvlJc w:val="left"/>
      <w:lvlText w:val="(%2)"/>
      <w:numFmt w:val="lowerLetter"/>
      <w:start w:val="1"/>
    </w:lvl>
  </w:abstractNum>
  <w:abstractNum w:abstractNumId="65">
    <w:nsid w:val="3B0FD379"/>
    <w:multiLevelType w:val="hybridMultilevel"/>
    <w:lvl w:ilvl="0">
      <w:lvlJc w:val="left"/>
      <w:lvlText w:val="(%1)"/>
      <w:numFmt w:val="lowerLetter"/>
      <w:start w:val="13"/>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1"/>
    </w:lvl>
  </w:abstractNum>
  <w:abstractNum w:abstractNumId="70">
    <w:nsid w:val="14330624"/>
    <w:multiLevelType w:val="hybridMultilevel"/>
    <w:lvl w:ilvl="0">
      <w:lvlJc w:val="left"/>
      <w:lvlText w:val="(%1)"/>
      <w:numFmt w:val="decimal"/>
      <w:start w:val="2"/>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4"/>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1."/>
      <w:numFmt w:val="decimal"/>
      <w:start w:val="10"/>
    </w:lvl>
    <w:lvl w:ilvl="1">
      <w:lvlJc w:val="left"/>
      <w:lvlText w:val="(%2)"/>
      <w:numFmt w:val="lowerLetter"/>
      <w:start w:val="1"/>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lowerLetter"/>
      <w:start w:val="4"/>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2026-04-30T02:05:53Z</dcterms:created>
  <dcterms:modified xsi:type="dcterms:W3CDTF">2026-04-30T02:05:53Z</dcterms:modified>
</cp:coreProperties>
</file>