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4160" w:type="dxa"/>
            <w:vAlign w:val="bottom"/>
          </w:tcPr>
          <w:p>
            <w:pPr>
              <w:jc w:val="center"/>
              <w:ind w:right="364"/>
              <w:spacing w:after="0"/>
              <w:rPr>
                <w:sz w:val="20"/>
                <w:szCs w:val="20"/>
                <w:color w:val="auto"/>
              </w:rPr>
            </w:pPr>
            <w:r>
              <w:rPr>
                <w:rFonts w:ascii="Arial" w:cs="Arial" w:eastAsia="Arial" w:hAnsi="Arial"/>
                <w:sz w:val="16"/>
                <w:szCs w:val="16"/>
                <w:b w:val="1"/>
                <w:bCs w:val="1"/>
                <w:color w:val="auto"/>
              </w:rPr>
              <w:t>Delaware</w:t>
            </w:r>
          </w:p>
        </w:tc>
        <w:tc>
          <w:tcPr>
            <w:tcW w:w="3820" w:type="dxa"/>
            <w:vAlign w:val="bottom"/>
          </w:tcPr>
          <w:p>
            <w:pPr>
              <w:jc w:val="center"/>
              <w:ind w:left="38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(State or other jurisdiction of incorporation or organization)</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160" w:type="dxa"/>
            <w:vAlign w:val="bottom"/>
          </w:tcPr>
          <w:p>
            <w:pPr>
              <w:ind w:left="360"/>
              <w:spacing w:after="0"/>
              <w:rPr>
                <w:sz w:val="20"/>
                <w:szCs w:val="20"/>
                <w:color w:val="auto"/>
              </w:rPr>
            </w:pPr>
            <w:r>
              <w:rPr>
                <w:rFonts w:ascii="Arial" w:cs="Arial" w:eastAsia="Arial" w:hAnsi="Arial"/>
                <w:sz w:val="16"/>
                <w:szCs w:val="16"/>
                <w:b w:val="1"/>
                <w:bCs w:val="1"/>
                <w:color w:val="auto"/>
              </w:rPr>
              <w:t>1 Skyview Drive, Fort Worth, Texas  76155</w:t>
            </w:r>
          </w:p>
        </w:tc>
        <w:tc>
          <w:tcPr>
            <w:tcW w:w="3820" w:type="dxa"/>
            <w:vAlign w:val="bottom"/>
          </w:tcPr>
          <w:p>
            <w:pPr>
              <w:jc w:val="right"/>
              <w:ind w:right="884"/>
              <w:spacing w:after="0"/>
              <w:rPr>
                <w:sz w:val="20"/>
                <w:szCs w:val="20"/>
                <w:color w:val="auto"/>
              </w:rPr>
            </w:pPr>
            <w:r>
              <w:rPr>
                <w:rFonts w:ascii="Arial" w:cs="Arial" w:eastAsia="Arial" w:hAnsi="Arial"/>
                <w:sz w:val="16"/>
                <w:szCs w:val="16"/>
                <w:b w:val="1"/>
                <w:bCs w:val="1"/>
                <w:color w:val="auto"/>
              </w:rPr>
              <w:t>(682) 278-9000</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(Address of principal executive offices, including zip code)</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9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rPr>
              <w:t>Delaware</w:t>
            </w:r>
          </w:p>
        </w:tc>
        <w:tc>
          <w:tcPr>
            <w:tcW w:w="1780" w:type="dxa"/>
            <w:vAlign w:val="bottom"/>
          </w:tcPr>
          <w:p>
            <w:pPr>
              <w:spacing w:after="0"/>
              <w:rPr>
                <w:sz w:val="19"/>
                <w:szCs w:val="19"/>
                <w:color w:val="auto"/>
              </w:rPr>
            </w:pPr>
          </w:p>
        </w:tc>
        <w:tc>
          <w:tcPr>
            <w:tcW w:w="4500" w:type="dxa"/>
            <w:vAlign w:val="bottom"/>
            <w:gridSpan w:val="3"/>
          </w:tcPr>
          <w:p>
            <w:pPr>
              <w:jc w:val="center"/>
              <w:ind w:right="301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(State or other jurisdiction of incorporation or organization)</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28"/>
        </w:trPr>
        <w:tc>
          <w:tcPr>
            <w:tcW w:w="4960" w:type="dxa"/>
            <w:vAlign w:val="bottom"/>
            <w:gridSpan w:val="3"/>
          </w:tcPr>
          <w:p>
            <w:pPr>
              <w:ind w:left="1500"/>
              <w:spacing w:after="0"/>
              <w:rPr>
                <w:sz w:val="20"/>
                <w:szCs w:val="20"/>
                <w:color w:val="auto"/>
              </w:rPr>
            </w:pPr>
            <w:r>
              <w:rPr>
                <w:rFonts w:ascii="Arial" w:cs="Arial" w:eastAsia="Arial" w:hAnsi="Arial"/>
                <w:sz w:val="16"/>
                <w:szCs w:val="16"/>
                <w:b w:val="1"/>
                <w:bCs w:val="1"/>
                <w:color w:val="auto"/>
              </w:rPr>
              <w:t>1 Skyview Drive, Fort Worth, Texas  76155</w:t>
            </w:r>
          </w:p>
        </w:tc>
        <w:tc>
          <w:tcPr>
            <w:tcW w:w="1780" w:type="dxa"/>
            <w:vAlign w:val="bottom"/>
          </w:tcPr>
          <w:p>
            <w:pPr>
              <w:spacing w:after="0"/>
              <w:rPr>
                <w:sz w:val="19"/>
                <w:szCs w:val="19"/>
                <w:color w:val="auto"/>
              </w:rPr>
            </w:pPr>
          </w:p>
        </w:tc>
        <w:tc>
          <w:tcPr>
            <w:tcW w:w="4500" w:type="dxa"/>
            <w:vAlign w:val="bottom"/>
            <w:gridSpan w:val="3"/>
          </w:tcPr>
          <w:p>
            <w:pPr>
              <w:jc w:val="right"/>
              <w:ind w:right="2999"/>
              <w:spacing w:after="0"/>
              <w:rPr>
                <w:sz w:val="20"/>
                <w:szCs w:val="20"/>
                <w:color w:val="auto"/>
              </w:rPr>
            </w:pPr>
            <w:r>
              <w:rPr>
                <w:rFonts w:ascii="Arial" w:cs="Arial" w:eastAsia="Arial" w:hAnsi="Arial"/>
                <w:sz w:val="16"/>
                <w:szCs w:val="16"/>
                <w:b w:val="1"/>
                <w:bCs w:val="1"/>
                <w:color w:val="auto"/>
              </w:rPr>
              <w:t>(682) 278-9000</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(Address of principal executive offices, including zip code)</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7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960" w:type="dxa"/>
            <w:vAlign w:val="bottom"/>
            <w:gridSpan w:val="3"/>
          </w:tcPr>
          <w:p>
            <w:pPr>
              <w:jc w:val="center"/>
              <w:ind w:right="1100"/>
              <w:spacing w:after="0"/>
              <w:rPr>
                <w:sz w:val="20"/>
                <w:szCs w:val="20"/>
                <w:color w:val="auto"/>
              </w:rPr>
            </w:pPr>
            <w:r>
              <w:rPr>
                <w:rFonts w:ascii="Arial" w:cs="Arial" w:eastAsia="Arial" w:hAnsi="Arial"/>
                <w:sz w:val="16"/>
                <w:szCs w:val="16"/>
                <w:b w:val="1"/>
                <w:bCs w:val="1"/>
                <w:color w:val="auto"/>
              </w:rPr>
              <w:t>Title of each class</w:t>
            </w:r>
          </w:p>
        </w:tc>
        <w:tc>
          <w:tcPr>
            <w:tcW w:w="1780" w:type="dxa"/>
            <w:vAlign w:val="bottom"/>
          </w:tcPr>
          <w:p>
            <w:pPr>
              <w:jc w:val="center"/>
              <w:ind w:right="103"/>
              <w:spacing w:after="0"/>
              <w:rPr>
                <w:sz w:val="20"/>
                <w:szCs w:val="20"/>
                <w:color w:val="auto"/>
              </w:rPr>
            </w:pPr>
            <w:r>
              <w:rPr>
                <w:rFonts w:ascii="Arial" w:cs="Arial" w:eastAsia="Arial" w:hAnsi="Arial"/>
                <w:sz w:val="16"/>
                <w:szCs w:val="16"/>
                <w:b w:val="1"/>
                <w:bCs w:val="1"/>
                <w:color w:val="auto"/>
                <w:w w:val="99"/>
              </w:rPr>
              <w:t>Trading Symbol(s)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3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03"/>
              <w:spacing w:after="0" w:line="158" w:lineRule="exact"/>
              <w:rPr>
                <w:sz w:val="20"/>
                <w:szCs w:val="20"/>
                <w:color w:val="auto"/>
              </w:rPr>
            </w:pPr>
            <w:r>
              <w:rPr>
                <w:rFonts w:ascii="Arial" w:cs="Arial" w:eastAsia="Arial" w:hAnsi="Arial"/>
                <w:sz w:val="16"/>
                <w:szCs w:val="16"/>
                <w:b w:val="1"/>
                <w:bCs w:val="1"/>
                <w:color w:val="auto"/>
                <w:w w:val="97"/>
              </w:rPr>
              <w:t>AAL</w:t>
            </w: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960" w:type="dxa"/>
            <w:vAlign w:val="bottom"/>
            <w:gridSpan w:val="3"/>
            <w:vMerge w:val="restart"/>
          </w:tcPr>
          <w:p>
            <w:pPr>
              <w:jc w:val="center"/>
              <w:ind w:right="1100"/>
              <w:spacing w:after="0"/>
              <w:rPr>
                <w:sz w:val="20"/>
                <w:szCs w:val="20"/>
                <w:color w:val="auto"/>
              </w:rPr>
            </w:pPr>
            <w:r>
              <w:rPr>
                <w:rFonts w:ascii="Arial" w:cs="Arial" w:eastAsia="Arial" w:hAnsi="Arial"/>
                <w:sz w:val="16"/>
                <w:szCs w:val="16"/>
                <w:b w:val="1"/>
                <w:bCs w:val="1"/>
                <w:color w:val="auto"/>
              </w:rPr>
              <w:t>Preferred Stock Purchase Rights</w:t>
            </w:r>
          </w:p>
        </w:tc>
        <w:tc>
          <w:tcPr>
            <w:tcW w:w="1780" w:type="dxa"/>
            <w:vAlign w:val="bottom"/>
            <w:vMerge w:val="restart"/>
          </w:tcPr>
          <w:p>
            <w:pPr>
              <w:jc w:val="center"/>
              <w:ind w:right="103"/>
              <w:spacing w:after="0"/>
              <w:rPr>
                <w:sz w:val="20"/>
                <w:szCs w:val="20"/>
                <w:color w:val="auto"/>
              </w:rPr>
            </w:pPr>
            <w:r>
              <w:rPr>
                <w:rFonts w:ascii="Arial" w:cs="Arial" w:eastAsia="Arial" w:hAnsi="Arial"/>
                <w:sz w:val="16"/>
                <w:szCs w:val="16"/>
                <w:color w:val="auto"/>
                <w:w w:val="99"/>
              </w:rPr>
              <w:t>—</w:t>
            </w:r>
          </w:p>
        </w:tc>
        <w:tc>
          <w:tcPr>
            <w:tcW w:w="4500" w:type="dxa"/>
            <w:vAlign w:val="bottom"/>
            <w:gridSpan w:val="3"/>
          </w:tcPr>
          <w:p>
            <w:pPr>
              <w:jc w:val="center"/>
              <w:ind w:left="828"/>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30"/>
        </w:trPr>
        <w:tc>
          <w:tcPr>
            <w:tcW w:w="496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88" w:lineRule="exact"/>
        <w:rPr>
          <w:sz w:val="24"/>
          <w:szCs w:val="24"/>
          <w:color w:val="auto"/>
        </w:rPr>
      </w:pPr>
    </w:p>
    <w:p>
      <w:pPr>
        <w:jc w:val="both"/>
        <w:ind w:firstLine="162"/>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30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838" w:orient="portrait"/>
          <w:cols w:equalWidth="0" w:num="1">
            <w:col w:w="11240"/>
          </w:cols>
          <w:pgMar w:left="320" w:top="1097" w:right="339" w:bottom="196" w:gutter="0" w:footer="0" w:header="0"/>
        </w:sectPr>
      </w:pPr>
    </w:p>
    <w:p>
      <w:pPr>
        <w:spacing w:after="0"/>
        <w:rPr>
          <w:sz w:val="20"/>
          <w:szCs w:val="20"/>
          <w:color w:val="auto"/>
        </w:rPr>
      </w:pPr>
      <w:r>
        <w:rPr>
          <w:rFonts w:ascii="Arial" w:cs="Arial" w:eastAsia="Arial" w:hAnsi="Arial"/>
          <w:sz w:val="16"/>
          <w:szCs w:val="16"/>
          <w:color w:val="auto"/>
        </w:rPr>
        <w:t>Rule 12b-2 of the Exchange Act.</w:t>
      </w:r>
    </w:p>
    <w:p>
      <w:pPr>
        <w:spacing w:after="0" w:line="19" w:lineRule="exact"/>
        <w:rPr>
          <w:sz w:val="24"/>
          <w:szCs w:val="24"/>
          <w:color w:val="auto"/>
        </w:rPr>
      </w:pPr>
    </w:p>
    <w:p>
      <w:pPr>
        <w:ind w:left="20"/>
        <w:spacing w:after="0" w:line="331" w:lineRule="exact"/>
        <w:tabs>
          <w:tab w:leader="none" w:pos="192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ind w:left="20"/>
        <w:spacing w:after="0" w:line="313" w:lineRule="exact"/>
        <w:tabs>
          <w:tab w:leader="none" w:pos="192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403"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361"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2">
            <w:col w:w="4960" w:space="280"/>
            <w:col w:w="6000"/>
          </w:cols>
          <w:pgMar w:left="320" w:top="1097" w:right="339" w:bottom="196" w:gutter="0" w:footer="0" w:header="0"/>
          <w:type w:val="continuous"/>
        </w:sectPr>
      </w:pPr>
    </w:p>
    <w:p>
      <w:pPr>
        <w:spacing w:after="0" w:line="171"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6"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4"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15, 2022, there were 649,845,927 shares of American Airlines Group Inc. common stock outstanding.</w:t>
      </w:r>
    </w:p>
    <w:p>
      <w:pPr>
        <w:spacing w:after="0" w:line="1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15, 2022,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9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419100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June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continue"/>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6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6"/>
          </w:tcPr>
          <w:p>
            <w:pPr>
              <w:spacing w:after="0"/>
              <w:rPr>
                <w:sz w:val="18"/>
                <w:szCs w:val="18"/>
                <w:color w:val="auto"/>
              </w:rPr>
            </w:pPr>
          </w:p>
        </w:tc>
        <w:tc>
          <w:tcPr>
            <w:tcW w:w="2700" w:type="dxa"/>
            <w:vAlign w:val="bottom"/>
            <w:gridSpan w:val="2"/>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2280" w:type="dxa"/>
            <w:vAlign w:val="bottom"/>
            <w:gridSpan w:val="5"/>
          </w:tcPr>
          <w:p>
            <w:pPr>
              <w:spacing w:after="0"/>
              <w:rPr>
                <w:sz w:val="18"/>
                <w:szCs w:val="18"/>
                <w:color w:val="auto"/>
              </w:rPr>
            </w:pPr>
          </w:p>
        </w:tc>
        <w:tc>
          <w:tcPr>
            <w:tcW w:w="33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1"/>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5"/>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Income (Loss</w:t>
            </w:r>
            <w:r>
              <w:rPr>
                <w:rFonts w:ascii="Arial" w:cs="Arial" w:eastAsia="Arial" w:hAnsi="Arial"/>
                <w:sz w:val="18"/>
                <w:szCs w:val="18"/>
                <w:color w:val="000000"/>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2280" w:type="dxa"/>
            <w:vAlign w:val="bottom"/>
            <w:gridSpan w:val="5"/>
          </w:tcPr>
          <w:p>
            <w:pPr>
              <w:spacing w:after="0"/>
              <w:rPr>
                <w:sz w:val="18"/>
                <w:szCs w:val="18"/>
                <w:color w:val="auto"/>
              </w:rPr>
            </w:pPr>
          </w:p>
        </w:tc>
        <w:tc>
          <w:tcPr>
            <w:tcW w:w="33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68</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4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1"/>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360" w:type="dxa"/>
            <w:vAlign w:val="bottom"/>
          </w:tcPr>
          <w:p>
            <w:pPr>
              <w:spacing w:after="0"/>
              <w:rPr>
                <w:sz w:val="18"/>
                <w:szCs w:val="18"/>
                <w:color w:val="auto"/>
              </w:rPr>
            </w:pPr>
          </w:p>
        </w:tc>
        <w:tc>
          <w:tcPr>
            <w:tcW w:w="80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r>
        <w:rPr>
          <w:rFonts w:ascii="Arial" w:cs="Arial" w:eastAsia="Arial" w:hAnsi="Arial"/>
          <w:sz w:val="18"/>
          <w:szCs w:val="18"/>
          <w:u w:val="single" w:color="auto"/>
          <w:color w:val="0000FF"/>
        </w:rPr>
        <w:t>5</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the continuing availability of borrowings under revolving lines of credit,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3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(COVID-19) outbreak and subsequent volatility in demand for air travel due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29" w:lineRule="exact"/>
        <w:rPr>
          <w:sz w:val="20"/>
          <w:szCs w:val="20"/>
          <w:color w:val="auto"/>
        </w:rPr>
      </w:pPr>
    </w:p>
    <w:p>
      <w:pPr>
        <w:jc w:val="both"/>
        <w:ind w:left="660" w:right="2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outbreak and global spread of COVID-19 and government-imposed measures to prevent or reduce its spread have resulted in significant volatility in demand for air travel, the impacts of which have and will continue to adversely impact our business, operating results, financial condition and liquidity.</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7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0"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7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2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9"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178"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14" w:lineRule="exact"/>
        <w:rPr>
          <w:rFonts w:ascii="Arial" w:cs="Arial" w:eastAsia="Arial" w:hAnsi="Arial"/>
          <w:sz w:val="22"/>
          <w:szCs w:val="22"/>
          <w:color w:val="auto"/>
        </w:rPr>
      </w:pPr>
    </w:p>
    <w:p>
      <w:pPr>
        <w:ind w:left="660" w:right="20" w:hanging="328"/>
        <w:spacing w:after="0" w:line="31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could materially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term loan facility provided for under the 2013 Credit Agreement.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Form 10-K” means AAG’s and American’s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“2021-1 Aircraft” means the 26 aircraft financed or to be financed by American under the 2021-1 Aircraft EETCs.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“2021-1 Aircraft EETCs” means the two pass-through trusts created by American in November 2021 that have issued approximately $960 million aggregate face amount of Series 2021-1 Class A and Class B EETCs.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2026 Notes, the 2029 Notes and the AAdvantage Term Loan Facility.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“AAdvantage Term Loan Facility” means the $ 3.5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“Boeing” means The Boeing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total operating cost per available seat mile and is equal to total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“COVID-19” refers to a respiratory illness first detected in 2019 and the ensuing global pandemic that remains ongoing as of the date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Facilities” means, collectively, the December 2016 Term Loan Facility and the revolving credit facility that may be established under the December 2016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term loan facility provided for under the December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United States Department of Justice.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Agreement” means the agreement that had been reached between the DOT, American and JetBlue in January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“EEA” means European Economic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“ETS” means EU Emissions Trading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"EU-UK Trade and Cooperation Agreement" means the trade and cooperation agreement between the EU and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 means global distribution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 means GOL Linhas Aéreas Inteligentes S.A.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"NEA" means Northeast Alliance arrangement between American and JetBlue.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“OSHA” means Occupational Health and Safety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“PFAS” means per- and polyfluoroalkyl substances.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Agreement” means the Payroll Support Program Agreement entered into by the Subsidiaries with Treasury on April 20,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PSP1 Agreement, pursuant to which AAG issued PSP1 Warrants to Treasury to purchase up to an aggregate of approximately 14.0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January 15,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up to an aggregate of approximately 6.6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Agreement” means the Payroll Support Program Agreement entered into by the Subsidiaries with Treasury on April 23,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“PSP3 Warrant Agreement” means the agreement entered into between AAG and Treasury in connection with the PSP3 Agreement, pursuant to which AAG issued PSP3 Warrants to Treasury to purchase up to an aggregate of approximately 4.4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“PSP3 Warrants” means the warrants issued or to be issued to Treasury pursuant to the PSP3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“Rehabilitation Plan” means the rehabilitation plan adopted by the IAM Pension Fund on April 17,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“SAF” means sustainable aviation fuel.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“SAIB” means special airworthiness information bulletin.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“Tax Benefits Preservation Plan” means the tax benefits preservation plan adopted by the Board of Directors of AAG in December 2021 in order to preserve the Company's ability to use its NOLs and certain other tax attributes to reduce potential future income tax obligations.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to Treasury pursuant to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“Vertical” means Vertical Aerospace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5,593</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639,366</w:t>
            </w: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-4902835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r>
      <w:tr>
        <w:trPr>
          <w:trHeight w:val="20"/>
        </w:trPr>
        <w:tc>
          <w:tcPr>
            <w:tcW w:w="5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12,121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12,158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1,835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17,336</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37,856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9,595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9,335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48,966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47,708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(18,171)</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29,994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29,537</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7,850</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$805 and $786, respectively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2,079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1,988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11,744</w:t>
            </w:r>
          </w:p>
        </w:tc>
      </w:tr>
      <w:tr>
        <w:trPr>
          <w:trHeight w:val="195"/>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67,963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758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b w:val="1"/>
                <w:bCs w:val="1"/>
                <w:color w:val="auto"/>
              </w:rPr>
              <w:t>LIABILITIES AND STOCKHOLDERS’ EQUITY (DEFICIT)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2,733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1,772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8,969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6,087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1,483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2,909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22,770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19,006</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34,963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35,571</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6,189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6,239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53,615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54,801</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8"/>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649,779,361 shares issued and</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June 30, 2022; 647,727,595 shares issued and outstanding at December 31, 2021</w:t>
            </w:r>
          </w:p>
        </w:tc>
        <w:tc>
          <w:tcPr>
            <w:tcW w:w="26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(5,890)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(5,942)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(8,638)</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(7,340)</w:t>
            </w:r>
          </w:p>
        </w:tc>
      </w:tr>
      <w:tr>
        <w:trPr>
          <w:trHeight w:val="221"/>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67,963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(10,083)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(13,840)</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Purchase of equity investment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Shares withheld for taxes pursuant to employee stock plans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equity</w:t>
            </w: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0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7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39"/>
        </w:trPr>
        <w:tc>
          <w:tcPr>
            <w:tcW w:w="75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1,770,173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281,593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4"/>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Impact of adoption of Accounting Standards Update 2020-06 related to</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convertible instruments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5,956,191 shares of AAG common stock pursuant to an at-the-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PSP2 and PSP3 Warrants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115,833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8"/>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2021.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The continued impact of the COVID-19 pandemic, including any increases in infection rates, new variants and renewed governmental action to slow the spread of COVID-19 cannot be estimated.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capacity (as measured by available seat miles) continues to be reduced compared to pre-COVID-19 pandemic levels, with total capacity in the second quarter of 2022 down 8.5% as compared to the second quarter of 2019. Domestic capacity in the second quarter of 2022 was down 6.6% while international capacity was down 12.1% as compared to the second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We will continue to match our forward capacity with observed booking trends for future travel and make further adjustments to our capacity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98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30"/>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w:t>
            </w:r>
          </w:p>
        </w:tc>
      </w:tr>
      <w:tr>
        <w:trPr>
          <w:trHeight w:val="270"/>
        </w:trPr>
        <w:tc>
          <w:tcPr>
            <w:tcW w:w="5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70"/>
        </w:trPr>
        <w:tc>
          <w:tcPr>
            <w:tcW w:w="5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(4)</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8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88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our retired Airbus A330 fleet to the estimated fair value due to current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 and the American Rescue Plan Act of 2021 (ARP) (PSP3).</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related to our voluntary early retirement programs for the three and six months ended June 30, 2022 were approximately $50 million and $140 million, respectively, and approximately $120 million and $290 million for the three and six months ended June 30, 2021,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our equity investments in GOL Linhas Aéreas Inteligentes S.A. (GOL), Vertical Aerospace Ltd. (Vertical) and China Southern Airlines Company Limited (China Southern Airlines).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90"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Dilutive effect of stock awards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warrants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718,532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649,925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639,366</w:t>
            </w:r>
          </w:p>
        </w:tc>
        <w:tc>
          <w:tcPr>
            <w:tcW w:w="0" w:type="dxa"/>
            <w:vAlign w:val="bottom"/>
          </w:tcPr>
          <w:p>
            <w:pPr>
              <w:spacing w:after="0"/>
              <w:rPr>
                <w:sz w:val="1"/>
                <w:szCs w:val="1"/>
                <w:color w:val="auto"/>
              </w:rPr>
            </w:pPr>
          </w:p>
        </w:tc>
      </w:tr>
      <w:tr>
        <w:trPr>
          <w:trHeight w:val="223"/>
        </w:trPr>
        <w:tc>
          <w:tcPr>
            <w:tcW w:w="586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Securities which were excluded from the calculation of diluted EPS because inclusion of such shares would be antidilutive,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7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2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3,191</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PSP1 Warrants </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r>
      <w:tr>
        <w:trPr>
          <w:trHeight w:val="229"/>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Treasury Loan Warrants </w:t>
            </w:r>
            <w:r>
              <w:rPr>
                <w:rFonts w:ascii="Arial" w:cs="Arial" w:eastAsia="Arial" w:hAnsi="Arial"/>
                <w:sz w:val="23"/>
                <w:szCs w:val="23"/>
                <w:color w:val="auto"/>
                <w:vertAlign w:val="superscript"/>
              </w:rPr>
              <w:t>(2)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Warrants </w:t>
            </w:r>
            <w:r>
              <w:rPr>
                <w:rFonts w:ascii="Arial" w:cs="Arial" w:eastAsia="Arial" w:hAnsi="Arial"/>
                <w:sz w:val="23"/>
                <w:szCs w:val="23"/>
                <w:color w:val="auto"/>
                <w:vertAlign w:val="superscript"/>
              </w:rPr>
              <w:t>(3)</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311"/>
        </w:trPr>
        <w:tc>
          <w:tcPr>
            <w:tcW w:w="5900" w:type="dxa"/>
            <w:vAlign w:val="bottom"/>
          </w:tcPr>
          <w:p>
            <w:pPr>
              <w:ind w:left="20"/>
              <w:spacing w:after="0"/>
              <w:rPr>
                <w:sz w:val="20"/>
                <w:szCs w:val="20"/>
                <w:color w:val="auto"/>
              </w:rPr>
            </w:pPr>
            <w:r>
              <w:rPr>
                <w:rFonts w:ascii="Arial" w:cs="Arial" w:eastAsia="Arial" w:hAnsi="Arial"/>
                <w:sz w:val="18"/>
                <w:szCs w:val="18"/>
                <w:color w:val="auto"/>
              </w:rPr>
              <w:t xml:space="preserve">PSP3 Warrants </w:t>
            </w:r>
            <w:r>
              <w:rPr>
                <w:rFonts w:ascii="Arial" w:cs="Arial" w:eastAsia="Arial" w:hAnsi="Arial"/>
                <w:sz w:val="23"/>
                <w:szCs w:val="23"/>
                <w:color w:val="auto"/>
                <w:vertAlign w:val="superscript"/>
              </w:rPr>
              <w:t>(4)</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311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payroll support program established under the CARES Act (PSP1), AAG issued to Treasury warrants (PSP1 Warrants) to purchase up to an aggregate of approximately 14.0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Loan and Guarantee Agreement with Treasury (the Treasury Loan Agreement), AAG issued to Treasury warrants (Treasury Loan Warrants) to purchase up to an aggregate of approximately 4.4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PSP2, AAG issued to Treasury warrants (PSP2 Warrants) to purchase up to an aggregate of approximately 6.6 million shares of AAG common stock for an exercise price of $15.66 per share, subject to adjustment.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PSP3, AAG issued to Treasury warrants (PSP3 Warrants) to purchase up to an aggregate of approximately 4.4 million shares of AAG common stock for an exercise price of $21.75 per share, subject to adjustment.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208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8,888</w:t>
            </w:r>
          </w:p>
        </w:tc>
      </w:tr>
      <w:tr>
        <w:trPr>
          <w:trHeight w:val="230"/>
        </w:trPr>
        <w:tc>
          <w:tcPr>
            <w:tcW w:w="5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3"/>
        </w:trPr>
        <w:tc>
          <w:tcPr>
            <w:tcW w:w="588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5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5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588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r>
      <w:tr>
        <w:trPr>
          <w:trHeight w:val="20"/>
        </w:trPr>
        <w:tc>
          <w:tcPr>
            <w:tcW w:w="2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June 30, 2022 and 2021, cash payments from co-branded credit card and other partners were $1.0 billion and $684 million, respectively. During the six months ended June 30, 2022 and 2021, cash payments from co-branded credit card and other partners were $2.4 billion and $1.7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-1173480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7"/>
              </w:rPr>
              <w:t>9,135</w:t>
            </w:r>
          </w:p>
        </w:tc>
      </w:tr>
      <w:tr>
        <w:trPr>
          <w:trHeight w:val="229"/>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19"/>
                <w:szCs w:val="19"/>
                <w:color w:val="auto"/>
              </w:rPr>
            </w:pPr>
          </w:p>
        </w:tc>
        <w:tc>
          <w:tcPr>
            <w:tcW w:w="1080" w:type="dxa"/>
            <w:vAlign w:val="bottom"/>
          </w:tcPr>
          <w:p>
            <w:pPr>
              <w:jc w:val="center"/>
              <w:ind w:left="390"/>
              <w:spacing w:after="0"/>
              <w:rPr>
                <w:sz w:val="20"/>
                <w:szCs w:val="20"/>
                <w:color w:val="auto"/>
              </w:rPr>
            </w:pPr>
            <w:r>
              <w:rPr>
                <w:rFonts w:ascii="Arial" w:cs="Arial" w:eastAsia="Arial" w:hAnsi="Arial"/>
                <w:sz w:val="18"/>
                <w:szCs w:val="18"/>
                <w:color w:val="auto"/>
                <w:w w:val="97"/>
              </w:rPr>
              <w:t>1,596</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rPr>
              <w:t>(1,477)</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June 30, 2022 </w:t>
            </w:r>
            <w:r>
              <w:rPr>
                <w:rFonts w:ascii="Arial" w:cs="Arial" w:eastAsia="Arial" w:hAnsi="Arial"/>
                <w:sz w:val="23"/>
                <w:szCs w:val="23"/>
                <w:color w:val="auto"/>
                <w:vertAlign w:val="superscript"/>
              </w:rPr>
              <w:t>(2)</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7"/>
              </w:rPr>
              <w:t>9,254</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2022, our current loyalty program liability was $3.1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continued impact of the COVID-19 pandemic, we will continue to monitor redemption patterns and may adjust our estimates in the future.</w:t>
      </w:r>
    </w:p>
    <w:p>
      <w:pPr>
        <w:spacing w:after="0" w:line="13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2022, $3.6 billion of revenue was recognized in passenger revenue that was included in our air traffic liability at December 31, 2021. In response to the COVID-19 pandemic, we extended the contract duration for certain tickets to September 30, 2022, principally those tickets which were issued in 2020 and 2021. Additionally, we extended the contract duration to December 31, 2022 for tickets to certain international destinations. We also have eliminated change fees for most domestic and international tickets providing more flexibility for customers to change travel plans. Given these changes and the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3.37%, installments through 2025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3.40%, installments through 2027</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2.84%, installments through</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2023</w:t>
            </w:r>
          </w:p>
        </w:tc>
        <w:tc>
          <w:tcPr>
            <w:tcW w:w="5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5.81%, installments beginning in July</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7.13%, averaging 3.78%, maturing from 2022 to 2034</w:t>
            </w: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2.29% to 4.82%, averaging 3.07%, maturing from 2022 to 2032</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5.000% senior notes</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2022,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57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50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22</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approximately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June 30, 2022,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June 30, 2022. Accordingly, pursuant to the terms of the Convertible Notes Indenture, the holders of the Convertible Notes cannot convert at their option at any time during the quarter ending September 30, 2022.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approximately $960 million aggregate face amount of Series 2021-1 Class A and Class B EETCs (the 2021-1 Aircraft EETCs) in connection with the financing of 26 aircraft previously delivered or originally scheduled to be delivered to American through September 2022 (the 2021-1 Aircraft). In 2021, approximately $94 million of the proceeds had been used to purchase equipment notes issued by American in connection with the financing of five aircraft under the 2021-1 Aircraft EETCs, all of which was used to repay existing indebtedness. During the six months ended June 30, 2022, approximately $574 million of proceeds had been used to purchase equipment notes issued by American in connection with the financing of 14 aircraft under the 2021-1 Aircraft EETCs. Interest and principal payments on equipment notes issued in connection with the 2021-1 Aircraft EETCs are payable semi-annually in January and July of each year, with interest payments scheduled to begin in July 2022 and with principal payments scheduled to begin in January 2023. The remaining proceeds of approximately $292 million as of June 30,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June 30,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10"/>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$231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six months ended June 30, 2022, we repurchased $349 million of unsecured notes on the open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2021, we had approximately $17.2 billion of gross federal net operating losses (NOLs) and $3.0 billion of other carryforwards available to reduce future federal taxable income, of which $6.9 billion will expire beginning in 2024 if unused and $ 13.3 billion can be carried forward indefinitely. We also had approximately $6.0 billion of NOL carryforwards to reduce future state taxable income at December 31, 2021, which will expire in taxable years 2021 through 2041 if unused.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3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During the three and six months ended June 30, 2022, we recorded an income tax provision of $127 million and an income tax benefit of $324 million, respectively.</w:t>
      </w:r>
    </w:p>
    <w:p>
      <w:pPr>
        <w:spacing w:after="0" w:line="180" w:lineRule="exact"/>
        <w:rPr>
          <w:sz w:val="20"/>
          <w:szCs w:val="20"/>
          <w:color w:val="auto"/>
        </w:rPr>
      </w:pPr>
    </w:p>
    <w:p>
      <w:pPr>
        <w:ind w:left="260" w:right="6540" w:hanging="252"/>
        <w:spacing w:after="0" w:line="364" w:lineRule="auto"/>
        <w:tabs>
          <w:tab w:leader="none" w:pos="21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six months ended June 30,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June 30, 2022</w:t>
            </w:r>
          </w:p>
        </w:tc>
        <w:tc>
          <w:tcPr>
            <w:tcW w:w="9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GOL and Vertical. These investments are reflected in other assets on the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June 30, 2022 and December 31, 2021, which would have been classified as Level 3 in the fair value hierarchy. The fair value of the Convertible Notes, which would have been classified as Level 2, was $1.0 billion and $1.4 billion as of June 30, 2022 and December 31, 2021, respectively.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61"/>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33,472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37,323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38,567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alliances, joint business and codeshare relationships, and, in certain instances, by making an equity investment in another airline or other companies.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GOL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2022, we completed our definitive investment agreement with GOL and invested $ 200 million in 22.2 million of newly issued preferred shares, representing a 5.3% economic interest in GOL. The total consideration of $200 million has been allocated as follows based on relative fair values: $81 million to the preferred shares and $119 million to the indefinite-lived intangible asset derived from the related commercial agreements. The ownership interest is accounted for at fair value based on GOL’s stock price and mark-to-market adjustments are recorded to nonoperating other income, net on the condensed consolidated statements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into voluntary early retirement programs offered as a result of reductions to our operation due to the COVID-19 pandemic. For the six months ended June 30, 2021, we recognized a $139 million special charge for these enhanced healthcare benefits and increased our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us. Based on the ARP provisions applicable to our pension plans, we will have no additional funding requirements until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3"/>
                <w:szCs w:val="13"/>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440" w:type="dxa"/>
            <w:vAlign w:val="bottom"/>
          </w:tcPr>
          <w:p>
            <w:pPr>
              <w:jc w:val="center"/>
              <w:ind w:left="66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500" w:hanging="19"/>
        <w:spacing w:after="0" w:line="245"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400" w:space="620"/>
            <w:col w:w="2220"/>
          </w:cols>
          <w:pgMar w:left="320" w:top="121"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2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840" w:type="dxa"/>
            <w:vAlign w:val="bottom"/>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4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for the three months ended June 30, 2022 and 2021 include $80 million and $77 million of depreciation and amortization, respectively, and $1 million and $2 million of aircraft rent, respectively. Regional expenses for the six months ended June 30, 2022 and 2021 include $160 million and $159 million of depreciation and amortization, respectively, and $3 million and $4 million of aircraft rent, respectively.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June 30, 2022 and 2021, we recognized $160 million and $91 million, respectively, of expense under our capacity purchase agreement with Republic Airways Inc. (Republic). During the six months ended June 30, 2022 and 2021, we recognized $310 million and $218 million, respectively, of expense under our capacity purchase agreement with Republic. We hold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Plaintiffs have appealed that decision to the United States Court of Appeals for the Second Circuit, and the plaintiffs' opening brief is due August 2, 2022. We believe this lawsuit is without merit and intend to continue to vigorously defend against it, including against any further appeals by plaintiffs.</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We believe the complaint is without merit and intend to defend against it vigorously.</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5,590</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r>
      <w:tr>
        <w:trPr>
          <w:trHeight w:val="229"/>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r>
      <w:tr>
        <w:trPr>
          <w:trHeight w:val="21"/>
        </w:trPr>
        <w:tc>
          <w:tcPr>
            <w:tcW w:w="5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12,155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1,484</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1,692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24,723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22,712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38,413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37,520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47,003</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(17,770)</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29,233</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7,443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7,810</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$805 and $786, respectively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3,408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195"/>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11,549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11,390</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2,100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1,742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1,385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2,896</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17,864</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30,352</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4,722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5,020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6,259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6,578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48,173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49,455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17,193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17,152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(6,041)</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(7,285)</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3,826</w:t>
            </w:r>
          </w:p>
        </w:tc>
        <w:tc>
          <w:tcPr>
            <w:tcW w:w="0" w:type="dxa"/>
            <w:vAlign w:val="bottom"/>
          </w:tcPr>
          <w:p>
            <w:pPr>
              <w:spacing w:after="0"/>
              <w:rPr>
                <w:sz w:val="1"/>
                <w:szCs w:val="1"/>
                <w:color w:val="auto"/>
              </w:rPr>
            </w:pPr>
          </w:p>
        </w:tc>
      </w:tr>
      <w:tr>
        <w:trPr>
          <w:trHeight w:val="195"/>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73,385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4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(13,827)</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restricted short-term investments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 of equity investment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(5,016)</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2021.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The continued impact of the COVID-19 pandemic, including any increases in infection rates, new variants and renewed governmental action to slow the spread of COVID-19 cannot be estimated.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capacity (as measured by available seat miles) continues to be reduced compared to pre-COVID-19 pandemic levels, with total capacity in the second quarter of 2022 down 8.5% as compared to the second quarter of 2019. Domestic capacity in the second quarter of 2022 was down 6.6% while international capacity was down 12.1% as compared to the second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American will continue to match its forward capacity with observed booking trends for future travel and make further adjustments to American's capacity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98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8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w:t>
            </w:r>
          </w:p>
        </w:tc>
      </w:tr>
      <w:tr>
        <w:trPr>
          <w:trHeight w:val="270"/>
        </w:trPr>
        <w:tc>
          <w:tcPr>
            <w:tcW w:w="5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8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5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r>
      <w:tr>
        <w:trPr>
          <w:trHeight w:val="270"/>
        </w:trPr>
        <w:tc>
          <w:tcPr>
            <w:tcW w:w="5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(4)</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880" w:type="dxa"/>
            <w:vAlign w:val="bottom"/>
          </w:tcPr>
          <w:p>
            <w:pPr>
              <w:spacing w:after="0"/>
              <w:rPr>
                <w:sz w:val="19"/>
                <w:szCs w:val="19"/>
                <w:color w:val="auto"/>
              </w:rPr>
            </w:pPr>
          </w:p>
        </w:tc>
        <w:tc>
          <w:tcPr>
            <w:tcW w:w="7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8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special items, net</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American's retired Airbus A330 fleet to the estimated fair value due to current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pursuant to the payroll support program established under the PSP Extension Law (PSP2) and the American Rescue Plan Act of 2021 (ARP) (PSP3).</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related to American's voluntary early retirement programs for the three and six months ended June 30, 2022 were approximately $50 million and $140 million, respectively, and approximately $120 million and $290 million for the three and six months ended June 30, 2021,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American's equity investments in GOL Linhas Aéreas Inteligentes S.A. (GOL), Vertical Aerospace Ltd. (Vertical) and China Southern Airlines Company Limited (China Southern Airlines).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8,888</w:t>
            </w:r>
          </w:p>
        </w:tc>
      </w:tr>
      <w:tr>
        <w:trPr>
          <w:trHeight w:val="229"/>
        </w:trPr>
        <w:tc>
          <w:tcPr>
            <w:tcW w:w="5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9"/>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5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23"/>
        </w:trPr>
        <w:tc>
          <w:tcPr>
            <w:tcW w:w="5880" w:type="dxa"/>
            <w:vAlign w:val="bottom"/>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r>
      <w:tr>
        <w:trPr>
          <w:trHeight w:val="21"/>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June 30, 2022 and 2021, cash payments from co-branded credit card and other partners were $1.0 billion and $684 million, respectively. During the six months ended June 30, 2022 and 2021, cash payments from co-branded credit card and other partners were $2.4 billion and $1.7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-1173480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7"/>
              </w:rPr>
              <w:t>9,135</w:t>
            </w:r>
          </w:p>
        </w:tc>
      </w:tr>
      <w:tr>
        <w:trPr>
          <w:trHeight w:val="229"/>
        </w:trPr>
        <w:tc>
          <w:tcPr>
            <w:tcW w:w="946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center"/>
              <w:ind w:left="450"/>
              <w:spacing w:after="0"/>
              <w:rPr>
                <w:sz w:val="20"/>
                <w:szCs w:val="20"/>
                <w:color w:val="auto"/>
              </w:rPr>
            </w:pPr>
            <w:r>
              <w:rPr>
                <w:rFonts w:ascii="Arial" w:cs="Arial" w:eastAsia="Arial" w:hAnsi="Arial"/>
                <w:sz w:val="18"/>
                <w:szCs w:val="18"/>
                <w:color w:val="auto"/>
                <w:w w:val="97"/>
              </w:rPr>
              <w:t>1,596</w:t>
            </w:r>
          </w:p>
        </w:tc>
      </w:tr>
      <w:tr>
        <w:trPr>
          <w:trHeight w:val="230"/>
        </w:trPr>
        <w:tc>
          <w:tcPr>
            <w:tcW w:w="9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rPr>
              <w:t>(1,477)</w:t>
            </w:r>
          </w:p>
        </w:tc>
      </w:tr>
      <w:tr>
        <w:trPr>
          <w:trHeight w:val="223"/>
        </w:trPr>
        <w:tc>
          <w:tcPr>
            <w:tcW w:w="9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June 30, 2022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7"/>
              </w:rPr>
              <w:t>9,254</w:t>
            </w:r>
          </w:p>
        </w:tc>
      </w:tr>
      <w:tr>
        <w:trPr>
          <w:trHeight w:val="21"/>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2022, American's current loyalty program liability was $3.1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continued impact of the COVID-19 pandemic, American will continue to monitor redemption patterns and may adjust its estimates in the future.</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2022, $3.6 billion of revenue was recognized in passenger revenue that was included in American's air traffic liability at December 31, 2021. In response to the COVID-19 pandemic, American extended the contract duration for certain tickets to September 30, 2022, principally those tickets which were issued in 2020 and 2021. Additionally, American extended the contract duration to December 31, 2022 for tickets to certain international destinations. American also has eliminated change fees for most domestic and international tickets providing more flexibility for customers to change travel plans. Given these changes and the uncertainty surrounding the future demand for air travel, American's estimates of revenue that will be recognized from the air traffic liability for future flown or unused tickets as well as its estimates of refunds may be subject to variability and differ from historical experience.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3.37%, installments through 2025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3.40%, installments through 2027</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2.84%, installments through</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5.81%, installments beginning in July</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7.13%, averaging 3.78%, maturing from 2022 to 2034</w:t>
            </w: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2.29% to 4.82%, averaging 3.07%, maturing from 2022 to 2032</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112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0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2022,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approximately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approximately $960 million aggregate face amount of Series 2021-1 Class A and Class B EETCs (the 2021-1 Aircraft EETCs) in connection with the financing of 26 aircraft previously delivered or originally scheduled to be delivered to American through September 2022 (the 2021-1 Aircraft). In 2021, approximately $94 million of the proceeds had been used to purchase equipment notes issued by American in connection with the financing of five aircraft under the 2021-1 Aircraft EETCs, all of which was used to repay existing indebtedness. During the six months ended June 30, 2022, approximately $ 574 million of proceeds had been used to purchase equipment notes issued by American in connection with the financing of 14 aircraft under the 2021-1 Aircraft EETCs. Interest and principal payments on equipment notes issued in connection with the 2021-1 Aircraft EETCs are payable semi-annually in January and July of each year, with interest payments scheduled to begin in July 2022 and with principal payments scheduled to begin in January 2023. The remaining proceeds of approximately $292 million as of June 30,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June 30,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09"/>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$231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$61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2021, American had approximately $17.1 billion of gross federal net operating losses (NOLs) and $2.4 billion of other carryforwards available to reduce future federal taxable income, of which $7.3 billion will expire beginning in 2024 if unused and $12.2 billion can be carried forward indefinitely. American is a member of AAG’s consolidated federal and certain state income tax returns. American also had approximately $6.0 billion of NOL carryforwards to reduce future state taxable income at December 31, 2021, which will expire in taxable years 2021 through 2041 if unused.</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and six months ended June 30, 2022, American recorded an income tax provision of $140 million and an income tax benefit of $296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6540" w:hanging="252"/>
        <w:spacing w:after="0" w:line="364" w:lineRule="auto"/>
        <w:tabs>
          <w:tab w:leader="none" w:pos="21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six months ended June 30,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as of June 30, 2022</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American's equity investments in China Southern Airlines, GOL and Vertical. These investments are reflected in other assets on the condensed consolidated balance sheets.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2"/>
                <w:szCs w:val="12"/>
                <w:color w:val="auto"/>
              </w:rPr>
            </w:pPr>
          </w:p>
        </w:tc>
        <w:tc>
          <w:tcPr>
            <w:tcW w:w="104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6"/>
                <w:szCs w:val="16"/>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32,999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 Investments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An important part of American's strategy to expand its network has been to initiate or expand its commercial relationships with other airlines, such as by entering into global alliances, joint business and codeshare relationships, and, in certain instances, by making an equity investment in another airline or other companies.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GOL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2022, American completed its definitive investment agreement with GOL and invested $200 million in 22.2 million of newly issued preferred shares, representing a 5.3% economic interest in GOL. The total consideration of $200 million has been allocated as follows based on relative fair values: $81 million to the preferred shares and $119 million to the indefinite-lived intangible asset derived from the related commercial agreements. The ownership interest is accounted for at fair value based on GOL’s stock price and mark-to-market adjustments are recorded to nonoperating other income, net on the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into voluntary early retirement programs offered as a result of reductions to its operation due to the COVID-19 pandemic. For the six months ended June 30, 2021, American recognized a $139 million special charge for these enhanced healthcare benefits and increased its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American. Based on the ARP provisions applicable to its pension plans, American will have no additional funding requirements until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2"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3"/>
                <w:szCs w:val="13"/>
                <w:color w:val="auto"/>
              </w:rPr>
            </w:pPr>
          </w:p>
        </w:tc>
        <w:tc>
          <w:tcPr>
            <w:tcW w:w="2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440" w:type="dxa"/>
            <w:vAlign w:val="bottom"/>
          </w:tcPr>
          <w:p>
            <w:pPr>
              <w:jc w:val="center"/>
              <w:ind w:left="66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520" w:hanging="19"/>
        <w:spacing w:after="0" w:line="245"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380" w:space="620"/>
            <w:col w:w="2240"/>
          </w:cols>
          <w:pgMar w:left="320" w:top="122"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6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840" w:type="dxa"/>
            <w:vAlign w:val="bottom"/>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40" w:type="dxa"/>
            <w:vAlign w:val="bottom"/>
          </w:tcPr>
          <w:p>
            <w:pPr>
              <w:spacing w:after="0"/>
              <w:rPr>
                <w:sz w:val="19"/>
                <w:szCs w:val="19"/>
                <w:color w:val="auto"/>
              </w:rPr>
            </w:pPr>
          </w:p>
        </w:tc>
      </w:tr>
      <w:tr>
        <w:trPr>
          <w:trHeight w:val="21"/>
        </w:trPr>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for the three months ended June 30, 2022 and 2021 include $67 million and $64 million of depreciation and amortization, respectively, and $1 million and $2 million of aircraft rent, respectively. Regional expenses for the six months ended June 30, 2022 and 2021 include $134 million and $132 million of depreciation and amortization, respectively, and $3 million and $4 million of aircraft rent, respectively.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June 30, 2022 and 2021, American recognized $160 million and $91 million, respectively, of expense under its capacity purchase agreement with Republic Airways Inc. (Republic). During the six months ended June 30, 2022 and 2021, American recognized $310 million and $218 million, respectively, of expense under its capacity purchase agreement with Republic. American holds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75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AAG</w:t>
            </w:r>
            <w:r>
              <w:rPr>
                <w:rFonts w:ascii="Arial" w:cs="Arial" w:eastAsia="Arial" w:hAnsi="Arial"/>
                <w:sz w:val="10"/>
                <w:szCs w:val="10"/>
                <w:color w:val="auto"/>
              </w:rPr>
              <w:t xml:space="preserve"> (1)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8,493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7,613</w:t>
            </w:r>
          </w:p>
        </w:tc>
      </w:tr>
      <w:tr>
        <w:trPr>
          <w:trHeight w:val="229"/>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15"/>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(2,066)</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6,403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5,547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financing transactions.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Plaintiffs have appealed that decision to the United States Court of Appeals for the Second Circuit, and the plaintiffs' opening brief is due August 2, 2022. American believes this lawsuit is without merit and intends to continue to vigorously defend against it, including against any further appeals by plaintiffs.</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American believes this complaint is without merit and intends to defend against it vigorously.</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2021 (the 2021 Form 10-K). The information contained herein is not a comprehensive discussion and analysis of the financial condition and results of operations of AAG and American, but rather updates disclosures made in the 2021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and rapid recovery in demand for air travel. The continued impact of the COVID-19 pandemic, including any increases in infection rates, new variants and renewed governmental action to slow the spread of COVID-19 cannot be estimated.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capacity (as measured by available seat miles) continues to be reduced compared to pre-COVID-19 pandemic levels, with total capacity in the second quarter of 2022 down 8.5% as compared to the second quarter of 2019. Domestic capacity in the second quarter of 2022 was down 6.6% while international capacity was down 12.1% as compared to the second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We will continue to match our forward capacity with observed booking trends for future travel and make further adjustments to our capacity as needed.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June 30, 2022, we had $ 15.6 billion in total available liquidity, consisting of $12.5 billion in unrestricted cash and short-term investments, $2.8 billion in undrawn capacity under revolving credit facilities and a total of $220 million in undrawn short-term revolving and other facilities.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first six months of 2022, we completed the following financing transactions (see Note 5 to AAG’s Condensed Consolidated Financial Statements in Part I, Item 1A for further information):</w:t>
      </w:r>
    </w:p>
    <w:p>
      <w:pPr>
        <w:spacing w:after="0" w:line="99" w:lineRule="exact"/>
        <w:rPr>
          <w:sz w:val="20"/>
          <w:szCs w:val="20"/>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approximately $574 million in proceeds from enhanced equipment trust certificates (EETCs);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repurchased $349 million of unsecured notes on the open market.</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Second Quarter 2022 Results</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jc w:val="center"/>
              <w:ind w:left="35"/>
              <w:spacing w:after="0"/>
              <w:rPr>
                <w:sz w:val="20"/>
                <w:szCs w:val="20"/>
                <w:color w:val="auto"/>
              </w:rPr>
            </w:pPr>
            <w:r>
              <w:rPr>
                <w:rFonts w:ascii="Arial" w:cs="Arial" w:eastAsia="Arial" w:hAnsi="Arial"/>
                <w:sz w:val="14"/>
                <w:szCs w:val="14"/>
                <w:b w:val="1"/>
                <w:bCs w:val="1"/>
                <w:color w:val="auto"/>
              </w:rPr>
              <w:t>Percent</w:t>
            </w: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 xml:space="preserve">Increase </w:t>
            </w:r>
            <w:r>
              <w:rPr>
                <w:rFonts w:ascii="Arial" w:cs="Arial" w:eastAsia="Arial" w:hAnsi="Arial"/>
                <w:sz w:val="9"/>
                <w:szCs w:val="9"/>
                <w:b w:val="1"/>
                <w:bCs w:val="1"/>
                <w:color w:val="auto"/>
              </w:rPr>
              <w:t>(2)</w:t>
            </w:r>
          </w:p>
        </w:tc>
      </w:tr>
      <w:tr>
        <w:trPr>
          <w:trHeight w:val="196"/>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gridSpan w:val="7"/>
          </w:tcPr>
          <w:p>
            <w:pPr>
              <w:jc w:val="right"/>
              <w:ind w:right="151"/>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7"/>
                <w:szCs w:val="17"/>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160" w:type="dxa"/>
            <w:vAlign w:val="bottom"/>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2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86.8</w:t>
            </w: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rPr>
              <w:t>0.5</w:t>
            </w: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43.5</w:t>
            </w: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5,944</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6"/>
              </w:rPr>
              <w:t>79.5</w:t>
            </w: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260" w:type="dxa"/>
            <w:vAlign w:val="bottom"/>
            <w:shd w:val="clear" w:color="auto" w:fill="CCEEFF"/>
          </w:tcPr>
          <w:p>
            <w:pPr>
              <w:jc w:val="center"/>
              <w:ind w:left="15"/>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(3)</w:t>
            </w: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1260" w:type="dxa"/>
            <w:vAlign w:val="bottom"/>
          </w:tcPr>
          <w:p>
            <w:pPr>
              <w:jc w:val="center"/>
              <w:ind w:left="35"/>
              <w:spacing w:after="0"/>
              <w:rPr>
                <w:sz w:val="20"/>
                <w:szCs w:val="20"/>
                <w:color w:val="auto"/>
              </w:rPr>
            </w:pPr>
            <w:r>
              <w:rPr>
                <w:rFonts w:ascii="Arial" w:cs="Arial" w:eastAsia="Arial" w:hAnsi="Arial"/>
                <w:sz w:val="18"/>
                <w:szCs w:val="18"/>
                <w:color w:val="auto"/>
                <w:w w:val="96"/>
              </w:rPr>
              <w:t>13.0</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26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76.3</w:t>
            </w: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w:t>
            </w:r>
          </w:p>
        </w:tc>
        <w:tc>
          <w:tcPr>
            <w:tcW w:w="1260" w:type="dxa"/>
            <w:vAlign w:val="bottom"/>
          </w:tcPr>
          <w:p>
            <w:pPr>
              <w:jc w:val="center"/>
              <w:ind w:left="75"/>
              <w:spacing w:after="0"/>
              <w:rPr>
                <w:sz w:val="20"/>
                <w:szCs w:val="20"/>
                <w:color w:val="auto"/>
              </w:rPr>
            </w:pPr>
            <w:r>
              <w:rPr>
                <w:rFonts w:ascii="Arial" w:cs="Arial" w:eastAsia="Arial" w:hAnsi="Arial"/>
                <w:sz w:val="18"/>
                <w:szCs w:val="18"/>
                <w:color w:val="auto"/>
              </w:rPr>
              <w:t>nm</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rPr>
              <w:t>nm</w:t>
            </w: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260" w:type="dxa"/>
            <w:vAlign w:val="bottom"/>
          </w:tcPr>
          <w:p>
            <w:pPr>
              <w:jc w:val="center"/>
              <w:ind w:left="75"/>
              <w:spacing w:after="0"/>
              <w:rPr>
                <w:sz w:val="20"/>
                <w:szCs w:val="20"/>
                <w:color w:val="auto"/>
              </w:rPr>
            </w:pPr>
            <w:r>
              <w:rPr>
                <w:rFonts w:ascii="Arial" w:cs="Arial" w:eastAsia="Arial" w:hAnsi="Arial"/>
                <w:sz w:val="18"/>
                <w:szCs w:val="18"/>
                <w:color w:val="auto"/>
              </w:rPr>
              <w:t>nm</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rPr>
              <w:t>nm</w:t>
            </w: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160" w:type="dxa"/>
            <w:vAlign w:val="bottom"/>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rPr>
              <w:t>nm</w:t>
            </w: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60" w:type="dxa"/>
            <w:vAlign w:val="bottom"/>
            <w:tcBorders>
              <w:bottom w:val="single" w:sz="8" w:color="CCEEFF"/>
            </w:tcBorders>
          </w:tcPr>
          <w:p>
            <w:pPr>
              <w:jc w:val="center"/>
              <w:ind w:left="75"/>
              <w:spacing w:after="0"/>
              <w:rPr>
                <w:sz w:val="20"/>
                <w:szCs w:val="20"/>
                <w:color w:val="auto"/>
              </w:rPr>
            </w:pPr>
            <w:r>
              <w:rPr>
                <w:rFonts w:ascii="Arial" w:cs="Arial" w:eastAsia="Arial" w:hAnsi="Arial"/>
                <w:sz w:val="18"/>
                <w:szCs w:val="18"/>
                <w:color w:val="auto"/>
              </w:rPr>
              <w:t>nm</w:t>
            </w: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60" w:type="dxa"/>
            <w:vAlign w:val="bottom"/>
            <w:tcBorders>
              <w:bottom w:val="single" w:sz="8" w:color="CCEEFF"/>
            </w:tcBorders>
            <w:shd w:val="clear" w:color="auto" w:fill="CCEEFF"/>
          </w:tcPr>
          <w:p>
            <w:pPr>
              <w:jc w:val="center"/>
              <w:ind w:left="75"/>
              <w:spacing w:after="0"/>
              <w:rPr>
                <w:sz w:val="20"/>
                <w:szCs w:val="20"/>
                <w:color w:val="auto"/>
              </w:rPr>
            </w:pPr>
            <w:r>
              <w:rPr>
                <w:rFonts w:ascii="Arial" w:cs="Arial" w:eastAsia="Arial" w:hAnsi="Arial"/>
                <w:sz w:val="18"/>
                <w:szCs w:val="18"/>
                <w:color w:val="auto"/>
              </w:rPr>
              <w:t>nm</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Fluctuations may not be meaningful due to the volatility caused by the COVID-19 pandemic.</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and Net Income</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Pre-tax income and net income were $603 million and $476 million, respectively, in the second quarter of 2022. This compares to second quarter 2021 pre-tax income and net income of $9 million and $19 million, respectively. The quarter-over-quarter increase in our pre-tax income on a GAAP basis was due to higher passenger revenue driven by a significant recovery in demand for air travel, offset in part by increased aircraft fuel and related taxes, primarily as a result of an increase in the average price per gallon of aircraft fuel and a 21.3% increase in capacity as compared to the second quarter of 2021. The second quarter of 2021 also includes the recognition of $1.4 billion of net pre-tax special credits principally related to PSP Financial Assistance. See Note 2 to AAG's Condensed Consolidated Financial Statement in Part I, Item 1A for further information on net special items.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Excluding the effects of pre-tax net special items, pre-tax income was $687 million in the second quarter of 2022 and pre-tax loss was $1.4 billion in the second quarter of 2021. The quarter-over-quarter improvement in our pre-tax income excluding pre-tax net special items was primarily due to higher passenger revenue driven by a significant recovery in demand for air travel, offset in part by increased aircraft fuel and related taxes, as described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2022, we reported total operating revenues of $13.4 billion, an increase of $5.9 billion, or 79.5%, as compared to the second quarter of 2021. Passenger revenue was $12.2 billion in the second quarter of 2022, an increase of $5.7 billion, or 86.8%, as compared to the second quarter of 2021. The increase in passenger revenue in the second quarter of 2022 was due to a 36.9% increase in revenue passenger miles (RPMs), driven by a significant recovery in demand for air travel, resulting in an 86.9% load factor in the second quarter of 2022, and a 36.4% increase in passenger yield.</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$264 million, or 43.5%, as compared to the second quarter of 2021, driven primarily by higher revenue associated with our loyalty program. During the three months ended June 30, 2022 and 2021, cash payments from co-branded credit card and other partners were $1.0 billion and $684 million, respectively.</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total revenue per available seat mile (TRASM) was 20.29 cents in the second quarter of 2022, a 48.0% increase as compared to 13.71 cents in the second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expense was $4.0 billion in the second quarter of 2022, which was $2.4 billion higher as compared to the second quarter of 2021. This increase was primarily driven by an increase in the average price per gallon of aircraft fuel including related taxes to $4.03 in the second quarter of 2022 from $1.91 in the second quarter of 2021 and an 18.1% increase in gallons of fuel consumed principally due to increased capacity.</w:t>
      </w:r>
    </w:p>
    <w:p>
      <w:pPr>
        <w:spacing w:after="0" w:line="12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June 30,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onset of the COVID-19 pandemic resulted in a very rapid deterioration in general economic conditions, and the subsequent rapid economic expansion resulted in significant inflationary pressures, including on the cost of fuel.</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2022 second quarter total operating cost per available seat mile (CASM) was 18.75 cents, an increase of 45.3%, from 12.90 cents in the second quarter of 2021. This increase in CASM was primarily driven by higher aircraft fuel and related taxes in the second quarter of 2022, as described above, and the recognition of $1.5 billion of net special credits in the second quarter of 2021 related to PSP Financial Assistance.</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2022 second quarter CASM excluding net special items and fuel was 12.68 cents, an increase of 0.5%, from 12.61 cents in the second quarter of 2021.</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2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196"/>
        </w:trPr>
        <w:tc>
          <w:tcPr>
            <w:tcW w:w="20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29"/>
        </w:trPr>
        <w:tc>
          <w:tcPr>
            <w:tcW w:w="59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30"/>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r>
      <w:tr>
        <w:trPr>
          <w:trHeight w:val="248"/>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-1336675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-1336675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20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20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0"/>
        </w:trPr>
        <w:tc>
          <w:tcPr>
            <w:tcW w:w="5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r>
      <w:tr>
        <w:trPr>
          <w:trHeight w:val="229"/>
        </w:trPr>
        <w:tc>
          <w:tcPr>
            <w:tcW w:w="5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jc w:val="center"/>
              <w:ind w:right="2180"/>
              <w:spacing w:after="0"/>
              <w:rPr>
                <w:sz w:val="20"/>
                <w:szCs w:val="20"/>
                <w:color w:val="auto"/>
              </w:rPr>
            </w:pPr>
            <w:r>
              <w:rPr>
                <w:rFonts w:ascii="Arial" w:cs="Arial" w:eastAsia="Arial" w:hAnsi="Arial"/>
                <w:sz w:val="18"/>
                <w:szCs w:val="18"/>
                <w:color w:val="auto"/>
                <w:w w:val="99"/>
              </w:rPr>
              <w:t>Mainline operating special items,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r>
      <w:tr>
        <w:trPr>
          <w:trHeight w:val="230"/>
        </w:trPr>
        <w:tc>
          <w:tcPr>
            <w:tcW w:w="588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92,319</w:t>
            </w:r>
          </w:p>
        </w:tc>
      </w:tr>
      <w:tr>
        <w:trPr>
          <w:trHeight w:val="20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29"/>
        </w:trPr>
        <w:tc>
          <w:tcPr>
            <w:tcW w:w="5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5880" w:type="dxa"/>
            <w:vAlign w:val="bottom"/>
            <w:gridSpan w:val="2"/>
            <w:shd w:val="clear" w:color="auto" w:fill="CCEEFF"/>
          </w:tcPr>
          <w:p>
            <w:pPr>
              <w:jc w:val="center"/>
              <w:ind w:right="222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-2622550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2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and six months ended June 30, 2022 and 2021. Amounts may not recalculate due to rounding.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180"/>
              <w:spacing w:after="0" w:line="224"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57.9%</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66,163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54,555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36.2%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9.9pts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11.1pts</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96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15.57</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30.5%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51.4%</w:t>
            </w: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13.71</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42.7%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30.2%</w:t>
            </w:r>
          </w:p>
        </w:tc>
        <w:tc>
          <w:tcPr>
            <w:tcW w:w="0" w:type="dxa"/>
            <w:vAlign w:val="bottom"/>
          </w:tcPr>
          <w:p>
            <w:pPr>
              <w:spacing w:after="0"/>
              <w:rPr>
                <w:sz w:val="1"/>
                <w:szCs w:val="1"/>
                <w:color w:val="auto"/>
              </w:rPr>
            </w:pPr>
          </w:p>
        </w:tc>
      </w:tr>
      <w:tr>
        <w:trPr>
          <w:trHeight w:val="184"/>
        </w:trPr>
        <w:tc>
          <w:tcPr>
            <w:tcW w:w="4760" w:type="dxa"/>
            <w:vAlign w:val="bottom"/>
          </w:tcPr>
          <w:p>
            <w:pPr>
              <w:ind w:left="180"/>
              <w:spacing w:after="0" w:line="183" w:lineRule="exact"/>
              <w:rPr>
                <w:sz w:val="20"/>
                <w:szCs w:val="20"/>
                <w:color w:val="auto"/>
              </w:rPr>
            </w:pPr>
            <w:r>
              <w:rPr>
                <w:rFonts w:ascii="Arial" w:cs="Arial" w:eastAsia="Arial" w:hAnsi="Arial"/>
                <w:sz w:val="18"/>
                <w:szCs w:val="18"/>
                <w:color w:val="auto"/>
              </w:rPr>
              <w:t>Average aircraft fuel price including related taxes (dollars</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5"/>
                <w:szCs w:val="15"/>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nm</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1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7"/>
              </w:rPr>
              <w:t>89.4%</w:t>
            </w:r>
          </w:p>
        </w:tc>
        <w:tc>
          <w:tcPr>
            <w:tcW w:w="0" w:type="dxa"/>
            <w:vAlign w:val="bottom"/>
          </w:tcPr>
          <w:p>
            <w:pPr>
              <w:spacing w:after="0"/>
              <w:rPr>
                <w:sz w:val="1"/>
                <w:szCs w:val="1"/>
                <w:color w:val="auto"/>
              </w:rPr>
            </w:pPr>
          </w:p>
        </w:tc>
      </w:tr>
      <w:tr>
        <w:trPr>
          <w:trHeight w:val="235"/>
        </w:trPr>
        <w:tc>
          <w:tcPr>
            <w:tcW w:w="4760" w:type="dxa"/>
            <w:vAlign w:val="bottom"/>
          </w:tcPr>
          <w:p>
            <w:pPr>
              <w:ind w:left="360"/>
              <w:spacing w:after="0"/>
              <w:rPr>
                <w:sz w:val="20"/>
                <w:szCs w:val="20"/>
                <w:color w:val="auto"/>
              </w:rPr>
            </w:pPr>
            <w:r>
              <w:rPr>
                <w:rFonts w:ascii="Arial" w:cs="Arial" w:eastAsia="Arial" w:hAnsi="Arial"/>
                <w:sz w:val="18"/>
                <w:szCs w:val="18"/>
                <w:color w:val="auto"/>
              </w:rPr>
              <w:t>per gallon)</w:t>
            </w: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36.8%</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1,413</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4.1%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1,413</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117,400</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117,400</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20 mainline aircraft and 19 regional aircraft that are in temporary storage at June 30, 2022 as follows: 20 Boeing 737-800, 15 Embraer 145 and four Embraer 170.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86.8</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rPr>
              <w:t>0.5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43.5</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6"/>
              </w:rPr>
              <w:t>79.5</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-762000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Increase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vs. Three Months Ended June 30, 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Load</w:t>
            </w:r>
          </w:p>
        </w:tc>
        <w:tc>
          <w:tcPr>
            <w:tcW w:w="11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9.9pts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36.4%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Passenger revenue increased $5.7 billion, or 86.8%, in the second quarter of 2022 from the second quarter of 2021 primarily due to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36.9% increase in RPMs, driven by a significant recovery in demand for air travel, resulting in an 86.9% load factor in the second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and a 36.4% increase in passenger yield.</w:t>
      </w:r>
    </w:p>
    <w:p>
      <w:pPr>
        <w:spacing w:after="0" w:line="15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$264 million, or 43.5%, as compared to the second quarter of 2021, driven primarily by higher revenue associated with our loyalty program.</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Total operating revenues in the second quarter of 2022 increased $5.9 billion, or 79.5%, from the second quarter of 2021 driven principally by the increase in passenger revenue as described above. Our TRASM increased 48.0% to 20.29 cents in the second quarter of 2022 from 13.71 cents in the second quarter of 2021.</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4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13.0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68.5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40.9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82.2</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(99.6)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45.0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6"/>
              </w:rPr>
              <w:t>76.3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$5.4 billion, or 76.3%, in the second quarter of 2022 from the second quarter of 2021 driven by higher aircraft fuel and related taxes and other expenses, primarily as a result of an increase in the average price per gallon of aircraft fuel and increased capacity, as well as an increase in net operating special items related to the $1.5 billion of PSP Financial Assistance recognized as a net special credit in the second quarter of 2021. See further discussion of operating special items, net below.</w:t>
      </w:r>
    </w:p>
    <w:p>
      <w:pPr>
        <w:sectPr>
          <w:pgSz w:w="11900" w:h="16838" w:orient="portrait"/>
          <w:cols w:equalWidth="0" w:num="1">
            <w:col w:w="11240"/>
          </w:cols>
          <w:pgMar w:left="320" w:top="122"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$2.4 billion in the second quarter of 2022 from the second quarter of 2021 primarily due to an increase in the average price per gallon of aircraft fuel including related taxes to $ 4.03 in the second quarter of 2022 from $1.91 in the second quarter of 2021 and an 18.1% increase in gallons of fuel consumed principally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$373 million, or 13.0%, in the second quarter of 2022 from the second quarter of 2021 primarily due to a 12.1% increase in mainline full-time equivalent employees subsequent to the second quarter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$437 million, or 68.5%, in the second quarter of 2022 from the second quarter of 2021 primarily due to pay rate increases and retention bonuses offered at our wholly-owned regional carriers as well as contractual rate increases with our third-party regional carriers. The second quarter of 2021 also includes the recognition of $167 million of PSP Financial Assistance as a regional operating special credit.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$188 million, or 40.9%, in the second quarter of 2022 from the second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$227 million, or 82.2%, in the second quarter of 2022 from the second quarter of 2021 due to higher credit card fees, commission expense and booking fees driven by the overall increase in revenues.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expenses increased $431 million, or 45.0%, in the second quarter of 2022 from the second quarter of 2021 primarily as a result of increased capacity and expenses associated with improving our product offerings, customer experience and operational reliability.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7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-1242695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 and the American Rescue Plan Act of 2021 (ARP) (PSP3).</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6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6"/>
              <w:spacing w:after="0" w:line="122"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8"/>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716"/>
              <w:spacing w:after="0"/>
              <w:rPr>
                <w:sz w:val="20"/>
                <w:szCs w:val="20"/>
                <w:color w:val="auto"/>
              </w:rPr>
            </w:pPr>
            <w:r>
              <w:rPr>
                <w:rFonts w:ascii="Arial" w:cs="Arial" w:eastAsia="Arial" w:hAnsi="Arial"/>
                <w:sz w:val="18"/>
                <w:szCs w:val="18"/>
                <w:color w:val="auto"/>
                <w:w w:val="99"/>
              </w:rPr>
              <w:t>24</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716"/>
              <w:spacing w:after="0"/>
              <w:rPr>
                <w:sz w:val="20"/>
                <w:szCs w:val="20"/>
                <w:color w:val="auto"/>
              </w:rPr>
            </w:pPr>
            <w:r>
              <w:rPr>
                <w:rFonts w:ascii="Arial" w:cs="Arial" w:eastAsia="Arial" w:hAnsi="Arial"/>
                <w:sz w:val="18"/>
                <w:szCs w:val="18"/>
                <w:color w:val="auto"/>
                <w:w w:val="99"/>
              </w:rPr>
              <w:t>18</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9"/>
              </w:rPr>
              <w:t>(24)</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7"/>
              </w:rPr>
              <w:t>(50.4)</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716"/>
              <w:spacing w:after="0"/>
              <w:rPr>
                <w:sz w:val="20"/>
                <w:szCs w:val="20"/>
                <w:color w:val="auto"/>
              </w:rPr>
            </w:pPr>
            <w:r>
              <w:rPr>
                <w:rFonts w:ascii="Arial" w:cs="Arial" w:eastAsia="Arial" w:hAnsi="Arial"/>
                <w:sz w:val="18"/>
                <w:szCs w:val="18"/>
                <w:color w:val="auto"/>
                <w:w w:val="99"/>
              </w:rPr>
              <w:t>18</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-762635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Interest income increased in the second quarter of 2022 compared to the second quarter of 2021 primarily as a result of higher returns on our short-term investments.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second quarter of 2022, other nonoperating income, net primarily included $106 million of non-service related pension and other postretirement benefit plan income, offset in part by $89 million of net special charges principally for mark-to-market net unrealized losses associated with our equity investments in Vertical Aerospace Ltd. (Vertical), GOL Linhas Aéreas Inteligentes S.A. (GOL) and China Southern Airlines Company Limited (China Southern Airlines).</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second quarter of 2021, other nonoperating income, net included $85 million of non-service related pension and other postretirement benefit plan income, offset in part by $37 million of net special charges principally for mark-to-market net unrealized losses associated with our equity investment in China Southern Airlines.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second quarter of 2022, we recorded an income tax provision of $127 million. Substantially all of our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ind w:left="348"/>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Increase</w:t>
            </w:r>
          </w:p>
        </w:tc>
        <w:tc>
          <w:tcPr>
            <w:tcW w:w="100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11"/>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20,041</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9,724</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339"/>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8"/>
                <w:szCs w:val="18"/>
                <w:color w:val="auto"/>
                <w:w w:val="95"/>
              </w:rPr>
              <w:t>7.8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79"/>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22,321</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11,486</w:t>
            </w:r>
          </w:p>
        </w:tc>
        <w:tc>
          <w:tcPr>
            <w:tcW w:w="12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10,835</w:t>
            </w:r>
          </w:p>
        </w:tc>
        <w:tc>
          <w:tcPr>
            <w:tcW w:w="480" w:type="dxa"/>
            <w:vAlign w:val="bottom"/>
          </w:tcPr>
          <w:p>
            <w:pPr>
              <w:spacing w:after="0"/>
              <w:rPr>
                <w:sz w:val="19"/>
                <w:szCs w:val="19"/>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540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060" w:type="dxa"/>
            <w:vAlign w:val="bottom"/>
            <w:gridSpan w:val="16"/>
          </w:tcPr>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vs. Six Months Ended June 30,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RPMs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Load</w:t>
            </w:r>
          </w:p>
        </w:tc>
        <w:tc>
          <w:tcPr>
            <w:tcW w:w="12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June 30, 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11.1pts</w:t>
            </w:r>
          </w:p>
        </w:tc>
        <w:tc>
          <w:tcPr>
            <w:tcW w:w="118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7"/>
              </w:rPr>
              <w:t>30.5%</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-1910715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-1910715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-1910715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Passenger revenue increased $10.3 billion in the first six months of 2022 from the first six months of 2021 primarily due to a 57.9% increase in RPMs, driven by a significant recovery in demand for air travel, resulting in an 81.0% load factor in the first six months of 2022, and a 30.5% increase in passenger yield.</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Cargo revenue increased $51 million, or 7.8%, in the first six months of 2022 from the first six months of 2021 primarily due to a 13.1% increase in cargo yield, offset in part by a 4.7% decrease in cargo ton miles driven by the reduced operation of cargo-only flights.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operating revenue increased $467 million, or 41.7%, in the first six months of 2022 from the first six months of 2021, driven primarily by higher revenue associated with our loyalty program.</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Total operating revenues in the first six months of 2022 increased $ 10.8 billion, or 94.3%, from the first six months of 2021 driven principally by the increase in passenger revenue as described above. Our TRASM increased 42.7% to 17.76 cents in the first six months of 2022 from 12.44 cents in the first six months of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4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796</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14.2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68.4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51.3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95.8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4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59.8</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6"/>
              </w:rPr>
              <w:t>86.3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Total operating expenses increased $10.7 billion, or 86.3%, in the first six months of 2022 from the first six months of 2021 driven by higher aircraft fuel and related taxes and other expenses, primarily as a result of an increase in the average price per gallon of aircraft fuel and increased capacity, as well as an increase in net operating special items principally related to the $ 3.6 billion of PSP Financial Assistance recognized as a net special credit in the first six months of 2021. See further discussion of operating special items, net below.</w:t>
      </w:r>
    </w:p>
    <w:p>
      <w:pPr>
        <w:spacing w:after="0" w:line="12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$3.9 billion in the first six months of 2022 from the first six months of 2021 primarily due to an 89.4% increase in the average price per gallon of aircraft fuel including related taxes to $3.45 in the first six months of 2022 from $1.82 in the first six months of 2021 and a 30.2% increase in gallons of fuel consumed principally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$ 796 million, or 14.2%, in the first six months of 2022 from the first six months of 2021 primarily due to a 12.1% increase in mainline full-time equivalent employees subsequent to the second quarter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increased $863 million, or 68.4%, in the first six months of 2022 from the first six months of 2021 primarily due to increased capacity, pay rate increases and retention bonuses offered at our wholly-owned regional carriers, as well as contractual rate increases with our third-party regional carriers. The first six months of 2021 also includes the recognition of $410 million of PSP Financial Assistance as a regional operating special credit.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$429 million, or 51.3%, in the first six months of 2022 from the first six months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rent and landing fees increased $116 million, or 9.2%, in the first six months of 2022 from the first six months of 2021 primarily due to an increase in landing fees as a result of increased departures.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increased $409 million, or 95.8%, in the first six months of 2022 from the first six months of 2021 due to higher credit card fees, commission expense and booking fees driven by the overall increase in revenues.</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operating expenses increased $1.0 billion, or 59.8%, in the first six months of 2022 from the first six months of 2021 primarily as a result of increased capacity and expenses associated with improving our product offerings, customer experience and operational reliability.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7"/>
                <w:szCs w:val="17"/>
                <w:color w:val="auto"/>
              </w:rPr>
            </w:pPr>
          </w:p>
        </w:tc>
      </w:tr>
      <w:tr>
        <w:trPr>
          <w:trHeight w:val="231"/>
        </w:trPr>
        <w:tc>
          <w:tcPr>
            <w:tcW w:w="7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70"/>
        </w:trPr>
        <w:tc>
          <w:tcPr>
            <w:tcW w:w="76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r>
      <w:tr>
        <w:trPr>
          <w:trHeight w:val="21"/>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-1971040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276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our retired Airbus A330 fleet to the estimated fair value due to current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related to our voluntary early retirement programs for the six months ended June 30, 2022 and 2021 were approximately $140 million and $290 million, respectively.</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9"/>
              </w:rPr>
              <w:t>29</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677"/>
              <w:spacing w:after="0"/>
              <w:rPr>
                <w:sz w:val="20"/>
                <w:szCs w:val="20"/>
                <w:color w:val="auto"/>
              </w:rPr>
            </w:pPr>
            <w:r>
              <w:rPr>
                <w:rFonts w:ascii="Arial" w:cs="Arial" w:eastAsia="Arial" w:hAnsi="Arial"/>
                <w:sz w:val="18"/>
                <w:szCs w:val="18"/>
                <w:color w:val="auto"/>
                <w:w w:val="99"/>
              </w:rPr>
              <w:t>(76)</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9"/>
              </w:rPr>
              <w:t>(40)</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7"/>
              </w:rPr>
              <w:t>(25.7)</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color w:val="auto"/>
                <w:w w:val="99"/>
              </w:rPr>
              <w:t>(87)</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6"/>
              </w:rPr>
              <w:t>12.6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Interest income increased in the first six months of 2022 compared to the first six months of 2021 primarily as a result of higher returns on our short-term investments.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Interest expense, net increased in the first six months of 2022 compared to the first six months of 2021 primarily due to the impact of the AAdvantage Financing issued at the end of the first quarter of 2021, which improved our liquidity position in response to the COVID-19 pandemic.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2022, other nonoperating income, net primarily included $211 million of non-service related pension and other postretirement benefit plan income, offset in part by $92 million of net special charges principally for mark-to-market net unrealized losses associated with our equity investments in GOL, Vertical and China Southern Airlines.</w:t>
      </w:r>
    </w:p>
    <w:p>
      <w:pPr>
        <w:spacing w:after="0" w:line="117"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six months of 2021, other nonoperating income, net included $172 million of non-service related pension and other postretirement benefit plan income and $13 million of net special charges principally for non-cash charges associated with debt refinancings and extinguishments, offset in part by mark-to-market net unrealized gains associated with our equity investment in China Southern Airlines and other instruments.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six months of 2022, we recorded an income tax benefit of $324 million. Substantially all of our income or loss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Increase</w:t>
            </w:r>
          </w:p>
        </w:tc>
        <w:tc>
          <w:tcPr>
            <w:tcW w:w="152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20" w:type="dxa"/>
            <w:vAlign w:val="bottom"/>
          </w:tcPr>
          <w:p>
            <w:pPr>
              <w:spacing w:after="0"/>
              <w:rPr>
                <w:sz w:val="16"/>
                <w:szCs w:val="16"/>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86.8</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tcPr>
          <w:p>
            <w:pPr>
              <w:jc w:val="center"/>
              <w:ind w:left="16"/>
              <w:spacing w:after="0"/>
              <w:rPr>
                <w:sz w:val="20"/>
                <w:szCs w:val="20"/>
                <w:color w:val="auto"/>
              </w:rPr>
            </w:pPr>
            <w:r>
              <w:rPr>
                <w:rFonts w:ascii="Arial" w:cs="Arial" w:eastAsia="Arial" w:hAnsi="Arial"/>
                <w:sz w:val="18"/>
                <w:szCs w:val="18"/>
                <w:color w:val="auto"/>
              </w:rPr>
              <w:t>0.5</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43.4</w:t>
            </w: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520" w:type="dxa"/>
            <w:vAlign w:val="bottom"/>
          </w:tcPr>
          <w:p>
            <w:pPr>
              <w:jc w:val="center"/>
              <w:ind w:left="16"/>
              <w:spacing w:after="0"/>
              <w:rPr>
                <w:sz w:val="20"/>
                <w:szCs w:val="20"/>
                <w:color w:val="auto"/>
              </w:rPr>
            </w:pPr>
            <w:r>
              <w:rPr>
                <w:rFonts w:ascii="Arial" w:cs="Arial" w:eastAsia="Arial" w:hAnsi="Arial"/>
                <w:sz w:val="18"/>
                <w:szCs w:val="18"/>
                <w:color w:val="auto"/>
                <w:w w:val="96"/>
              </w:rPr>
              <w:t>79.5</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-762635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-762635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-762635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$5.7 billion, or 86.8%, in the second quarter of 2022 from the second quarter of 2021 primarily due to an increase in RPMs, driven by a significant recovery in demand for air travel, resulting in an increased load factor in the second quarter of 2022, and an increase in passenger yield.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$263 million, or 43.4%, as compared to the second quarter of 2021, driven primarily by higher revenue associated with American's loyalty program.</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 the second quarter of 2022 increased $5.9 billion, or 79.5%, from the second quarter of 2021 driven principally by the increase in passenger revenue as described above.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18" w:lineRule="exact"/>
              <w:rPr>
                <w:sz w:val="20"/>
                <w:szCs w:val="20"/>
                <w:color w:val="auto"/>
              </w:rPr>
            </w:pPr>
            <w:r>
              <w:rPr>
                <w:rFonts w:ascii="Arial" w:cs="Arial" w:eastAsia="Arial" w:hAnsi="Arial"/>
                <w:sz w:val="13"/>
                <w:szCs w:val="13"/>
                <w:b w:val="1"/>
                <w:bCs w:val="1"/>
                <w:color w:val="auto"/>
              </w:rPr>
              <w:t>Increase</w:t>
            </w:r>
          </w:p>
        </w:tc>
        <w:tc>
          <w:tcPr>
            <w:tcW w:w="1540" w:type="dxa"/>
            <w:vAlign w:val="bottom"/>
          </w:tcPr>
          <w:p>
            <w:pPr>
              <w:jc w:val="center"/>
              <w:ind w:left="34"/>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$5.3 billion, or 76.0%, in the second quarter of 2022 from the second quarter of 2021 driven by higher aircraft fuel and related taxes and other expenses, primarily as a result of an increase in the average price per gallon of aircraft fuel and increased capacity, as well as an increase in net operating special items related to the $1.5 billion of PSP Financial Assistance recognized as a net special credit in the second quarter of 2021. See further discussion of operating special items, net below.</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$2.4 billion in the second quarter of 2022 from the second quarter of 2021 primarily due to an increase in the average price per gallon of aircraft fuel including related taxes to $ 4.03 in the second quarter of 2022 from $1.91 in the second quarter of 2021 and an 18.1% increase in gallons of fuel consumed principally due to increased capacity.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$373 million, or 13.0%, in the second quarter of 2022 from the second quarter of 2021 primarily due to a 12.1% increase in mainline full-time equivalent employees subsequent to the second quarter of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$419 million, or 65.3%, in the second quarter of 2022 from the second quarter of 2021 primarily due to contractual rate increases with American's third-party regional carriers. The second quarter of 2021 also includes the recognition of $167 million of PSP Financial Assistance as a regional operating special credit.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$188 million, or 40.9%, in the second quarter of 2022 from the second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$227 million, or 82.2%, in the second quarter of 2022 from the second quarter of 2021 due to higher credit card fees, commission expense and booking fees driven by the overall increase in revenues.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$432 million, or 45.0%, in the second quarter of 2022 from the second quarter of 2021 primarily as a result of increased capacity and expenses associated with improving American's product offerings, customer experience and operational reliability.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7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-1242695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737"/>
              <w:spacing w:after="0"/>
              <w:rPr>
                <w:sz w:val="20"/>
                <w:szCs w:val="20"/>
                <w:color w:val="auto"/>
              </w:rPr>
            </w:pPr>
            <w:r>
              <w:rPr>
                <w:rFonts w:ascii="Arial" w:cs="Arial" w:eastAsia="Arial" w:hAnsi="Arial"/>
                <w:sz w:val="18"/>
                <w:szCs w:val="18"/>
                <w:color w:val="auto"/>
                <w:w w:val="99"/>
              </w:rPr>
              <w:t>32</w:t>
            </w:r>
          </w:p>
        </w:tc>
        <w:tc>
          <w:tcPr>
            <w:tcW w:w="1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left="737"/>
              <w:spacing w:after="0"/>
              <w:rPr>
                <w:sz w:val="20"/>
                <w:szCs w:val="20"/>
                <w:color w:val="auto"/>
              </w:rPr>
            </w:pPr>
            <w:r>
              <w:rPr>
                <w:rFonts w:ascii="Arial" w:cs="Arial" w:eastAsia="Arial" w:hAnsi="Arial"/>
                <w:sz w:val="18"/>
                <w:szCs w:val="18"/>
                <w:color w:val="auto"/>
                <w:w w:val="99"/>
              </w:rPr>
              <w:t>10</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w w:val="97"/>
              </w:rPr>
              <w:t>(2.2)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99"/>
              </w:rPr>
              <w:t>(26)</w:t>
            </w:r>
          </w:p>
        </w:tc>
        <w:tc>
          <w:tcPr>
            <w:tcW w:w="1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9"/>
              </w:rPr>
              <w:t>16</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w w:val="97"/>
              </w:rPr>
              <w:t>(4.2)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Interest income increased in the second quarter of 2022 compared to the second quarter of 2021 primarily as a result of higher returns on American's short-term investments.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second quarter of 2022, other nonoperating income, net primarily included $105 million of non-service related pension and other postretirement benefit plan income, offset in part by $89 million of net special charges principally for mark-to-market net unrealized losses associated with American's equity investments in Vertical, GOL and China Southern Airlines.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second quarter of 2021, other nonoperating income, net included $85 million of non-service related pension and other postretirement benefit plan income, offset in part by $ 37 million of net special charges principally for mark-to-market net unrealized losses associated with American's equity investment in China Southern Airlines.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second quarter of 2022, American recorded an income tax provision of $140 million. Substantially all of American’s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5"/>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14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1"/>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5"/>
              </w:rPr>
              <w:t>nm</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480" w:type="dxa"/>
            <w:vAlign w:val="bottom"/>
          </w:tcPr>
          <w:p>
            <w:pPr>
              <w:jc w:val="center"/>
              <w:ind w:left="36"/>
              <w:spacing w:after="0"/>
              <w:rPr>
                <w:sz w:val="20"/>
                <w:szCs w:val="20"/>
                <w:color w:val="auto"/>
              </w:rPr>
            </w:pPr>
            <w:r>
              <w:rPr>
                <w:rFonts w:ascii="Arial" w:cs="Arial" w:eastAsia="Arial" w:hAnsi="Arial"/>
                <w:sz w:val="18"/>
                <w:szCs w:val="18"/>
                <w:color w:val="auto"/>
                <w:w w:val="95"/>
              </w:rPr>
              <w:t>7.8</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41.4</w:t>
            </w:r>
          </w:p>
        </w:tc>
      </w:tr>
      <w:tr>
        <w:trPr>
          <w:trHeight w:val="223"/>
        </w:trPr>
        <w:tc>
          <w:tcPr>
            <w:tcW w:w="54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22,317</w:t>
            </w:r>
          </w:p>
        </w:tc>
        <w:tc>
          <w:tcPr>
            <w:tcW w:w="12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480" w:type="dxa"/>
            <w:vAlign w:val="bottom"/>
          </w:tcPr>
          <w:p>
            <w:pPr>
              <w:jc w:val="center"/>
              <w:ind w:left="36"/>
              <w:spacing w:after="0"/>
              <w:rPr>
                <w:sz w:val="20"/>
                <w:szCs w:val="20"/>
                <w:color w:val="auto"/>
              </w:rPr>
            </w:pPr>
            <w:r>
              <w:rPr>
                <w:rFonts w:ascii="Arial" w:cs="Arial" w:eastAsia="Arial" w:hAnsi="Arial"/>
                <w:sz w:val="18"/>
                <w:szCs w:val="18"/>
                <w:color w:val="auto"/>
              </w:rPr>
              <w:t>94.3</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-762635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-762635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-762635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Passenger revenue increased $10.3 billion in the first six months of 2022 from the first six months of 2021 primarily due to an increase in RPMs, driven by a significant recovery in demand for air travel, resulting in an increased load factor in the first six months of 2022, and an increase in passenger yield.</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Cargo revenue increased $51 million, or 7.8%, in the first six months of 2022 from the first six months of 2021 primarily due to an increase in cargo yield, offset in part by a decrease in cargo ton miles driven by the reduced operation of cargo-only flights.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operating revenue increased $464 million, or 41.4%, in the first six months of 2022 from the first six months of 2021, driven primarily by higher revenue associated with American's loyalty program.</w:t>
      </w:r>
    </w:p>
    <w:p>
      <w:pPr>
        <w:spacing w:after="0" w:line="99" w:lineRule="exact"/>
        <w:rPr>
          <w:sz w:val="20"/>
          <w:szCs w:val="20"/>
          <w:color w:val="auto"/>
        </w:rPr>
      </w:pPr>
    </w:p>
    <w:p>
      <w:pPr>
        <w:jc w:val="both"/>
        <w:ind w:right="20" w:firstLine="202"/>
        <w:spacing w:after="0" w:line="287" w:lineRule="auto"/>
        <w:rPr>
          <w:sz w:val="20"/>
          <w:szCs w:val="20"/>
          <w:color w:val="auto"/>
        </w:rPr>
      </w:pPr>
      <w:r>
        <w:rPr>
          <w:rFonts w:ascii="Arial" w:cs="Arial" w:eastAsia="Arial" w:hAnsi="Arial"/>
          <w:sz w:val="18"/>
          <w:szCs w:val="18"/>
          <w:color w:val="auto"/>
        </w:rPr>
        <w:t>Total operating revenues in the first six months of 2022 increased $10.8 billion, or 94.3%, from the first six months of 2021 driven principally by the increase in passenger revenue as described above.</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22" w:lineRule="exact"/>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ind w:left="34"/>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9.2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Total operating expenses increased $10.6 billion, or 85.9%, in the first six months of 2022 from the first six months of 2021, driven by higher aircraft fuel and related taxes and other expenses, primarily as a result of an increase in the average price per gallon of aircraft fuel and increased capacity, as well as an increase in net operating special items principally related to the $ 3.6 billion of PSP Financial Assistance recognized as a net special credit in the first six months of 2021. See further discussion of operating special items, net below.</w:t>
      </w:r>
    </w:p>
    <w:p>
      <w:pPr>
        <w:spacing w:after="0" w:line="12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$3.9 billion in the first six months of 2022 from the first six months of 2021 primarily due to an 89.4% increase in the average price per gallon of aircraft fuel including related taxes to $3.45 in the first six months of 2022 from $1.82 in the first six months of 2021 and a 30.2% increase in gallons of fuel consumed principally due to increased capacity.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Salaries, wages and benefits increased $ 795 million, or 14.2%, in the first six months of 2022 from the first six months of 2021 primarily due to a 12.1% increase in mainline full-time equivalent employees subsequent to the second quarter of 2021.</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Regional expenses increased $817 million, or 64.6%, in the first six months of 2022 from the first six months of 2021 primarily due to increased capacity and contractual rate increases with American's third-party regional carriers. The first six months of 2021 also includes the recognition of $410 million of PSP Financial Assistance as a regional operating special credit.</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Maintenance, materials and repairs increased $429 million, or 51.3%, in the first six months of 2022 from the first six months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rent and landing fees increased $116 million, or 9.2%, in the first six months of 2022 from the first six months of 2021 primarily due to an increase in landing fees as a result of increased departures.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increased $409 million, or 95.8%, in the first six months of 2022 from the first six months of 2021 due to higher credit card fees, commission expense and booking fees driven by the overall increase in revenues.</w:t>
      </w:r>
    </w:p>
    <w:p>
      <w:pPr>
        <w:spacing w:after="0" w:line="99"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color w:val="auto"/>
        </w:rPr>
        <w:t>Other operating expenses increased $1.0 billion, or 59.7%, in the first six months of 2022 from the first six months of 2021 primarily as a result of increased capacity and expenses associated with improving American's product offerings, customer experience and operational reliability.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7"/>
                <w:szCs w:val="17"/>
                <w:color w:val="auto"/>
              </w:rPr>
            </w:pPr>
          </w:p>
        </w:tc>
      </w:tr>
      <w:tr>
        <w:trPr>
          <w:trHeight w:val="231"/>
        </w:trPr>
        <w:tc>
          <w:tcPr>
            <w:tcW w:w="7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70"/>
        </w:trPr>
        <w:tc>
          <w:tcPr>
            <w:tcW w:w="76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-1824990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2022 included a non-cash impairment charge to write down the carrying value of American's retired Airbus A330 fleet to the estimated fair value due to current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right="2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the six months ended June 30,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 established under PSP2 and PSP3.</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related to American's voluntary early retirement programs for the six months ended June 30, 2022 and 2021 were approximately $140 million and $290 million,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9"/>
              </w:rPr>
              <w:t>34</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677"/>
              <w:spacing w:after="0"/>
              <w:rPr>
                <w:sz w:val="20"/>
                <w:szCs w:val="20"/>
                <w:color w:val="auto"/>
              </w:rPr>
            </w:pPr>
            <w:r>
              <w:rPr>
                <w:rFonts w:ascii="Arial" w:cs="Arial" w:eastAsia="Arial" w:hAnsi="Arial"/>
                <w:sz w:val="18"/>
                <w:szCs w:val="18"/>
                <w:color w:val="auto"/>
                <w:w w:val="99"/>
              </w:rPr>
              <w:t>(81)</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9"/>
              </w:rPr>
              <w:t>(41)</w:t>
            </w:r>
          </w:p>
        </w:tc>
        <w:tc>
          <w:tcPr>
            <w:tcW w:w="14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color w:val="auto"/>
                <w:w w:val="99"/>
              </w:rPr>
              <w:t>(88)</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Interest income increased in the first six months of 2022 compared to the first six months of 2021 primarily as a result of higher returns on American's short-term investments.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Interest expense, net increased in the first six months of 2022 compared to the first six months of 2021 primarily due to the impact of the AAdvantage Financing issued at the end of the first quarter of 2021, which improved American's liquidity position in response to the COVID-19 pandemic.</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2022, other nonoperating income, net primarily included $211 million of non-service related pension and other postretirement benefit plan income, offset in part by $90 million of net special charges principally for mark-to-market net unrealized losses associated with American's equity investments in GOL, Vertical and China Southern Airlines.</w:t>
      </w:r>
    </w:p>
    <w:p>
      <w:pPr>
        <w:spacing w:after="0" w:line="117"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the first six months of 2021, other nonoperating income, net included $171 million of non-service related pension and other postretirement benefit plan income and $13 million of net special charges principally for non-cash charges associated with debt refinancings and extinguishments, offset in part by mark-to-market net unrealized gains associated with American's equity investment in China Southern Airlines and other instruments.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six months of 2022, American recorded an income tax benefit of $296 million. Substantially all of American’s income or loss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2022, AAG had $15.6 billion in total available liquidity and $997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contractual restrictions and other factors. The amounts involved may be material. For further information regarding our debt repurchases during the first six months of 2022, see Note 5 to AAG's Condensed Consolidated Financial Statements in Part I, Item 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 For further information regarding our debt covenants, see Note 5 to AAG’s Condensed Consolidated Financial Statements in Part I, Item 1A and Note 4 to American’s Condensed Consolidated Financial Statements in Part I, Item 1B.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net cash provided by operating activities was $ 2.9 billion and $3.6 billion for the first six months of 2022 and 2021, respectively, a $720 million period-over-period decrease. In the first six months of 2021, we received cash proceeds of approximately $4.7 billion associated with the PSP Financial Assistance. Excluding the PSP Financial Assistance, our operating cash flows increased $4.0 billion compared to the first six months of 2021 primarily due to higher profitability. In addition, during the first six months of 2022, we had approximately $140 million in cash payments associated with our voluntary early retirement programs. Excluding the enhanced healthcare benefits provided to eligible team members, we estimate cash payments under these programs to be approximately $50 million in the remainder of 2022 and approximately $20 million in 2023.</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$1.7 billion and $11.0 billion for the first six months of 2022 and 2021,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the first six months of 2022 included $1.4 billion of capital expenditures, which principally related to the purchase of 14 Airbus A321neo aircraft and 10 spare engines. We also made a $200 million equity investment in GOL. Additionally, we incurred $ 156 million related to airport construction projects, net of reimbursements, principally in connection with the renovation and expansion of Terminal 8 at John F. Kennedy International Airport (JFK) and the modernization of Terminals 4 and 5 at Los Angeles International Airport (LAX). These cash outflows were offset in part by $52 million in net sales of short-term investments.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principal investing activities in the first six months of 2021 included $11.0 billion in net purchases of short-term investments as well as a $404 million increase in restricted short-term investments primarily related to collateral for the AAdvantage Financing. Additionally, we incurred $ 77 million related to airport construction projects, net of reimbursements, principally in connection with the renovation and expansion of Terminal 8 at JFK and the modernization of Terminals 4 and 5 at LAX. These cash outflows were offset in part by $163 million of proceeds primarily from aircraft sale-leaseback transactions and $161 million of proceeds from the sale of property and equipment. Additionally, aircraft purchase deposit returns of $772 million exceeded our capital expenditures for the first six months of 2021, which expenditures were principally related to the harmonization of interior configurations across our mainline fleet and the purchase of two Airbus A321neo aircraft.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net cash used in financing activities was $1.1 billion for the first six months of 2022 as compared to net cash provided by financing activities of $7.5 billion for the first six months of 2021.</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financing activities in the first six months of 2022 included $1.7 billion in repayments of debt and finance lease obligations, consisting of $1.3 billion of scheduled debt repayments including the repayment of $401 million in connection with the maturity of our 5.000% unsecured notes, and the repurchase of $349 million of unsecured notes on the open market. These cash outflows were offset in part by $574 million of long-term debt proceeds from the issuance of equipment notes related to the 2021-1 Aircraft EETCs.</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financing activities in the first six months of 2021 included $12.1 billion in proceeds from the issuance of debt, including approximately $10.0 billion associated with the AAdvantage Financing, $1.0 billion in aggregate principal amount under the PSP2 Promissory Note, $946 million in aggregate principal amount under the PSP3 Promissory Note and the $150 million issuance of special facility revenue bonds related to JFK. We also had $460 million in net proceeds from the issuance of equity pursuant to an at-the-market offering. These cash inflows were offset in part by $5.0 billion in debt repayments, including prepayments totaling $2.8 billion for our revolving credit facilities and $550 million of outstanding loans under the Treasury Loan Agreement, and $1.6 billion in scheduled debt repayments. In addition, we had $166 million of deferred financing cost cash outflows.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net cash provided by operating activities was $2.1 billion and $6.1 billion for the first six months of 2022 and 2021, respectively, a $4.0 billion period-over-period decrease. American had a $ 2.9 billion net decrease in intercompany cash receipts principally from AAG's financing transactions. Additionally, in the first six months of 2021, American received cash proceeds of approximately $4.2 billion associated with PSP Financial Assistance. Excluding the PSP Financial Assistance and decrease in AAG's financing transactions, American's operating cash flows increased $3.1 billion compared to the first six months of 2021 primarily due to higher profitability. Also, during the first six months of 2022, American had approximately $140 million in cash payments associated with its voluntary early retirement programs. Excluding the enhanced healthcare benefits provided to eligible team members, American estimates cash payments under these programs to be approximately $50 million in the remainder of 2022 and approximately $20 million in 2023.</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$1.7 billion and $11.0 billion for the first six months of 2022 and 2021,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investing activities in the first six months of 2022 included $1.4 billion of capital expenditures, which principally related to the purchase of 14 Airbus A321neo aircraft and 10 spare engines. American also made a $200 million equity investment in GOL. Additionally, American incurred $156 million related to airport construction projects, net of reimbursements, principally in connection with the renovation and expansion of Terminal 8 at JFK and the modernization of Terminals 4 and 5 at LAX. These cash outflows were offset in part by $52 million in net sales of short-term investments.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principal investing activities in the first six months of 2021 included $11.0 billion in net purchases of short-term investments as well as a $404 million increase in restricted short-term investments primarily related to collateral for the AAdvantage Financing. Additionally, American incurred $77 million related to airport construction projects, net of reimbursements, principally in connection with the renovation and expansion of Terminal 8 at JFK and the modernization of Terminals 4 and 5 at LAX. These cash outflows were offset in part by $163 million of proceeds primarily from aircraft sale-leaseback transactions and $161 million of proceeds from the sale of property and equipment. Additionally, aircraft purchase deposit returns of $772 million exceeded American's capital expenditures for the first six months of 2021, which expenditures were principally related to the harmonization of interior configurations across its mainline fleet and the purchase of two Airbus A321neo aircraft.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American’s net cash used in financing activities was $319 million for the first six months of 2022 as compared to net cash provided by financing activities of $4.9 billion for the first six months of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financing activities in the first six months of 2022 included $901 million in repayments of debt and finance lease obligations, offset in part by $574 million of long-term debt proceeds from the issuance of equipment notes related to the 2021-1 Aircraft EETCs.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financing activities in the first six months of 2021 included $10.1 billion in proceeds from the issuance of debt, including approximately $10.0 billion associated with the AAdvantage Financing and the $150 million issuance of special facility revenue bonds related to JFK. These cash inflows were offset in part by $5.0 billion in debt repayments, including prepayments totaling $ 2.8 billion for American's revolving credit facilities and $550 million of outstanding loans under the Treasury Loan Agreement, and $1.6 billion in scheduled debt repayments. In addition, American had $165 million of deferred financing cost cash outflows.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June 30, 2022, AAG had $36.8 billion in long-term debt, including current maturities of $1.9 billion. As of June 30, 2022, American had $31.5 billion in long-term debt, including current maturities of $ 1.9 billion. All material changes in our significant indebtedness since our 2021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June 30, 2022,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2027 and</w:t>
            </w: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2022</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680" w:type="dxa"/>
            <w:vAlign w:val="bottom"/>
            <w:tcBorders>
              <w:bottom w:val="single" w:sz="8" w:color="CCEEFF"/>
            </w:tcBorders>
            <w:gridSpan w:val="2"/>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737 MAX Family </w:t>
            </w:r>
            <w:r>
              <w:rPr>
                <w:rFonts w:ascii="Arial" w:cs="Arial" w:eastAsia="Arial" w:hAnsi="Arial"/>
                <w:sz w:val="23"/>
                <w:szCs w:val="23"/>
                <w:color w:val="auto"/>
                <w:vertAlign w:val="superscript"/>
              </w:rPr>
              <w:t>(2)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which could be material, based on various potential factors including production delays by the manufacturer and regulatory concerns, such as those that have recently prevented The Boeing Company (Boeing) from timely delivering 787 Family aircraft.</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 xml:space="preserve">The table above and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reflect our exercise of purchase options for four Airbus A320neo Family aircraft in July 2022 and assume our exercise of seven purchase options for 737 MAX Family aircraft that we previously announced our intention to exercise over the course of 2022.</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56 spare engines to be delivered in 2022 and beyond.</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currently have financing commitments in place for all aircraft on order and scheduled to be delivered in 2022 except for five Airbus A320neo Family aircraft and three Embraer 175 aircraft. Our ability to draw on the financing commitments we have in place is subject to (1) the satisfaction of various terms and conditions, including in some cases, on our acquisition of the aircraft by a certain date and (2) the performance by the counterparty providing such financing commitments of its obligations thereunder. We do not have financing commitments in place for any of the aircraft scheduled to be delivered in 2023 and beyond, except for four Boeing 787 Family aircraft scheduled to be delivered in 2023 and five Boeing 787 Family aircraft scheduled to be delivered in 2024.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2021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material cash requirements from known contractual obligations as of June 30, 2022 (in millions). Except to the extent set forth in the applicable accompanying footnotes, the table does not include commitments that are contingent on events or other factors that are uncertain or unknown at this time.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2027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2022</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85,834</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92,481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$396 million and $25 million of unamortized debt discount, premium and issuance costs as of June 30, 2022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June 30, 2022.</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2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$9.4 billion of future principal payments and $1.5 billion of future interest payments as of June 30, 2022,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uncertainty surrounding the timing of delivery of certain aircraft, the amounts in the table represent our most current estimate; however, the actual delivery schedule may differ from the table above, potentially materially. Additionally, the amounts in the table exclude nine and four Boeing 787-8 aircraft to be delivered in 2022 and 2023, respectively, as well as five Boeing 787-9 aircraft to be delivered in 2024, in each case, for which we have obtained committed lease financing. This financing is reflected in the operating lease commitments line above.</w:t>
      </w:r>
    </w:p>
    <w:p>
      <w:pPr>
        <w:spacing w:after="0" w:line="125" w:lineRule="exact"/>
        <w:rPr>
          <w:sz w:val="20"/>
          <w:szCs w:val="20"/>
          <w:color w:val="auto"/>
        </w:rPr>
      </w:pPr>
    </w:p>
    <w:p>
      <w:pPr>
        <w:jc w:val="both"/>
        <w:ind w:left="340" w:hanging="332"/>
        <w:spacing w:after="0"/>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29"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2021 and is based on estimated payments through 2031.</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light of our significant cash needs, in particular during periods in which we incur operating losses (such as during the COVID-19 pandemic), as well as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impact of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2021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2021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69"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June 30,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forecasted fuel consumption, we estimate that a one cent per gallon increase in the price of aircraft fuel would increase our 2022 annual fuel expense by approximately $40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British pound sterling, various Latin American currencies, primarily the Brazilian real, Canadian dollar and Chinese yuan.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2022 variable-rate debt and short-term investments balances, annual interest expense on variable rate debt would increase by approximately $106 million and annual interest income on short-term investments would increase by approximately $125 million.</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the London interbank offered rate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secured overnight financing rate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June 30, 2022, we had $10.6 billion of borrowings linked to LIBOR. The replacement of LIBOR with a comparable or successor rate could cause the amount of interest payable on our long-term debt to be different or higher than expected.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June 30, 2022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June 30, 2022 at the reasonable assurance level.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the quarter ended June 30, 2022, there have been no changes in AAG’s or American’s internal control over financial reporting that have materially affected, or are reasonably likely to materially affect, AAG’s and American’s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2" w:lineRule="exact"/>
        <w:rPr>
          <w:sz w:val="20"/>
          <w:szCs w:val="20"/>
          <w:color w:val="auto"/>
        </w:rPr>
      </w:pPr>
    </w:p>
    <w:p>
      <w:pPr>
        <w:jc w:val="both"/>
        <w:ind w:left="260"/>
        <w:spacing w:after="0" w:line="261" w:lineRule="auto"/>
        <w:rPr>
          <w:sz w:val="20"/>
          <w:szCs w:val="20"/>
          <w:color w:val="auto"/>
        </w:rPr>
      </w:pPr>
      <w:r>
        <w:rPr>
          <w:rFonts w:ascii="Arial" w:cs="Arial" w:eastAsia="Arial" w:hAnsi="Arial"/>
          <w:sz w:val="18"/>
          <w:szCs w:val="18"/>
          <w:b w:val="1"/>
          <w:bCs w:val="1"/>
          <w:i w:val="1"/>
          <w:iCs w:val="1"/>
          <w:color w:val="auto"/>
        </w:rPr>
        <w:t>The outbreak and global spread of 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3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have resulted in significant volatility in demand for air travel, which has adversely affected our business, operations and financial condition to an unprecedented extent. Measures implemented during the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our business, operations and financial condition. We focused on reducing our capacity, making structural changes to our fleet, reducing costs including implementing voluntary leave and early retirement programs, preserving cash and improving our overall liquidity position. We reduced our system-wide capacity and, while we have increased capacity to match a subsequent recovery in demand for air travel, we will continue to monitor conditions and to proactively evaluate and adjust our schedule to match demand. Additionally, we retired certain mainline aircraft earlier than planned, including all of our Airbus A330, Boeing 757, Boeing 767 and Embraer 190 aircraft as well as certain regional aircraft, including all of our Embraer 140 and Bombardier CRJ200 aircraft, which we expect will allow us to be more efficient by reducing the number of sub-fleets we operate, and we have also placed a number of Boeing 737-800 aircraft into temporary storage. We moved quickly to attempt to better align our costs with our reduced schedule and implemented other cost-saving initiatives (including reductions in maintenance expense, marketing expense, event and training expense, airport facilities expense, salaries and benefits expense, and other volume-related expense reductions, including fuel). The duration and severity of the COVID-19 pandemic remain uncertain, and there can be no assurance that any of the mitigating actions we have taken will suffice to sustain our business and operations through this pandemic.</w:t>
      </w:r>
    </w:p>
    <w:p>
      <w:pPr>
        <w:spacing w:after="0" w:line="13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taken and may take additional actions to improve our financial position, including measures to improve liquidity, such as obtaining financial assistance under the CARES Act, the PSP Extension Law and the American Rescue Plan Act of 2021 (ARP). In 2020, we received approximately $6.0 billion in financial assistance from Treasury through PSP1 established under the CARES Act, and in 2021, we received approximately $3.5 billion in financial assistance from Treasury through PSP2 established under the PSP Extension Law and $3.3 billion in financial assistance from Treasury through PSP3 established under the ARP.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that certain levels of commercial air service be maintained;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The substance and duration of these restrictions may materially affect our operations, and we may not be successful in managing these impacts.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may pursue additional financing through, among other things,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measures we have taken to reduce our expenditures and to improve our liquidity, and any other strategic actions that we may take in the future in response to the COVID-19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full extent of the ongoing impact of the COVID -19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or the emergence of novel variants, and related travel advisories, restrictions and testing regimes; the supply of effective vaccines and success of efforts to deploy the vaccines;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federal vaccine mandates, including the willingness of our employees to comply with such mandates and potential conflict with actions by certain states that are in conflict with the federal mandate; the impact of the COVID-19 pandemic on the financial health and operations of our business partners and future governmental actions, all of which are highly uncertain and cannot be predicted. Despite recalling previously furloughed frontline team members and continuously hiring new employees, airlines have experienced, and may continue to experience, periodic staffing shortages which may result in flight cancellations and other operational disruptions. The emergence of novel variants, such as the fast-spreading omicron variant in late 2021, could result in a significant rise in global cases, which could lead to higher than normal employee absences. Continued volatility in demand for travel, coupled with the unpredictability of the ongoing pandemic, presents challenges in building and flying our schedule, in particular during peak travel periods.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3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COVID-19 pandemic has also caused significant disruption in global supply chains and staffing shortages, which have affected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have experienced acute shortages of personnel, resulting in increased delays, cancellations and, in certain cases, restrictions on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dependent upon effective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including to the extent it is not effective against any new COVID-19 variants, significant unplanned adverse reactions to the vaccine, politicization of the vaccine or general public distrust of the vaccine could prolong the pandemic and have an adverse effect on our business, financial condition and results of operations. Additionally, in September 2021, the Biden Administration issued an executive order mandating a COVID-19 vaccination requirement for federal contractors. Due to a number of our agreements, American 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Lawsuits have been filed in multiple jurisdictions challenging the order, and the U.S. District Court for the Southern District of Georgia in one of these cases issued a nationwide stay of enforcement of the executive order. The cases are currently before several U.S. Courts of Appeal and may ultimately be decided by the U.S. Supreme Court. Given the uncertainty of its viability in the courts, the timing of implementation and availability of accommodations, we cannot predict the impact of this federal vaccination requirement on our business. Moreover, we may be subject to state and local vaccine mandates and other COVID-19-related requirements governing airports where we operate. While the Occupational Health and Safety Administration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COVID-19 pandemic continues to evolve, and its ultimate impact remains highly uncertain and subject to change. Even once the pandemic subsides, demand for certain types of air travel may remain weak for a prolonged period due to, among other things, adverse changes in business travel patterns or perceived or actual economic factors such as declines in income levels and/or loss of wealth resulting from the impact of the COVID-19 pandemic. 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pandemic resulted in significant inflationary pressures, which have increased our costs for aircraft fuel, wages and benefits and other goods and services we require to operate our business, as well as increasing the interest expense on our variable-rate indebtedness. Accordingly, we cannot predict the ultimate impact of the COVID-19 pandemic or its after-effects on our business, financial condition and results of operations. Additionally, the COVID-19 pandemic has necessitated changes in business practices which may persist. For example, businesses and other travelers may continue to forego air travel in favor of remote or flexible working policies and communication alternatives such as videoconferencing. In addition, to the extent businesses continue to permit air travel during the COVID-19 pandemic, they are more likely to require the purchase of less expensive tickets to reduce costs, thereby potentially impacting our average revenue per available seat mile. See also </w:t>
      </w:r>
      <w:r>
        <w:rPr>
          <w:rFonts w:ascii="Arial" w:cs="Arial" w:eastAsia="Arial" w:hAnsi="Arial"/>
          <w:sz w:val="18"/>
          <w:szCs w:val="18"/>
          <w:i w:val="1"/>
          <w:iCs w:val="1"/>
          <w:color w:val="auto"/>
        </w:rPr>
        <w:t>“The outbreak and global spread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June 30, 2022, our planned aggregate expenditures for aircraft purchase commitments and certain engines on a consolidated basis for the remainder of 2022 through 2026 would be approximately $12.0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unfavorable market conditions; the availability of assets to use as collateral for loans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indebtedness, which has been reduced significantly as a result of certain financing transactions we have undertaken since the beginning of 2020 and may be further reduced; and the effect the COVID-19 pandemic has had on the global economy generally and the air transportation industry in particular. If we are unable to arrange any such required financing at customary advance rates and on terms and conditions acceptable to us, we may need to use cash from operations or cash on hand to purchase such aircraft and engines or fund such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1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87" w:lineRule="auto"/>
        <w:tabs>
          <w:tab w:leader="none" w:pos="19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8" w:lineRule="exact"/>
        <w:rPr>
          <w:rFonts w:ascii="Arial" w:cs="Arial" w:eastAsia="Arial" w:hAnsi="Arial"/>
          <w:sz w:val="18"/>
          <w:szCs w:val="18"/>
          <w:color w:val="auto"/>
        </w:rPr>
      </w:pPr>
    </w:p>
    <w:p>
      <w:pPr>
        <w:ind w:left="1940" w:hanging="636"/>
        <w:spacing w:after="0"/>
        <w:tabs>
          <w:tab w:leader="none" w:pos="1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continue to have on our business, we have obtained a significant amount of additional financing from a variety of sources and given continued uncertainty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3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June 30, 2022, we had $10.6 billion of borrowings linked to LIBOR. The replacement of LIBOR with a comparable or successor rate could cause the amount of interest payable on our long-term debt to be different or higher than expected.</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On March 11, 2021, the ARP was enacted, which included funding relief provisions benefiting single employer qualified retirement benefit pension plans such as those sponsored by American. Based on the ARP provisions applicable to our pension plans, we will have no additional funding requirements until 2023. We also have significant obligations for retiree medical and other postretirement benefits.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of the COVID-19 pandemic on demand for air travel and, in turn, capacity, we experienced a prolonged increase in demand from consumers for refunds on their tickets, and we cannot assure that we will not experience periods of elevated refund demand in the future. A material increase in requests for refunds and the ongoing impact of the COVID-19 pandemic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9"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ongoing COVID-19 pandemic;</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addition to the effects of the ongoing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outbreak and global spread of COVID-19 and government-imposed measures to prevent or reduce its spread have resulted in significant volatility in demand for air travel, the impacts of which have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2021, approximately 86% of our employees were represented for collective bargaining purposes by labor unions, and 45% were covered by CBAs that are currently amendable or that will become amendable within one year. For the dates that the CBAs with our major work groups become amendable under the RLA, see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reached or action is taken by Congress, the labor organization may exercise “self-help,” such as a strike, which could materially adversely affect our business, results of operations and financial condition.</w:t>
      </w:r>
    </w:p>
    <w:p>
      <w:pPr>
        <w:spacing w:after="0" w:line="9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05"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pandemic, these third-party operators have experienced difficulties in recruiting and retaining sufficient personnel to operate significantly increased schedules. We expect the disruption to services resulting from the COVID-19 pandemic and subsequent rapid return of demand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and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If our employees feel unsafe or believe that we are not doing enough to prevent and prosecute these incidents, we could experience higher rates of employee absence and we may suffer reputational harm which could make it more difficult to attract and retain employees, and which could in turn negatively affect our business, financial condition and results of operations.</w:t>
      </w:r>
    </w:p>
    <w:p>
      <w:pPr>
        <w:spacing w:after="0" w:line="216"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news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 demand for air travel recovers, assuming this change remains 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or reputational harm,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2021, we had approximately $17.2 billion of gross federal NOLs and $3.0 billion of other carryforwards available to reduce future federal taxable income, of which $6.9 billion will expire beginning in 2024 if unused and $13.3 billion can be carried forward indefinitely. We also had approximately $6.0 billion of NOL carryforwards to reduce future state taxable income at December 31, 2021, which will expire in taxable years 2021 through 2041 if unused. Our NOL carryforwards are subject to adjustment on audit by the Internal Revenue Service and the respective state taxing authorities. Additionally, due to the COVID-19 pandemic and other economic factors, the NOL carryforwards may expire before we can generate sufficient taxable income to use them.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ability to use our NOLs and other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$5.4 billion of unlimited NOLs still remaining at December 31, 2021)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 We are currently unable to predict whether such changes will occur. If such changes are enacted or implemented, we are currently unable to predict the ultimate impact on our business and therefore there can be no assurance our business will not be adversely affected.</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significantly heightened as a result of the effects of the COVID-19 pandemic on our flight schedules and business as well as the associated impact on values of certain aircraft and flight equipment. Such impairment charges could have a material adverse effect on our business, results of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 term survival at the expense of long-term viability.</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and several new entrants have announced their intention to start up new ultra-low-cost carriers.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 increases in our costs,</w:t>
      </w:r>
      <w:r>
        <w:rPr>
          <w:rFonts w:ascii="Arial" w:cs="Arial" w:eastAsia="Arial" w:hAnsi="Arial"/>
          <w:sz w:val="18"/>
          <w:szCs w:val="18"/>
          <w:color w:val="auto"/>
        </w:rPr>
        <w:t xml:space="preserve"> </w:t>
      </w:r>
      <w:r>
        <w:rPr>
          <w:rFonts w:ascii="Arial" w:cs="Arial" w:eastAsia="Arial" w:hAnsi="Arial"/>
          <w:sz w:val="18"/>
          <w:szCs w:val="18"/>
          <w:i w:val="1"/>
          <w:iCs w:val="1"/>
          <w:color w:val="auto"/>
        </w:rPr>
        <w:t>disruptions to our operations, limits on our operating flexibility, reductions in the demand for air travel, and competitive disadvantages.”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and other impacts resulting from the COVID-19 pandemic. In April 2022, the CMA adopted a second interim measures decision that effectively extends the EC commitments for a further two years until March 2026 in light of the uncertainty and other impacts resulting from the COVID-19 pandemic. The CMA plans to complete its investigation before the scheduled expiration of the interim measures in March 2026. The foregoing arrangements are important aspects of our international network and we are dependent on the performance and continued cooperation of the other airlines party to those arrangements.</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2021, we began implementing key aspects of our marketing relationship with JetBlue. This arrangement includes an alliance agreement with reciprocal codesharing on certain domestic and international routes from New York (JFK, LaGuardia Airport (LGA), and Newark Liberty International Airport) and Boston Logan International Airport, and provides for reciprocal loyalty program benefits. The arrangement does not include JetBlue’s transatlantic flying. Pursuant to federal law, American and JetBlue submitted this proposed alliance arrangement to the DOT for review. After American, JetBlue and the DOT agreed to a series of commitments, the DOT terminated its review of the proposed alliance in January 2021. The commitments include growth commitments to ensure capacity expansion, slot divestitures at JFK and at Ronald Reagan Washington National Airport (DCA) near Washington, D.C. and antitrust compliance measures. Beyond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United States Department of Justice (DOJ), joined by Attorneys General from six states and the District of Columbia, filed an antitrust complaint against American and JetBlue alleging that American and JetBlue violated U.S. antitrust laws in connection with the Northeast Alliance arrangement (NEA). We believe the complaint is without merit and intend to defend against it vigorously.</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Notwithstanding the DOT’s termination of its reviews of the NEA and certain other alliances, the DOT maintains authority to conduct investigations under the scope of its existing statutes and regulations, including conduct related to this alliance.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including with Alaska Airlines Group, Inc. and Qatar Airways Company Q.C.S.C., and, in certain instances, including China Southern Airlines, GOL and our previously announced proposed investment in JetSMART, by making a significant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global spread of COVID-19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2019 to June 30, 2022. In particular, fuel prices rose substantially in 2021, and significant price increases have continued in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June 30, 2022,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any failure of these technologies or systems could harm our business, results of operations and financial condition." </w:t>
      </w:r>
      <w:r>
        <w:rPr>
          <w:rFonts w:ascii="Arial" w:cs="Arial" w:eastAsia="Arial" w:hAnsi="Arial"/>
          <w:sz w:val="18"/>
          <w:szCs w:val="18"/>
          <w:color w:val="auto"/>
        </w:rPr>
        <w:t>The FAA also</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exercises comprehensive regulatory authority over nearly all technical aspects of our operations. Our failure to comply with such requirements has in the past and may in the future result in fines and other enforcement actions by the FAA or other regulators. We anticipate that the FAA will soon issue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In 2022, the DOT is expected to propose or implement a number of new regulations that will impact us, including disability rules for accessible lavatories and wheelchair assistance, refund requirements, display of ancillary fees during initial flights search, and refunds for checked bag fees in the event of certain delays in delivery.</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Additionally, in September</w:t>
      </w:r>
    </w:p>
    <w:p>
      <w:pPr>
        <w:spacing w:after="0" w:line="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2021, the Biden 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in that the federal vaccine mandate would require all of American’s U.S.-based team members and certain international crew members to be vaccinated or be exempt due to an accommodation for a medical disability or sincerely held religious belief. Lawsuits have been filed in multiple jurisdictions challenging the order, and the U.S. District Court for the Southern District of Georgia in one of these cases issued a nationwide stay of enforcement of the</w:t>
      </w:r>
    </w:p>
    <w:p>
      <w:pPr>
        <w:spacing w:after="0" w:line="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executive order. The cases are currently before several U.S. Courts of Appeal and may ultimately be decided by the U.S. Supreme Court. Given the uncertainty of its viability in the courts, the timing of implementation and availability of accommodations, we cannot predict the impact of this federal vaccination requirement on our business. Moreover, we may be subject to state and local vaccine mandates and other COVID-19-related requirements governing airports where we operate. While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12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9" w:lineRule="exact"/>
        <w:rPr>
          <w:sz w:val="20"/>
          <w:szCs w:val="20"/>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8" w:lineRule="exact"/>
        <w:rPr>
          <w:rFonts w:ascii="Arial" w:cs="Arial" w:eastAsia="Arial" w:hAnsi="Arial"/>
          <w:sz w:val="18"/>
          <w:szCs w:val="18"/>
          <w:color w:val="auto"/>
        </w:rPr>
      </w:pPr>
    </w:p>
    <w:p>
      <w:pPr>
        <w:jc w:val="both"/>
        <w:ind w:left="1300" w:right="20" w:hanging="644"/>
        <w:spacing w:after="0" w:line="268"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hanging="644"/>
        <w:spacing w:after="0" w:line="268"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 including the imposition of preflight testing regimes or vaccination confirmation requirements which have to date and may in the future have the effect of reducing demand for air travel in the markets where such requirements are imposed.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5"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12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 In particular, in October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The USTR subsequently imposed tariffs of up to 15% on certain imports from the EU, including on certain Airbus aircraft that we previously contracted to purchase and certain imported aircraft parts. In June 2021, the United States, the EU and the UK announced agreements to suspend the imposition of these tariffs, contingent upon each party remaining satisfied that subsidies do not arise. However, if and to the extent any of these tariffs are reimposed on us without any available means for us to mitigate or pass on the burden of these tariffs to Airbus, the effective cost of new Airbus aircraft required to implement our fleet plan would increase.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Brexit has also led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the CMA adopted interim measures that effectively extend the EC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commitments for an additional three years until March 2024 in light of the uncertainty and other impacts resulting from the COVID-19 pandemic. In April 2022, the CMA adopted a second interim measures decision that effectively extends the EC commitments for a further two years until March 2026 in light of the uncertainty and other impacts resulting from the COVID-19 pandemic. The CMA plans to complete its investigation before the interim measures are scheduled to expire in March 2026.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31"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54" w:lineRule="exact"/>
        <w:rPr>
          <w:sz w:val="20"/>
          <w:szCs w:val="20"/>
          <w:color w:val="auto"/>
        </w:rPr>
      </w:pPr>
    </w:p>
    <w:p>
      <w:pPr>
        <w:ind w:left="260"/>
        <w:spacing w:after="0" w:line="295"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3"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Domestic and Global Regulatory Landscape – Environmental Matters in our 2021 Form 10-K.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For example, in June 2022, the European Parliament and European Council adopted their respective positions on a set of measures to reform the EU Emissions Trading System (ETS) as part of the EU's "Fit for 55" program, an initiative published by the EC in July 2021. To the extent that the EC's initial proposals are adopted, these measures would expand the scope of the EU ETS to include emissions from all flights departing from an airport located in the European Economic Area (EEA); currently the EU ETS applies only to emissions from intra-EEA flights. These proposals, if enacted in the form proposed by the EC, may lead to increased expense related to the emissions of our flights departing from EEA airports.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will not rewrite the existing aircraft engine GHG emissions standards but will press for ambitious new aircraft GHG emission standards at international negotiations organized by the ICAO in late 2022. The development of new aircraft GHG emissions standards cannot be predicted at this time.</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EC has proposed the creation of a sustainable aviation fuel (SAF) blending mandate for aviation fuel suppliers set at 2% beginning in 2025 and rising to 63% by 2050, among other requirements. Individual EU member states have been developing their own requirements including, for example, a 1% SAF mandate in France that came into force on January 1, 2022. Whether these regulations will be finalized and the potential effects on our business are uncertain at this time.</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so-called “forever chemicals,” most notably per- and polyfluoroalkyl, substances (PFAS). Products containing PFAS have been used in manufacturing, industrial, and consumer applications over many decades, including those related to aviation. We may incur costs in connection with obligations to transition away from the usage of PFAS-containing products, to dispose of PFAS-containing waste or to remediate any PFAS contamination.</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These and other factors have contributed to a significant shortage of qualified, entry-level pilots, shortages of experienced pilots trained and ready for duty, and increased compensation costs, particularly for our regional subsidiaries and our other regional partners who are being required by market conditions to pay significantly increased wages and large signing and other bonuses to their pilots in an attempt to achieve desired staffing levels. The foregoing factors have also led to increased competition from large, mainline carriers attempting to meet their hiring needs and significant proposed increases in mainline pilot compensation. We believe that this industry-wide pilot shortage is becoming 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increasing problem for airlines in the United States.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2021, all of our mainline aircraft were manufactured by either Airbus or Boeing and all of our regional aircraft were manufactured by either Bombardier or Embraer. Further, our supplier base continues to consolidate as evidenced by the acquisition of Rockwell Collins by United Technologies and the transactions involving Airbus and Bombardier and Mitsubishi and Bombardier.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certify or operate our aircraft, even temporarily. For instance, in March 2019, the FAA ordered the grounding of all Boeing 737 MAX Family aircraft, which remained in place for over a year and was not lifted in the United States until November 2020, and in April 2021, we removed from operations, pending ongoing inspection and investigation, a subset of our Boeing 737 MAX Family aircraft after receipt of notice from Boeing of a potential electrical power system issue relating to those aircraft.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The limited number of these suppliers may also result in reduced competition and potentially higher prices than if the supplier base was less concentrated.</w:t>
      </w:r>
    </w:p>
    <w:p>
      <w:pPr>
        <w:spacing w:after="0" w:line="21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Repeated or prolonged delays in the production, delivery or induction of our new aircraft could require us to scale back our growth plans, reduce frequencies or forgo service entirely to certain markets, which could adversely affect our business, financial condition and results of operations.</w:t>
      </w:r>
    </w:p>
    <w:p>
      <w:pPr>
        <w:spacing w:after="0" w:line="22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January 18, 2022, major U.S. telecommunications companies agreed to delay the implementation of 5G near airports until July 5, 2022 while working with the FAA to develop long-term mitigations to support safe aviation operations. While the telecommunications industry agreed to delay the activation of 5G transmitters in close proximity to airports, it did move forward with the activation of a vast majority of 5G transmitters away from airports, and we expect that companies will continue expanding their 5G networks over the next several years. As a result, the FAA has taken precautionary steps to mitigate any remaining interference risks, which have resulted in minimal impacts to our operations, particularly in low-visibility conditions at certain airports and with our regional carriers. While we are working closely with the FAA and other aviation industry participants to develop a long-term strategy that permits the full implementation of the 5G spectrum without disruption to safe aviation operations, any new restrictions imposed to mitigate interference risks would require us to adjust our operating procedures and could impact our ability to operate certain aircraft or to serve certain markets. On June 17, 2022, the FAA announced that major U.S. telecommunications companies have agreed to continue to keep 5G mitigations beyond July 5, 2022, but simultaneously announced their expectation that the U.S. mainline commercial fleet to have radio altimeter retrofits or other enhancements in place by July 2023. We have signaled to the FAA our commitment to update our aircraft as soon as possible.</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We and our business partners have been the target of cybersecurity attacks and data breaches in the past and expect that we will continue to be in the future.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event of a data security incident. This regulatory environment is increasingly challenging and may present material obligations and risks to our business, including significantly expanded compliance burdens, costs and enforcement risks. For example, in May 2018, the EU’s General Data Protection Regulation, commonly referred to as GDPR, came into effect, which imposes a host of data privacy and security requirements, imposing significant costs on us and carrying substantial penalties for non-compliance.</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cybersecurity incident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For example, in March 2021, a sub-set of AAdvantage members as well as members of several other major airline loyalty programs received a notification about a security incident involving a limited amount of loyalty data held by a service provider.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 In addition, we use third-party service providers to help us deliver services to customers. These service providers may store personal information, credit card information and/or other confidential information. Such information may be the target of unauthorized access or subject to security breaches as a result of third-party action, employee error, malfeasance or otherwise. Any of these could (a) result in the loss of information, litigation, indemnity obligations, damage to our reputation and other liability, or (b) have a material adverse effect on our business, financial condition and results of operations.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increases the risk on our business in the event of a significant violation. Accordingly, failure to appropriately address data privacy and cybersecurity issues could result in material financial and other liabilities and cause significant reputational harm to our company.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In addition, our agreements with GDSs and other distribution channels are subject to periodic renegotiation, and our efforts to control our distribution costs depend on our ability to renew or continue these agreements on favorable terms. We cannot assure that we will be able to renew our distribution agreements on commercially acceptable terms, and any failure to do so could materially increase our costs, thereby adversely impacting our business, financial condition and results of operations.</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7"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Dallas/Fort Worth International Airport, JFK, Chicago O’Hare International Airport (ORD), LAX and LGA.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 -called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granted,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99"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future share repurchase programs and any future dividend payments that may be declared by our Board of Directors, or any future determination to cease repurchasing stock or paying dividends (which we have suspended for an indefinite period in accordance with the applicable requirements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closing price of our common stock on Nasdaq varied from $15.00 to $25.82 during 2021 and $12.16 to $20.22 during 2022 year-to-date through July 15, 2022.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1"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the PSP Extension Law and the ARP. Following the end of those restrictions, if we do decide to make repurchases of or pay dividends on our common stock, we cannot guarantee that we will continue to do so or that our capital deployment program will enhance long-term stockholder value.</w:t>
      </w:r>
    </w:p>
    <w:p>
      <w:pPr>
        <w:spacing w:after="0" w:line="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the PSP Extension Law, the ARP and other relevant factors. Our repurchase of AAG common stock may be limited, suspended or discontinued at any time at our discretion and without prior notice.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pay dividends on AAG common stock through September 30, 2022.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Exchange Act, which is filed as Exhibit 4.1 in our 2021 Form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Supplemental Agreement No. 23, dated as of May 5, 2022, to Purchase Agreement No. 03735 dated as of February 1, 2013, between American Airlines, Inc. and The Boeing Company.*</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24, dated as of June 6, 2022, to Purchase Agreement No. 03735 dated as of February 1, 2013, between American Airlines, Inc. and The Boeing Company.*</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Amendment, dated as of June 30, 2022, to the Promissory Notes and the Warrants issued by American Airlines Group Inc. to the United States Department of the Treasury.*</w:t>
      </w: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sz w:val="20"/>
          <w:szCs w:val="20"/>
          <w:color w:val="auto"/>
        </w:rPr>
      </w:pPr>
    </w:p>
    <w:p>
      <w:pPr>
        <w:ind w:right="20" w:firstLine="8"/>
        <w:spacing w:after="0" w:line="287" w:lineRule="auto"/>
        <w:tabs>
          <w:tab w:leader="none" w:pos="1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because it (i) is not material and (ii) would be competitively harmful if publicly disclosed.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July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25"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July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1" w:right="339" w:bottom="1440" w:gutter="0" w:footer="0" w:header="0"/>
        </w:sectPr>
      </w:pPr>
    </w:p>
    <w:bookmarkStart w:id="101" w:name="page102"/>
    <w:bookmarkEnd w:id="101"/>
    <w:p>
      <w:pPr>
        <w:ind w:left="1024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3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79"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23</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23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23</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May _</w:t>
      </w:r>
      <w:r>
        <w:rPr>
          <w:rFonts w:ascii="Arial" w:cs="Arial" w:eastAsia="Arial" w:hAnsi="Arial"/>
          <w:sz w:val="22"/>
          <w:szCs w:val="22"/>
          <w:u w:val="single" w:color="auto"/>
          <w:color w:val="auto"/>
        </w:rPr>
        <w:t>5</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264"/>
        <w:spacing w:after="0" w:line="220"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1-4R1 to the Purchase Agreement, Customer [****] with the execution of this SA-23, [****] in Attachment A(R5) to Letter Agreement No. AAL-PA-03735-LA-1106651R5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pursuant to the terms and conditions of the [****] Letter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WHEREAS, Boeing and Customer agree to [****] Letter Agreement No. AAL-PA-03735-LA-1605402 (including Attachments A and B) entitled [****] ([****] </w:t>
      </w:r>
      <w:r>
        <w:rPr>
          <w:rFonts w:ascii="Arial" w:cs="Arial" w:eastAsia="Arial" w:hAnsi="Arial"/>
          <w:sz w:val="21"/>
          <w:szCs w:val="21"/>
          <w:b w:val="1"/>
          <w:bCs w:val="1"/>
          <w:color w:val="auto"/>
        </w:rPr>
        <w:t>Letter Agreement</w:t>
      </w:r>
      <w:r>
        <w:rPr>
          <w:rFonts w:ascii="Arial" w:cs="Arial" w:eastAsia="Arial" w:hAnsi="Arial"/>
          <w:sz w:val="21"/>
          <w:szCs w:val="21"/>
          <w:color w:val="auto"/>
        </w:rPr>
        <w:t>) so that i) certain [****], ii) the [****], and iii) the [****].</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1620" w:hanging="640"/>
        <w:spacing w:after="0"/>
        <w:tabs>
          <w:tab w:leader="none" w:pos="162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SA-22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SA-23 in the footer to reflect changes made to the Purchase Agreement by this SA-23.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SA-23,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102" w:name="page103"/>
    <w:bookmarkEnd w:id="102"/>
    <w:p>
      <w:pPr>
        <w:spacing w:after="0" w:line="78" w:lineRule="exact"/>
        <w:rPr>
          <w:sz w:val="20"/>
          <w:szCs w:val="20"/>
          <w:color w:val="auto"/>
        </w:rPr>
      </w:pPr>
    </w:p>
    <w:p>
      <w:pPr>
        <w:ind w:left="1693" w:hanging="640"/>
        <w:spacing w:after="0"/>
        <w:tabs>
          <w:tab w:leader="none" w:pos="169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2"/>
          <w:szCs w:val="22"/>
          <w:u w:val="single" w:color="auto"/>
          <w:color w:val="auto"/>
        </w:rPr>
        <w:t>Table 1-4R1</w:t>
      </w:r>
      <w:r>
        <w:rPr>
          <w:rFonts w:ascii="Arial" w:cs="Arial" w:eastAsia="Arial" w:hAnsi="Arial"/>
          <w:sz w:val="22"/>
          <w:szCs w:val="22"/>
          <w:color w:val="auto"/>
        </w:rPr>
        <w:t>. Table 1-4R1 entitled “</w:t>
      </w:r>
      <w:r>
        <w:rPr>
          <w:rFonts w:ascii="Arial" w:cs="Arial" w:eastAsia="Arial" w:hAnsi="Arial"/>
          <w:sz w:val="22"/>
          <w:szCs w:val="22"/>
          <w:u w:val="single" w:color="auto"/>
          <w:color w:val="auto"/>
        </w:rPr>
        <w:t>737-8 [****] Aircraft Delivery, Description, Price and Advance Payments</w:t>
      </w:r>
      <w:r>
        <w:rPr>
          <w:rFonts w:ascii="Arial" w:cs="Arial" w:eastAsia="Arial" w:hAnsi="Arial"/>
          <w:sz w:val="22"/>
          <w:szCs w:val="22"/>
          <w:color w:val="auto"/>
        </w:rPr>
        <w:t>” is hereby deleted in its entirety and replaced with Table 1-4R2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SA-23 in the footer is hereby incorporated into the Purchase Agreement in replacement of Table 1-4R1. For avoidance of doubt, the only difference between Table 1-4R1 and Table 1-4R2 is the [****] in the Purchase Agreement, resulting in Table 1-4R2.</w:t>
      </w:r>
    </w:p>
    <w:p>
      <w:pPr>
        <w:spacing w:after="0" w:line="152" w:lineRule="exact"/>
        <w:rPr>
          <w:sz w:val="20"/>
          <w:szCs w:val="20"/>
          <w:color w:val="auto"/>
        </w:rPr>
      </w:pPr>
    </w:p>
    <w:p>
      <w:pPr>
        <w:ind w:left="1753" w:hanging="700"/>
        <w:spacing w:after="0"/>
        <w:tabs>
          <w:tab w:leader="none" w:pos="1753"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3.1 Letter Agreement No. AAL-PA-03735-LA-1106651R5 (including Attachment A(R5) entitled [****] is hereby deleted in its entirety and replaced with Letter Agreement No. AAL-PA-03735-LA-1106651R6 (including Attachment A(R6) (attached hereto) entitled [****] ( [****]) referencing SA-23 in the footer. The [****] is hereby incorporated into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-443230</wp:posOffset>
            </wp:positionV>
            <wp:extent cx="381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59" w:lineRule="exact"/>
        <w:rPr>
          <w:sz w:val="20"/>
          <w:szCs w:val="20"/>
          <w:color w:val="auto"/>
        </w:rPr>
      </w:pPr>
    </w:p>
    <w:p>
      <w:pPr>
        <w:jc w:val="both"/>
        <w:ind w:left="73" w:right="20" w:firstLine="648"/>
        <w:spacing w:after="0" w:line="236" w:lineRule="auto"/>
        <w:rPr>
          <w:sz w:val="20"/>
          <w:szCs w:val="20"/>
          <w:color w:val="auto"/>
        </w:rPr>
      </w:pPr>
      <w:r>
        <w:rPr>
          <w:rFonts w:ascii="Arial" w:cs="Arial" w:eastAsia="Arial" w:hAnsi="Arial"/>
          <w:sz w:val="22"/>
          <w:szCs w:val="22"/>
          <w:color w:val="auto"/>
        </w:rPr>
        <w:t xml:space="preserve">3.2 The parties agree that [****] Letter Agreement No. AAL-PA-03735-LA-1106652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178"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3.3 Letter Agreement No. AAL-PA-03735-LA-1605402 (including Attachments A and B) entitled [****] is hereby deleted in its entirety and replaced with Letter Agreement No. AAL-PA-03735-LA-1605402R1 (including Attachments A and B) entitled [****] ([****]) referencing SA-23 in the footer. The [****] is hereby incorporated into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-443230</wp:posOffset>
            </wp:positionV>
            <wp:extent cx="6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267" w:lineRule="exact"/>
        <w:rPr>
          <w:sz w:val="20"/>
          <w:szCs w:val="20"/>
          <w:color w:val="auto"/>
        </w:rPr>
      </w:pPr>
    </w:p>
    <w:p>
      <w:pPr>
        <w:ind w:left="713" w:hanging="713"/>
        <w:spacing w:after="0"/>
        <w:tabs>
          <w:tab w:leader="none" w:pos="713"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4.1 [****] for the [****], [****] ([****]) ([****] specified in Table 1-4R2 to the Purchase Agreement for the [****]) are [****] per [****] of the [****] and as specified in the [****] upon execution of this SA-23.</w:t>
      </w:r>
    </w:p>
    <w:p>
      <w:pPr>
        <w:spacing w:after="0" w:line="178" w:lineRule="exact"/>
        <w:rPr>
          <w:sz w:val="20"/>
          <w:szCs w:val="20"/>
          <w:color w:val="auto"/>
        </w:rPr>
      </w:pPr>
    </w:p>
    <w:p>
      <w:pPr>
        <w:ind w:left="713" w:hanging="713"/>
        <w:spacing w:after="0"/>
        <w:tabs>
          <w:tab w:leader="none" w:pos="71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1-4R2, the Revised Option Aircraft Letter Agreement, and the [****].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and Table 1-4R2”:</w:t>
      </w:r>
    </w:p>
    <w:p>
      <w:pPr>
        <w:spacing w:after="0" w:line="133" w:lineRule="exact"/>
        <w:rPr>
          <w:sz w:val="20"/>
          <w:szCs w:val="20"/>
          <w:color w:val="auto"/>
        </w:rPr>
      </w:pPr>
    </w:p>
    <w:p>
      <w:pPr>
        <w:ind w:left="1373" w:hanging="320"/>
        <w:spacing w:after="0"/>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1R11, Table 1-2, and Table 1-3R5”,</w:t>
      </w:r>
    </w:p>
    <w:p>
      <w:pPr>
        <w:ind w:left="1373" w:hanging="320"/>
        <w:spacing w:after="0"/>
        <w:tabs>
          <w:tab w:leader="none" w:pos="1373"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and Table 1-3R6”,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SA-23,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40" w:right="339" w:bottom="1440" w:gutter="0" w:footer="0" w:header="0"/>
        </w:sectPr>
      </w:pPr>
    </w:p>
    <w:bookmarkStart w:id="103" w:name="page104"/>
    <w:bookmarkEnd w:id="103"/>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w:t>
      </w:r>
    </w:p>
    <w:p>
      <w:pPr>
        <w:ind w:left="1300" w:hanging="320"/>
        <w:spacing w:after="0"/>
        <w:tabs>
          <w:tab w:leader="none" w:pos="1300" w:val="left"/>
        </w:tabs>
        <w:numPr>
          <w:ilvl w:val="0"/>
          <w:numId w:val="53"/>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05" w:lineRule="auto"/>
        <w:rPr>
          <w:sz w:val="20"/>
          <w:szCs w:val="20"/>
          <w:color w:val="auto"/>
        </w:rPr>
      </w:pPr>
      <w:r>
        <w:rPr>
          <w:rFonts w:ascii="Arial" w:cs="Arial" w:eastAsia="Arial" w:hAnsi="Arial"/>
          <w:sz w:val="21"/>
          <w:szCs w:val="21"/>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Letter Agreement AAL-PA-LA-1106650R4 entitled “[****]” is deemed to only refer to Table 1R12 and the references to Table 1R5 in the Slide Letter Agreement remain references to Table 1R5.</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26" w:lineRule="auto"/>
        <w:rPr>
          <w:sz w:val="20"/>
          <w:szCs w:val="20"/>
          <w:color w:val="auto"/>
        </w:rPr>
      </w:pPr>
      <w:r>
        <w:rPr>
          <w:rFonts w:ascii="Arial" w:cs="Arial" w:eastAsia="Arial" w:hAnsi="Arial"/>
          <w:sz w:val="21"/>
          <w:szCs w:val="21"/>
          <w:color w:val="auto"/>
        </w:rPr>
        <w:t>“Table 1R6”, “Table 1R7”, “Table 1R8”, “Table 1R9”, “Table 1R10” or “Table 1R11” (where no corresponding reference to either Table 1-2 or Table 1-3 is made) are deemed to refer to only “Table 1R12”.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Additionally, for the avoidance of doubt, references in the Purchase Agreement and any supplemental agreements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and associated letter agreements to “Table 1-2” (where no corresponding reference to Table 1R4 or Table 1R5 is made) remain references to “Table 1-2”.</w:t>
      </w:r>
    </w:p>
    <w:p>
      <w:pPr>
        <w:spacing w:after="0" w:line="13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158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760" w:type="dxa"/>
            <w:vAlign w:val="bottom"/>
            <w:gridSpan w:val="2"/>
          </w:tcPr>
          <w:p>
            <w:pPr>
              <w:ind w:left="20"/>
              <w:spacing w:after="0"/>
              <w:rPr>
                <w:sz w:val="20"/>
                <w:szCs w:val="20"/>
                <w:color w:val="auto"/>
              </w:rPr>
            </w:pPr>
            <w:r>
              <w:rPr>
                <w:rFonts w:ascii="Arial" w:cs="Arial" w:eastAsia="Arial" w:hAnsi="Arial"/>
                <w:sz w:val="22"/>
                <w:szCs w:val="22"/>
                <w:color w:val="auto"/>
              </w:rPr>
              <w:t>Letter</w:t>
            </w:r>
          </w:p>
        </w:tc>
        <w:tc>
          <w:tcPr>
            <w:tcW w:w="4220" w:type="dxa"/>
            <w:vAlign w:val="bottom"/>
            <w:tcBorders>
              <w:right w:val="single" w:sz="8" w:color="auto"/>
            </w:tcBorders>
            <w:gridSpan w:val="2"/>
          </w:tcPr>
          <w:p>
            <w:pPr>
              <w:ind w:left="180"/>
              <w:spacing w:after="0"/>
              <w:rPr>
                <w:sz w:val="20"/>
                <w:szCs w:val="20"/>
                <w:color w:val="auto"/>
              </w:rPr>
            </w:pPr>
            <w:r>
              <w:rPr>
                <w:rFonts w:ascii="Arial" w:cs="Arial" w:eastAsia="Arial" w:hAnsi="Arial"/>
                <w:sz w:val="22"/>
                <w:szCs w:val="22"/>
                <w:color w:val="auto"/>
              </w:rPr>
              <w:t>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color w:val="auto"/>
              </w:rPr>
              <w:t>1106651R5</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1106651R6</w:t>
            </w: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920" w:type="dxa"/>
            <w:vAlign w:val="bottom"/>
            <w:tcBorders>
              <w:bottom w:val="single" w:sz="8" w:color="auto"/>
              <w:right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345"/>
        </w:trPr>
        <w:tc>
          <w:tcPr>
            <w:tcW w:w="496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2"/>
                <w:szCs w:val="22"/>
                <w:color w:val="auto"/>
                <w:w w:val="99"/>
              </w:rPr>
              <w:t>Letter Agreement No. AAL-PA-03735-LA-1605402</w:t>
            </w:r>
          </w:p>
        </w:tc>
        <w:tc>
          <w:tcPr>
            <w:tcW w:w="760" w:type="dxa"/>
            <w:vAlign w:val="bottom"/>
            <w:gridSpan w:val="2"/>
          </w:tcPr>
          <w:p>
            <w:pPr>
              <w:ind w:left="20"/>
              <w:spacing w:after="0"/>
              <w:rPr>
                <w:sz w:val="20"/>
                <w:szCs w:val="20"/>
                <w:color w:val="auto"/>
              </w:rPr>
            </w:pPr>
            <w:r>
              <w:rPr>
                <w:rFonts w:ascii="Arial" w:cs="Arial" w:eastAsia="Arial" w:hAnsi="Arial"/>
                <w:sz w:val="22"/>
                <w:szCs w:val="22"/>
                <w:color w:val="auto"/>
              </w:rPr>
              <w:t>Letter</w:t>
            </w:r>
          </w:p>
        </w:tc>
        <w:tc>
          <w:tcPr>
            <w:tcW w:w="4220" w:type="dxa"/>
            <w:vAlign w:val="bottom"/>
            <w:tcBorders>
              <w:right w:val="single" w:sz="8" w:color="auto"/>
            </w:tcBorders>
            <w:gridSpan w:val="2"/>
          </w:tcPr>
          <w:p>
            <w:pPr>
              <w:ind w:left="180"/>
              <w:spacing w:after="0"/>
              <w:rPr>
                <w:sz w:val="20"/>
                <w:szCs w:val="20"/>
                <w:color w:val="auto"/>
              </w:rPr>
            </w:pPr>
            <w:r>
              <w:rPr>
                <w:rFonts w:ascii="Arial" w:cs="Arial" w:eastAsia="Arial" w:hAnsi="Arial"/>
                <w:sz w:val="22"/>
                <w:szCs w:val="22"/>
                <w:color w:val="auto"/>
              </w:rPr>
              <w:t>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1605402R1</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SA-23,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283" w:right="339" w:bottom="1440" w:gutter="0" w:footer="0" w:header="0"/>
        </w:sectPr>
      </w:pPr>
    </w:p>
    <w:bookmarkStart w:id="104" w:name="page105"/>
    <w:bookmarkEnd w:id="104"/>
    <w:p>
      <w:pPr>
        <w:ind w:left="454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SA-23, Page 4</w:t>
      </w:r>
    </w:p>
    <w:p>
      <w:pPr>
        <w:spacing w:after="0" w:line="179"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301" w:right="1440" w:bottom="1440" w:gutter="0" w:footer="0" w:header="0"/>
        </w:sectPr>
      </w:pPr>
    </w:p>
    <w:bookmarkStart w:id="105" w:name="page106"/>
    <w:bookmarkEnd w:id="105"/>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SA-23</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06" w:name="page107"/>
    <w:bookmarkEnd w:id="106"/>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154"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1R12</w:t>
      </w:r>
    </w:p>
    <w:p>
      <w:pPr>
        <w:jc w:val="center"/>
        <w:ind w:left="56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29"/>
        </w:trPr>
        <w:tc>
          <w:tcPr>
            <w:tcW w:w="75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r>
      <w:tr>
        <w:trPr>
          <w:trHeight w:val="386"/>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716"/>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r>
      <w:tr>
        <w:trPr>
          <w:trHeight w:val="323"/>
        </w:trPr>
        <w:tc>
          <w:tcPr>
            <w:tcW w:w="754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23</w:t>
            </w:r>
          </w:p>
        </w:tc>
      </w:tr>
      <w:tr>
        <w:trPr>
          <w:trHeight w:val="623"/>
        </w:trPr>
        <w:tc>
          <w:tcPr>
            <w:tcW w:w="754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spacing w:after="0" w:line="68" w:lineRule="exact"/>
        <w:rPr>
          <w:sz w:val="20"/>
          <w:szCs w:val="20"/>
          <w:color w:val="auto"/>
        </w:rPr>
      </w:pPr>
    </w:p>
    <w:p>
      <w:pPr>
        <w:ind w:right="360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 w:lineRule="exact"/>
        <w:rPr>
          <w:sz w:val="20"/>
          <w:szCs w:val="20"/>
          <w:color w:val="auto"/>
        </w:rPr>
      </w:pPr>
    </w:p>
    <w:p>
      <w:pPr>
        <w:sectPr>
          <w:pgSz w:w="11900" w:h="16838" w:orient="portrait"/>
          <w:cols w:equalWidth="0" w:num="2">
            <w:col w:w="1680" w:space="720"/>
            <w:col w:w="8500"/>
          </w:cols>
          <w:pgMar w:left="400" w:top="116" w:right="599" w:bottom="20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940" w:type="dxa"/>
            <w:vAlign w:val="bottom"/>
          </w:tcPr>
          <w:p>
            <w:pPr>
              <w:jc w:val="center"/>
              <w:ind w:left="212"/>
              <w:spacing w:after="0"/>
              <w:rPr>
                <w:sz w:val="20"/>
                <w:szCs w:val="20"/>
                <w:color w:val="auto"/>
              </w:rPr>
            </w:pPr>
            <w:r>
              <w:rPr>
                <w:rFonts w:ascii="Arial" w:cs="Arial" w:eastAsia="Arial" w:hAnsi="Arial"/>
                <w:sz w:val="22"/>
                <w:szCs w:val="22"/>
                <w:color w:val="auto"/>
                <w:w w:val="96"/>
              </w:rPr>
              <w:t>AE1.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40" w:type="dxa"/>
            <w:vAlign w:val="bottom"/>
          </w:tcPr>
          <w:p>
            <w:pPr>
              <w:jc w:val="center"/>
              <w:ind w:left="192"/>
              <w:spacing w:after="0"/>
              <w:rPr>
                <w:sz w:val="20"/>
                <w:szCs w:val="20"/>
                <w:color w:val="auto"/>
              </w:rPr>
            </w:pPr>
            <w:r>
              <w:rPr>
                <w:rFonts w:ascii="Arial" w:cs="Arial" w:eastAsia="Arial" w:hAnsi="Arial"/>
                <w:sz w:val="22"/>
                <w:szCs w:val="22"/>
                <w:color w:val="auto"/>
                <w:w w:val="98"/>
              </w:rPr>
              <w:t>BFE1.</w:t>
            </w:r>
          </w:p>
        </w:tc>
        <w:tc>
          <w:tcPr>
            <w:tcW w:w="420" w:type="dxa"/>
            <w:vAlign w:val="bottom"/>
          </w:tcPr>
          <w:p>
            <w:pPr>
              <w:spacing w:after="0"/>
              <w:rPr>
                <w:sz w:val="24"/>
                <w:szCs w:val="24"/>
                <w:color w:val="auto"/>
              </w:rPr>
            </w:pPr>
          </w:p>
        </w:tc>
        <w:tc>
          <w:tcPr>
            <w:tcW w:w="5720" w:type="dxa"/>
            <w:vAlign w:val="bottom"/>
            <w:gridSpan w:val="3"/>
            <w:vMerge w:val="restart"/>
          </w:tcPr>
          <w:p>
            <w:pPr>
              <w:ind w:left="40"/>
              <w:spacing w:after="0"/>
              <w:rPr>
                <w:sz w:val="20"/>
                <w:szCs w:val="20"/>
                <w:color w:val="auto"/>
              </w:rPr>
            </w:pPr>
            <w:r>
              <w:rPr>
                <w:rFonts w:ascii="Arial" w:cs="Arial" w:eastAsia="Arial" w:hAnsi="Arial"/>
                <w:sz w:val="22"/>
                <w:szCs w:val="22"/>
                <w:color w:val="auto"/>
              </w:rPr>
              <w:t>BFE Variables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720" w:type="dxa"/>
            <w:vAlign w:val="bottom"/>
            <w:gridSpan w:val="3"/>
            <w:vMerge w:val="continue"/>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40" w:type="dxa"/>
            <w:vAlign w:val="bottom"/>
          </w:tcPr>
          <w:p>
            <w:pPr>
              <w:jc w:val="center"/>
              <w:ind w:left="212"/>
              <w:spacing w:after="0"/>
              <w:rPr>
                <w:sz w:val="20"/>
                <w:szCs w:val="20"/>
                <w:color w:val="auto"/>
              </w:rPr>
            </w:pPr>
            <w:r>
              <w:rPr>
                <w:rFonts w:ascii="Arial" w:cs="Arial" w:eastAsia="Arial" w:hAnsi="Arial"/>
                <w:sz w:val="22"/>
                <w:szCs w:val="22"/>
                <w:color w:val="auto"/>
                <w:w w:val="96"/>
              </w:rPr>
              <w:t>CS1R1.</w:t>
            </w:r>
          </w:p>
        </w:tc>
        <w:tc>
          <w:tcPr>
            <w:tcW w:w="420" w:type="dxa"/>
            <w:vAlign w:val="bottom"/>
          </w:tcPr>
          <w:p>
            <w:pPr>
              <w:spacing w:after="0"/>
              <w:rPr>
                <w:sz w:val="24"/>
                <w:szCs w:val="24"/>
                <w:color w:val="auto"/>
              </w:rPr>
            </w:pPr>
          </w:p>
        </w:tc>
        <w:tc>
          <w:tcPr>
            <w:tcW w:w="5720" w:type="dxa"/>
            <w:vAlign w:val="bottom"/>
            <w:gridSpan w:val="3"/>
            <w:vMerge w:val="restart"/>
          </w:tcPr>
          <w:p>
            <w:pPr>
              <w:ind w:left="40"/>
              <w:spacing w:after="0"/>
              <w:rPr>
                <w:sz w:val="20"/>
                <w:szCs w:val="20"/>
                <w:color w:val="auto"/>
              </w:rPr>
            </w:pPr>
            <w:r>
              <w:rPr>
                <w:rFonts w:ascii="Arial" w:cs="Arial" w:eastAsia="Arial" w:hAnsi="Arial"/>
                <w:sz w:val="22"/>
                <w:szCs w:val="22"/>
                <w:color w:val="auto"/>
              </w:rPr>
              <w:t>Customer Support Variables</w:t>
            </w:r>
          </w:p>
        </w:tc>
        <w:tc>
          <w:tcPr>
            <w:tcW w:w="2460" w:type="dxa"/>
            <w:vAlign w:val="bottom"/>
            <w:vMerge w:val="restart"/>
          </w:tcPr>
          <w:p>
            <w:pPr>
              <w:jc w:val="center"/>
              <w:ind w:left="211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720" w:type="dxa"/>
            <w:vAlign w:val="bottom"/>
            <w:gridSpan w:val="3"/>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1940" w:type="dxa"/>
            <w:vAlign w:val="bottom"/>
          </w:tcPr>
          <w:p>
            <w:pPr>
              <w:jc w:val="center"/>
              <w:ind w:left="212"/>
              <w:spacing w:after="0"/>
              <w:rPr>
                <w:sz w:val="20"/>
                <w:szCs w:val="20"/>
                <w:color w:val="auto"/>
              </w:rPr>
            </w:pPr>
            <w:r>
              <w:rPr>
                <w:rFonts w:ascii="Arial" w:cs="Arial" w:eastAsia="Arial" w:hAnsi="Arial"/>
                <w:sz w:val="22"/>
                <w:szCs w:val="22"/>
                <w:color w:val="auto"/>
                <w:w w:val="96"/>
              </w:rPr>
              <w:t>EE1.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40" w:type="dxa"/>
            <w:vAlign w:val="bottom"/>
          </w:tcPr>
          <w:p>
            <w:pPr>
              <w:jc w:val="center"/>
              <w:ind w:left="212"/>
              <w:spacing w:after="0"/>
              <w:rPr>
                <w:sz w:val="20"/>
                <w:szCs w:val="20"/>
                <w:color w:val="auto"/>
              </w:rPr>
            </w:pPr>
            <w:r>
              <w:rPr>
                <w:rFonts w:ascii="Arial" w:cs="Arial" w:eastAsia="Arial" w:hAnsi="Arial"/>
                <w:sz w:val="22"/>
                <w:szCs w:val="22"/>
                <w:color w:val="auto"/>
                <w:w w:val="96"/>
              </w:rPr>
              <w:t>SLP1.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7"/>
              </w:rPr>
              <w:t>LETTER AGREEMENTS</w:t>
            </w:r>
          </w:p>
        </w:tc>
        <w:tc>
          <w:tcPr>
            <w:tcW w:w="5660" w:type="dxa"/>
            <w:vAlign w:val="bottom"/>
            <w:gridSpan w:val="2"/>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940" w:type="dxa"/>
            <w:vAlign w:val="bottom"/>
          </w:tcPr>
          <w:p>
            <w:pPr>
              <w:spacing w:after="0"/>
              <w:rPr>
                <w:sz w:val="20"/>
                <w:szCs w:val="20"/>
                <w:color w:val="auto"/>
              </w:rPr>
            </w:pPr>
            <w:r>
              <w:rPr>
                <w:rFonts w:ascii="Arial" w:cs="Arial" w:eastAsia="Arial" w:hAnsi="Arial"/>
                <w:sz w:val="22"/>
                <w:szCs w:val="22"/>
                <w:color w:val="auto"/>
              </w:rPr>
              <w:t>LA-1106648R1</w:t>
            </w:r>
          </w:p>
        </w:tc>
        <w:tc>
          <w:tcPr>
            <w:tcW w:w="420" w:type="dxa"/>
            <w:vAlign w:val="bottom"/>
          </w:tcPr>
          <w:p>
            <w:pPr>
              <w:spacing w:after="0"/>
              <w:rPr>
                <w:sz w:val="24"/>
                <w:szCs w:val="24"/>
                <w:color w:val="auto"/>
              </w:rPr>
            </w:pPr>
          </w:p>
        </w:tc>
        <w:tc>
          <w:tcPr>
            <w:tcW w:w="5720" w:type="dxa"/>
            <w:vAlign w:val="bottom"/>
            <w:gridSpan w:val="3"/>
          </w:tcPr>
          <w:p>
            <w:pPr>
              <w:ind w:left="40"/>
              <w:spacing w:after="0"/>
              <w:rPr>
                <w:sz w:val="20"/>
                <w:szCs w:val="20"/>
                <w:color w:val="auto"/>
              </w:rPr>
            </w:pPr>
            <w:r>
              <w:rPr>
                <w:rFonts w:ascii="Arial" w:cs="Arial" w:eastAsia="Arial" w:hAnsi="Arial"/>
                <w:sz w:val="22"/>
                <w:szCs w:val="22"/>
                <w:color w:val="auto"/>
              </w:rPr>
              <w:t>Special Matters</w:t>
            </w: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LA-1106649</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LA-1106650R6</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44"/>
        </w:trPr>
        <w:tc>
          <w:tcPr>
            <w:tcW w:w="1940" w:type="dxa"/>
            <w:vAlign w:val="bottom"/>
          </w:tcPr>
          <w:p>
            <w:pPr>
              <w:spacing w:after="0"/>
              <w:rPr>
                <w:sz w:val="20"/>
                <w:szCs w:val="20"/>
                <w:color w:val="auto"/>
              </w:rPr>
            </w:pPr>
            <w:r>
              <w:rPr>
                <w:rFonts w:ascii="Arial" w:cs="Arial" w:eastAsia="Arial" w:hAnsi="Arial"/>
                <w:sz w:val="22"/>
                <w:szCs w:val="22"/>
                <w:b w:val="1"/>
                <w:bCs w:val="1"/>
                <w:color w:val="auto"/>
              </w:rPr>
              <w:t>LA-1106651R6</w:t>
            </w:r>
          </w:p>
        </w:tc>
        <w:tc>
          <w:tcPr>
            <w:tcW w:w="2860" w:type="dxa"/>
            <w:vAlign w:val="bottom"/>
            <w:gridSpan w:val="3"/>
          </w:tcPr>
          <w:p>
            <w:pPr>
              <w:ind w:left="460"/>
              <w:spacing w:after="0"/>
              <w:rPr>
                <w:sz w:val="20"/>
                <w:szCs w:val="20"/>
                <w:color w:val="auto"/>
              </w:rPr>
            </w:pPr>
            <w:r>
              <w:rPr>
                <w:rFonts w:ascii="Arial" w:cs="Arial" w:eastAsia="Arial" w:hAnsi="Arial"/>
                <w:sz w:val="19"/>
                <w:szCs w:val="19"/>
                <w:b w:val="1"/>
                <w:bCs w:val="1"/>
                <w:color w:val="auto"/>
              </w:rPr>
              <w:t>[****]</w:t>
            </w:r>
          </w:p>
        </w:tc>
        <w:tc>
          <w:tcPr>
            <w:tcW w:w="3280" w:type="dxa"/>
            <w:vAlign w:val="bottom"/>
          </w:tcPr>
          <w:p>
            <w:pPr>
              <w:spacing w:after="0"/>
              <w:rPr>
                <w:sz w:val="24"/>
                <w:szCs w:val="24"/>
                <w:color w:val="auto"/>
              </w:rPr>
            </w:pPr>
          </w:p>
        </w:tc>
        <w:tc>
          <w:tcPr>
            <w:tcW w:w="2460" w:type="dxa"/>
            <w:vAlign w:val="bottom"/>
          </w:tcPr>
          <w:p>
            <w:pPr>
              <w:jc w:val="center"/>
              <w:ind w:left="2112"/>
              <w:spacing w:after="0"/>
              <w:rPr>
                <w:sz w:val="20"/>
                <w:szCs w:val="20"/>
                <w:color w:val="auto"/>
              </w:rPr>
            </w:pPr>
            <w:r>
              <w:rPr>
                <w:rFonts w:ascii="Arial" w:cs="Arial" w:eastAsia="Arial" w:hAnsi="Arial"/>
                <w:sz w:val="22"/>
                <w:szCs w:val="22"/>
                <w:b w:val="1"/>
                <w:bCs w:val="1"/>
                <w:color w:val="auto"/>
                <w:w w:val="97"/>
              </w:rPr>
              <w:t>23</w:t>
            </w:r>
          </w:p>
        </w:tc>
        <w:tc>
          <w:tcPr>
            <w:tcW w:w="0" w:type="dxa"/>
            <w:vAlign w:val="bottom"/>
          </w:tcPr>
          <w:p>
            <w:pPr>
              <w:spacing w:after="0"/>
              <w:rPr>
                <w:sz w:val="1"/>
                <w:szCs w:val="1"/>
                <w:color w:val="auto"/>
              </w:rPr>
            </w:pPr>
          </w:p>
        </w:tc>
      </w:tr>
      <w:tr>
        <w:trPr>
          <w:trHeight w:val="420"/>
        </w:trPr>
        <w:tc>
          <w:tcPr>
            <w:tcW w:w="1940" w:type="dxa"/>
            <w:vAlign w:val="bottom"/>
          </w:tcPr>
          <w:p>
            <w:pPr>
              <w:spacing w:after="0"/>
              <w:rPr>
                <w:sz w:val="20"/>
                <w:szCs w:val="20"/>
                <w:color w:val="auto"/>
              </w:rPr>
            </w:pPr>
            <w:r>
              <w:rPr>
                <w:rFonts w:ascii="Arial" w:cs="Arial" w:eastAsia="Arial" w:hAnsi="Arial"/>
                <w:sz w:val="22"/>
                <w:szCs w:val="22"/>
                <w:color w:val="auto"/>
              </w:rPr>
              <w:t>LA-1106652R1</w:t>
            </w:r>
          </w:p>
        </w:tc>
        <w:tc>
          <w:tcPr>
            <w:tcW w:w="420" w:type="dxa"/>
            <w:vAlign w:val="bottom"/>
          </w:tcPr>
          <w:p>
            <w:pPr>
              <w:spacing w:after="0"/>
              <w:rPr>
                <w:sz w:val="24"/>
                <w:szCs w:val="24"/>
                <w:color w:val="auto"/>
              </w:rPr>
            </w:pPr>
          </w:p>
        </w:tc>
        <w:tc>
          <w:tcPr>
            <w:tcW w:w="5720" w:type="dxa"/>
            <w:vAlign w:val="bottom"/>
            <w:gridSpan w:val="3"/>
          </w:tcPr>
          <w:p>
            <w:pPr>
              <w:ind w:left="40"/>
              <w:spacing w:after="0"/>
              <w:rPr>
                <w:sz w:val="20"/>
                <w:szCs w:val="20"/>
                <w:color w:val="auto"/>
              </w:rPr>
            </w:pPr>
            <w:r>
              <w:rPr>
                <w:rFonts w:ascii="Arial" w:cs="Arial" w:eastAsia="Arial" w:hAnsi="Arial"/>
                <w:sz w:val="22"/>
                <w:szCs w:val="22"/>
                <w:color w:val="auto"/>
              </w:rPr>
              <w:t>Aircraft Model Substitution</w:t>
            </w: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LA-1106654</w:t>
            </w:r>
          </w:p>
        </w:tc>
        <w:tc>
          <w:tcPr>
            <w:tcW w:w="420" w:type="dxa"/>
            <w:vAlign w:val="bottom"/>
          </w:tcPr>
          <w:p>
            <w:pPr>
              <w:spacing w:after="0"/>
              <w:rPr>
                <w:sz w:val="24"/>
                <w:szCs w:val="24"/>
                <w:color w:val="auto"/>
              </w:rPr>
            </w:pPr>
          </w:p>
        </w:tc>
        <w:tc>
          <w:tcPr>
            <w:tcW w:w="5720" w:type="dxa"/>
            <w:vAlign w:val="bottom"/>
            <w:gridSpan w:val="3"/>
          </w:tcPr>
          <w:p>
            <w:pPr>
              <w:ind w:left="40"/>
              <w:spacing w:after="0"/>
              <w:rPr>
                <w:sz w:val="20"/>
                <w:szCs w:val="20"/>
                <w:color w:val="auto"/>
              </w:rPr>
            </w:pPr>
            <w:r>
              <w:rPr>
                <w:rFonts w:ascii="Arial" w:cs="Arial" w:eastAsia="Arial" w:hAnsi="Arial"/>
                <w:sz w:val="22"/>
                <w:szCs w:val="22"/>
                <w:color w:val="auto"/>
              </w:rPr>
              <w:t>AGTA Terms Revisions for MAX</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strike w:val="1"/>
              </w:rPr>
              <w:t>LA-1106655</w:t>
            </w:r>
          </w:p>
        </w:tc>
        <w:tc>
          <w:tcPr>
            <w:tcW w:w="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strike w:val="1"/>
                <w:w w:val="97"/>
              </w:rPr>
              <w:t>Open Matters – 737 MAX</w:t>
            </w:r>
          </w:p>
        </w:tc>
        <w:tc>
          <w:tcPr>
            <w:tcW w:w="3280" w:type="dxa"/>
            <w:vAlign w:val="bottom"/>
          </w:tcPr>
          <w:p>
            <w:pPr>
              <w:ind w:left="60"/>
              <w:spacing w:after="0"/>
              <w:rPr>
                <w:sz w:val="20"/>
                <w:szCs w:val="20"/>
                <w:color w:val="auto"/>
              </w:rPr>
            </w:pPr>
            <w:r>
              <w:rPr>
                <w:rFonts w:ascii="Arial" w:cs="Arial" w:eastAsia="Arial" w:hAnsi="Arial"/>
                <w:sz w:val="22"/>
                <w:szCs w:val="22"/>
                <w:color w:val="auto"/>
              </w:rPr>
              <w:t>Withdrawn</w:t>
            </w: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LA-1106656R1</w:t>
            </w:r>
          </w:p>
        </w:tc>
        <w:tc>
          <w:tcPr>
            <w:tcW w:w="420" w:type="dxa"/>
            <w:vAlign w:val="bottom"/>
          </w:tcPr>
          <w:p>
            <w:pPr>
              <w:spacing w:after="0"/>
              <w:rPr>
                <w:sz w:val="24"/>
                <w:szCs w:val="24"/>
                <w:color w:val="auto"/>
              </w:rPr>
            </w:pPr>
          </w:p>
        </w:tc>
        <w:tc>
          <w:tcPr>
            <w:tcW w:w="5720" w:type="dxa"/>
            <w:vAlign w:val="bottom"/>
            <w:gridSpan w:val="3"/>
          </w:tcPr>
          <w:p>
            <w:pPr>
              <w:ind w:left="40"/>
              <w:spacing w:after="0"/>
              <w:rPr>
                <w:sz w:val="20"/>
                <w:szCs w:val="20"/>
                <w:color w:val="auto"/>
              </w:rPr>
            </w:pPr>
            <w:r>
              <w:rPr>
                <w:rFonts w:ascii="Arial" w:cs="Arial" w:eastAsia="Arial" w:hAnsi="Arial"/>
                <w:sz w:val="22"/>
                <w:szCs w:val="22"/>
                <w:color w:val="auto"/>
              </w:rPr>
              <w:t>Most Favored Customer – 737 MAX</w:t>
            </w: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LA-1106657R1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LA-1106663 R1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LA-1106664 R1</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jc w:val="center"/>
              <w:ind w:left="211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22"/>
                <w:szCs w:val="22"/>
                <w:color w:val="auto"/>
              </w:rPr>
              <w:t>LA-1106658</w:t>
            </w:r>
          </w:p>
        </w:tc>
        <w:tc>
          <w:tcPr>
            <w:tcW w:w="2860" w:type="dxa"/>
            <w:vAlign w:val="bottom"/>
            <w:gridSpan w:val="3"/>
          </w:tcPr>
          <w:p>
            <w:pPr>
              <w:ind w:left="460"/>
              <w:spacing w:after="0"/>
              <w:rPr>
                <w:sz w:val="20"/>
                <w:szCs w:val="20"/>
                <w:color w:val="auto"/>
              </w:rPr>
            </w:pPr>
            <w:r>
              <w:rPr>
                <w:rFonts w:ascii="Arial" w:cs="Arial" w:eastAsia="Arial" w:hAnsi="Arial"/>
                <w:sz w:val="19"/>
                <w:szCs w:val="19"/>
                <w:color w:val="auto"/>
              </w:rPr>
              <w:t>[****]</w:t>
            </w: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400" w:top="116" w:right="599" w:bottom="20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SA-23</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16" w:right="599" w:bottom="200" w:gutter="0" w:footer="0" w:header="0"/>
          <w:type w:val="continuous"/>
        </w:sectPr>
      </w:pPr>
    </w:p>
    <w:bookmarkStart w:id="108" w:name="page109"/>
    <w:bookmarkEnd w:id="108"/>
    <w:p>
      <w:pPr>
        <w:jc w:val="right"/>
        <w:ind w:right="1940"/>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LA-1106659R3</w:t>
            </w: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LA-1106660</w:t>
            </w:r>
          </w:p>
        </w:tc>
        <w:tc>
          <w:tcPr>
            <w:tcW w:w="900" w:type="dxa"/>
            <w:vAlign w:val="bottom"/>
          </w:tcPr>
          <w:p>
            <w:pPr>
              <w:spacing w:after="0"/>
              <w:rPr>
                <w:sz w:val="24"/>
                <w:szCs w:val="24"/>
                <w:color w:val="auto"/>
              </w:rPr>
            </w:pPr>
          </w:p>
        </w:tc>
        <w:tc>
          <w:tcPr>
            <w:tcW w:w="3380" w:type="dxa"/>
            <w:vAlign w:val="bottom"/>
            <w:gridSpan w:val="2"/>
          </w:tcPr>
          <w:p>
            <w:pPr>
              <w:ind w:left="220"/>
              <w:spacing w:after="0"/>
              <w:rPr>
                <w:sz w:val="20"/>
                <w:szCs w:val="20"/>
                <w:color w:val="auto"/>
              </w:rPr>
            </w:pPr>
            <w:r>
              <w:rPr>
                <w:rFonts w:ascii="Arial" w:cs="Arial" w:eastAsia="Arial" w:hAnsi="Arial"/>
                <w:sz w:val="22"/>
                <w:szCs w:val="22"/>
                <w:color w:val="auto"/>
              </w:rPr>
              <w:t>Spare Parts Initial Provisioning</w:t>
            </w:r>
          </w:p>
        </w:tc>
      </w:tr>
      <w:tr>
        <w:trPr>
          <w:trHeight w:val="607"/>
        </w:trPr>
        <w:tc>
          <w:tcPr>
            <w:tcW w:w="80" w:type="dxa"/>
            <w:vAlign w:val="bottom"/>
          </w:tcPr>
          <w:p>
            <w:pPr>
              <w:spacing w:after="0"/>
              <w:rPr>
                <w:sz w:val="24"/>
                <w:szCs w:val="24"/>
                <w:color w:val="auto"/>
              </w:rPr>
            </w:pPr>
          </w:p>
        </w:tc>
        <w:tc>
          <w:tcPr>
            <w:tcW w:w="5560" w:type="dxa"/>
            <w:vAlign w:val="bottom"/>
            <w:gridSpan w:val="4"/>
          </w:tcPr>
          <w:p>
            <w:pPr>
              <w:spacing w:after="0"/>
              <w:rPr>
                <w:sz w:val="20"/>
                <w:szCs w:val="20"/>
                <w:color w:val="auto"/>
              </w:rPr>
            </w:pPr>
            <w:r>
              <w:rPr>
                <w:rFonts w:ascii="Arial" w:cs="Arial" w:eastAsia="Arial" w:hAnsi="Arial"/>
                <w:sz w:val="22"/>
                <w:szCs w:val="22"/>
                <w:b w:val="1"/>
                <w:bCs w:val="1"/>
                <w:color w:val="auto"/>
              </w:rPr>
              <w:t>LETTER AGREEMENTS, continued</w:t>
            </w:r>
          </w:p>
        </w:tc>
      </w:tr>
      <w:tr>
        <w:trPr>
          <w:trHeight w:val="521"/>
        </w:trPr>
        <w:tc>
          <w:tcPr>
            <w:tcW w:w="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LA-1106661R2</w:t>
            </w:r>
          </w:p>
        </w:tc>
        <w:tc>
          <w:tcPr>
            <w:tcW w:w="1380" w:type="dxa"/>
            <w:vAlign w:val="bottom"/>
            <w:tcBorders>
              <w:top w:val="single" w:sz="8" w:color="auto"/>
            </w:tcBorders>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LA-1106667</w:t>
            </w:r>
          </w:p>
        </w:tc>
        <w:tc>
          <w:tcPr>
            <w:tcW w:w="90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LA-1106668R1</w:t>
            </w: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LA-1106669</w:t>
            </w:r>
          </w:p>
        </w:tc>
        <w:tc>
          <w:tcPr>
            <w:tcW w:w="90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LA-1106670</w:t>
            </w:r>
          </w:p>
        </w:tc>
        <w:tc>
          <w:tcPr>
            <w:tcW w:w="900" w:type="dxa"/>
            <w:vAlign w:val="bottom"/>
          </w:tcPr>
          <w:p>
            <w:pPr>
              <w:spacing w:after="0"/>
              <w:rPr>
                <w:sz w:val="24"/>
                <w:szCs w:val="24"/>
                <w:color w:val="auto"/>
              </w:rPr>
            </w:pPr>
          </w:p>
        </w:tc>
        <w:tc>
          <w:tcPr>
            <w:tcW w:w="3380" w:type="dxa"/>
            <w:vAlign w:val="bottom"/>
            <w:gridSpan w:val="2"/>
          </w:tcPr>
          <w:p>
            <w:pPr>
              <w:ind w:left="220"/>
              <w:spacing w:after="0"/>
              <w:rPr>
                <w:sz w:val="20"/>
                <w:szCs w:val="20"/>
                <w:color w:val="auto"/>
              </w:rPr>
            </w:pPr>
            <w:r>
              <w:rPr>
                <w:rFonts w:ascii="Arial" w:cs="Arial" w:eastAsia="Arial" w:hAnsi="Arial"/>
                <w:sz w:val="22"/>
                <w:szCs w:val="22"/>
                <w:color w:val="auto"/>
              </w:rPr>
              <w:t>Confidentiality</w:t>
            </w:r>
          </w:p>
        </w:tc>
      </w:tr>
      <w:tr>
        <w:trPr>
          <w:trHeight w:val="432"/>
        </w:trPr>
        <w:tc>
          <w:tcPr>
            <w:tcW w:w="8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LA-1106671R1</w:t>
            </w:r>
          </w:p>
        </w:tc>
        <w:tc>
          <w:tcPr>
            <w:tcW w:w="3380" w:type="dxa"/>
            <w:vAlign w:val="bottom"/>
            <w:gridSpan w:val="2"/>
          </w:tcPr>
          <w:p>
            <w:pPr>
              <w:ind w:left="220"/>
              <w:spacing w:after="0"/>
              <w:rPr>
                <w:sz w:val="20"/>
                <w:szCs w:val="20"/>
                <w:color w:val="auto"/>
              </w:rPr>
            </w:pPr>
            <w:r>
              <w:rPr>
                <w:rFonts w:ascii="Arial" w:cs="Arial" w:eastAsia="Arial" w:hAnsi="Arial"/>
                <w:sz w:val="22"/>
                <w:szCs w:val="22"/>
                <w:color w:val="auto"/>
              </w:rPr>
              <w:t>Miscellaneous Commitments</w:t>
            </w: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LA-1106672</w:t>
            </w:r>
          </w:p>
        </w:tc>
        <w:tc>
          <w:tcPr>
            <w:tcW w:w="900" w:type="dxa"/>
            <w:vAlign w:val="bottom"/>
          </w:tcPr>
          <w:p>
            <w:pPr>
              <w:spacing w:after="0"/>
              <w:rPr>
                <w:sz w:val="24"/>
                <w:szCs w:val="24"/>
                <w:color w:val="auto"/>
              </w:rPr>
            </w:pPr>
          </w:p>
        </w:tc>
        <w:tc>
          <w:tcPr>
            <w:tcW w:w="3380" w:type="dxa"/>
            <w:vAlign w:val="bottom"/>
            <w:gridSpan w:val="2"/>
          </w:tcPr>
          <w:p>
            <w:pPr>
              <w:ind w:left="220"/>
              <w:spacing w:after="0"/>
              <w:rPr>
                <w:sz w:val="20"/>
                <w:szCs w:val="20"/>
                <w:color w:val="auto"/>
              </w:rPr>
            </w:pPr>
            <w:r>
              <w:rPr>
                <w:rFonts w:ascii="Arial" w:cs="Arial" w:eastAsia="Arial" w:hAnsi="Arial"/>
                <w:sz w:val="22"/>
                <w:szCs w:val="22"/>
                <w:color w:val="auto"/>
              </w:rPr>
              <w:t>Extended Warranty Option</w:t>
            </w:r>
          </w:p>
        </w:tc>
      </w:tr>
      <w:tr>
        <w:trPr>
          <w:trHeight w:val="432"/>
        </w:trPr>
        <w:tc>
          <w:tcPr>
            <w:tcW w:w="8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LA-1106673R1*</w:t>
            </w: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LA-1106677</w:t>
            </w:r>
          </w:p>
        </w:tc>
        <w:tc>
          <w:tcPr>
            <w:tcW w:w="900" w:type="dxa"/>
            <w:vAlign w:val="bottom"/>
          </w:tcPr>
          <w:p>
            <w:pPr>
              <w:spacing w:after="0"/>
              <w:rPr>
                <w:sz w:val="24"/>
                <w:szCs w:val="24"/>
                <w:color w:val="auto"/>
              </w:rPr>
            </w:pPr>
          </w:p>
        </w:tc>
        <w:tc>
          <w:tcPr>
            <w:tcW w:w="3380" w:type="dxa"/>
            <w:vAlign w:val="bottom"/>
            <w:gridSpan w:val="2"/>
          </w:tcPr>
          <w:p>
            <w:pPr>
              <w:ind w:left="220"/>
              <w:spacing w:after="0"/>
              <w:rPr>
                <w:sz w:val="20"/>
                <w:szCs w:val="20"/>
                <w:color w:val="auto"/>
              </w:rPr>
            </w:pPr>
            <w:r>
              <w:rPr>
                <w:rFonts w:ascii="Arial" w:cs="Arial" w:eastAsia="Arial" w:hAnsi="Arial"/>
                <w:sz w:val="22"/>
                <w:szCs w:val="22"/>
                <w:color w:val="auto"/>
                <w:w w:val="97"/>
              </w:rPr>
              <w:t>Optional Features Comfort Letter</w:t>
            </w:r>
          </w:p>
        </w:tc>
      </w:tr>
      <w:tr>
        <w:trPr>
          <w:trHeight w:val="432"/>
        </w:trPr>
        <w:tc>
          <w:tcPr>
            <w:tcW w:w="8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2"/>
                <w:szCs w:val="22"/>
                <w:color w:val="auto"/>
              </w:rPr>
              <w:t>LA-1600073</w:t>
            </w:r>
          </w:p>
        </w:tc>
        <w:tc>
          <w:tcPr>
            <w:tcW w:w="90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Arial" w:cs="Arial" w:eastAsia="Arial" w:hAnsi="Arial"/>
                <w:sz w:val="19"/>
                <w:szCs w:val="19"/>
                <w:color w:val="auto"/>
              </w:rPr>
              <w:t>[****]</w:t>
            </w:r>
          </w:p>
        </w:tc>
        <w:tc>
          <w:tcPr>
            <w:tcW w:w="2000" w:type="dxa"/>
            <w:vAlign w:val="bottom"/>
          </w:tcPr>
          <w:p>
            <w:pPr>
              <w:spacing w:after="0"/>
              <w:rPr>
                <w:sz w:val="24"/>
                <w:szCs w:val="24"/>
                <w:color w:val="auto"/>
              </w:rPr>
            </w:pPr>
          </w:p>
        </w:tc>
      </w:tr>
      <w:tr>
        <w:trPr>
          <w:trHeight w:val="351"/>
        </w:trPr>
        <w:tc>
          <w:tcPr>
            <w:tcW w:w="1360" w:type="dxa"/>
            <w:vAlign w:val="bottom"/>
            <w:gridSpan w:val="2"/>
          </w:tcPr>
          <w:p>
            <w:pPr>
              <w:spacing w:after="0"/>
              <w:rPr>
                <w:sz w:val="20"/>
                <w:szCs w:val="20"/>
                <w:color w:val="auto"/>
              </w:rPr>
            </w:pPr>
            <w:r>
              <w:rPr>
                <w:rFonts w:ascii="Arial" w:cs="Arial" w:eastAsia="Arial" w:hAnsi="Arial"/>
                <w:sz w:val="22"/>
                <w:szCs w:val="22"/>
                <w:color w:val="auto"/>
              </w:rPr>
              <w:t>LA-1600852</w:t>
            </w:r>
          </w:p>
        </w:tc>
        <w:tc>
          <w:tcPr>
            <w:tcW w:w="900" w:type="dxa"/>
            <w:vAlign w:val="bottom"/>
          </w:tcPr>
          <w:p>
            <w:pPr>
              <w:ind w:left="120"/>
              <w:spacing w:after="0"/>
              <w:rPr>
                <w:sz w:val="20"/>
                <w:szCs w:val="20"/>
                <w:color w:val="auto"/>
              </w:rPr>
            </w:pPr>
            <w:r>
              <w:rPr>
                <w:rFonts w:ascii="Arial" w:cs="Arial" w:eastAsia="Arial" w:hAnsi="Arial"/>
                <w:sz w:val="19"/>
                <w:szCs w:val="19"/>
                <w:color w:val="auto"/>
              </w:rPr>
              <w:t>[****]</w:t>
            </w:r>
          </w:p>
        </w:tc>
        <w:tc>
          <w:tcPr>
            <w:tcW w:w="3380" w:type="dxa"/>
            <w:vAlign w:val="bottom"/>
            <w:gridSpan w:val="2"/>
          </w:tcPr>
          <w:p>
            <w:pPr>
              <w:ind w:left="1600"/>
              <w:spacing w:after="0"/>
              <w:rPr>
                <w:sz w:val="20"/>
                <w:szCs w:val="20"/>
                <w:color w:val="auto"/>
              </w:rPr>
            </w:pPr>
            <w:r>
              <w:rPr>
                <w:rFonts w:ascii="Arial" w:cs="Arial" w:eastAsia="Arial" w:hAnsi="Arial"/>
                <w:sz w:val="22"/>
                <w:szCs w:val="22"/>
                <w:color w:val="auto"/>
              </w:rPr>
              <w:t>5</w:t>
            </w:r>
          </w:p>
        </w:tc>
      </w:tr>
      <w:tr>
        <w:trPr>
          <w:trHeight w:val="215"/>
        </w:trPr>
        <w:tc>
          <w:tcPr>
            <w:tcW w:w="2260" w:type="dxa"/>
            <w:vAlign w:val="bottom"/>
            <w:gridSpan w:val="3"/>
          </w:tcPr>
          <w:p>
            <w:pPr>
              <w:spacing w:after="0" w:line="216" w:lineRule="exact"/>
              <w:rPr>
                <w:sz w:val="20"/>
                <w:szCs w:val="20"/>
                <w:color w:val="auto"/>
              </w:rPr>
            </w:pPr>
            <w:r>
              <w:rPr>
                <w:rFonts w:ascii="Arial" w:cs="Arial" w:eastAsia="Arial" w:hAnsi="Arial"/>
                <w:sz w:val="22"/>
                <w:szCs w:val="22"/>
                <w:color w:val="auto"/>
              </w:rPr>
              <w:t>LA-1603773 [****]</w:t>
            </w:r>
          </w:p>
        </w:tc>
        <w:tc>
          <w:tcPr>
            <w:tcW w:w="1380" w:type="dxa"/>
            <w:vAlign w:val="bottom"/>
          </w:tcPr>
          <w:p>
            <w:pPr>
              <w:ind w:left="940"/>
              <w:spacing w:after="0" w:line="216" w:lineRule="exact"/>
              <w:rPr>
                <w:sz w:val="20"/>
                <w:szCs w:val="20"/>
                <w:color w:val="auto"/>
              </w:rPr>
            </w:pPr>
            <w:r>
              <w:rPr>
                <w:rFonts w:ascii="Arial" w:cs="Arial" w:eastAsia="Arial" w:hAnsi="Arial"/>
                <w:sz w:val="22"/>
                <w:szCs w:val="22"/>
                <w:color w:val="auto"/>
              </w:rPr>
              <w:t>5</w:t>
            </w:r>
          </w:p>
        </w:tc>
        <w:tc>
          <w:tcPr>
            <w:tcW w:w="2000" w:type="dxa"/>
            <w:vAlign w:val="bottom"/>
          </w:tcPr>
          <w:p>
            <w:pPr>
              <w:spacing w:after="0"/>
              <w:rPr>
                <w:sz w:val="18"/>
                <w:szCs w:val="18"/>
                <w:color w:val="auto"/>
              </w:rPr>
            </w:pPr>
          </w:p>
        </w:tc>
      </w:tr>
      <w:tr>
        <w:trPr>
          <w:trHeight w:val="217"/>
        </w:trPr>
        <w:tc>
          <w:tcPr>
            <w:tcW w:w="2260" w:type="dxa"/>
            <w:vAlign w:val="bottom"/>
            <w:gridSpan w:val="3"/>
          </w:tcPr>
          <w:p>
            <w:pPr>
              <w:spacing w:after="0" w:line="217" w:lineRule="exact"/>
              <w:rPr>
                <w:sz w:val="20"/>
                <w:szCs w:val="20"/>
                <w:color w:val="auto"/>
              </w:rPr>
            </w:pPr>
            <w:r>
              <w:rPr>
                <w:rFonts w:ascii="Arial" w:cs="Arial" w:eastAsia="Arial" w:hAnsi="Arial"/>
                <w:sz w:val="22"/>
                <w:szCs w:val="22"/>
                <w:b w:val="1"/>
                <w:bCs w:val="1"/>
                <w:color w:val="auto"/>
              </w:rPr>
              <w:t>LA-1605402R1 [****]</w:t>
            </w:r>
          </w:p>
        </w:tc>
        <w:tc>
          <w:tcPr>
            <w:tcW w:w="3380" w:type="dxa"/>
            <w:vAlign w:val="bottom"/>
            <w:gridSpan w:val="2"/>
          </w:tcPr>
          <w:p>
            <w:pPr>
              <w:ind w:left="1740"/>
              <w:spacing w:after="0" w:line="217" w:lineRule="exact"/>
              <w:rPr>
                <w:sz w:val="20"/>
                <w:szCs w:val="20"/>
                <w:color w:val="auto"/>
              </w:rPr>
            </w:pPr>
            <w:r>
              <w:rPr>
                <w:rFonts w:ascii="Arial" w:cs="Arial" w:eastAsia="Arial" w:hAnsi="Arial"/>
                <w:sz w:val="22"/>
                <w:szCs w:val="22"/>
                <w:b w:val="1"/>
                <w:bCs w:val="1"/>
                <w:color w:val="auto"/>
              </w:rPr>
              <w:t>23</w:t>
            </w:r>
          </w:p>
        </w:tc>
      </w:tr>
      <w:tr>
        <w:trPr>
          <w:trHeight w:val="216"/>
        </w:trPr>
        <w:tc>
          <w:tcPr>
            <w:tcW w:w="1360" w:type="dxa"/>
            <w:vAlign w:val="bottom"/>
            <w:gridSpan w:val="2"/>
          </w:tcPr>
          <w:p>
            <w:pPr>
              <w:spacing w:after="0" w:line="216" w:lineRule="exact"/>
              <w:rPr>
                <w:sz w:val="20"/>
                <w:szCs w:val="20"/>
                <w:color w:val="auto"/>
              </w:rPr>
            </w:pPr>
            <w:r>
              <w:rPr>
                <w:rFonts w:ascii="Arial" w:cs="Arial" w:eastAsia="Arial" w:hAnsi="Arial"/>
                <w:sz w:val="22"/>
                <w:szCs w:val="22"/>
                <w:color w:val="auto"/>
              </w:rPr>
              <w:t>LA-1700919</w:t>
            </w:r>
          </w:p>
        </w:tc>
        <w:tc>
          <w:tcPr>
            <w:tcW w:w="9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380" w:type="dxa"/>
            <w:vAlign w:val="bottom"/>
            <w:gridSpan w:val="2"/>
          </w:tcPr>
          <w:p>
            <w:pPr>
              <w:ind w:left="1900"/>
              <w:spacing w:after="0" w:line="216" w:lineRule="exact"/>
              <w:rPr>
                <w:sz w:val="20"/>
                <w:szCs w:val="20"/>
                <w:color w:val="auto"/>
              </w:rPr>
            </w:pPr>
            <w:r>
              <w:rPr>
                <w:rFonts w:ascii="Arial" w:cs="Arial" w:eastAsia="Arial" w:hAnsi="Arial"/>
                <w:sz w:val="22"/>
                <w:szCs w:val="22"/>
                <w:color w:val="auto"/>
              </w:rPr>
              <w:t>7</w:t>
            </w:r>
          </w:p>
        </w:tc>
      </w:tr>
      <w:tr>
        <w:trPr>
          <w:trHeight w:val="216"/>
        </w:trPr>
        <w:tc>
          <w:tcPr>
            <w:tcW w:w="1360" w:type="dxa"/>
            <w:vAlign w:val="bottom"/>
            <w:gridSpan w:val="2"/>
          </w:tcPr>
          <w:p>
            <w:pPr>
              <w:spacing w:after="0" w:line="216" w:lineRule="exact"/>
              <w:rPr>
                <w:sz w:val="20"/>
                <w:szCs w:val="20"/>
                <w:color w:val="auto"/>
              </w:rPr>
            </w:pPr>
            <w:r>
              <w:rPr>
                <w:rFonts w:ascii="Arial" w:cs="Arial" w:eastAsia="Arial" w:hAnsi="Arial"/>
                <w:sz w:val="22"/>
                <w:szCs w:val="22"/>
                <w:color w:val="auto"/>
              </w:rPr>
              <w:t>LA-1801206</w:t>
            </w:r>
          </w:p>
        </w:tc>
        <w:tc>
          <w:tcPr>
            <w:tcW w:w="9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380" w:type="dxa"/>
            <w:vAlign w:val="bottom"/>
            <w:gridSpan w:val="2"/>
          </w:tcPr>
          <w:p>
            <w:pPr>
              <w:ind w:left="1420"/>
              <w:spacing w:after="0" w:line="216" w:lineRule="exact"/>
              <w:rPr>
                <w:sz w:val="20"/>
                <w:szCs w:val="20"/>
                <w:color w:val="auto"/>
              </w:rPr>
            </w:pPr>
            <w:r>
              <w:rPr>
                <w:rFonts w:ascii="Arial" w:cs="Arial" w:eastAsia="Arial" w:hAnsi="Arial"/>
                <w:sz w:val="22"/>
                <w:szCs w:val="22"/>
                <w:color w:val="auto"/>
              </w:rPr>
              <w:t>9</w:t>
            </w:r>
          </w:p>
        </w:tc>
      </w:tr>
      <w:tr>
        <w:trPr>
          <w:trHeight w:val="216"/>
        </w:trPr>
        <w:tc>
          <w:tcPr>
            <w:tcW w:w="2260" w:type="dxa"/>
            <w:vAlign w:val="bottom"/>
            <w:gridSpan w:val="3"/>
          </w:tcPr>
          <w:p>
            <w:pPr>
              <w:spacing w:after="0" w:line="216" w:lineRule="exact"/>
              <w:rPr>
                <w:sz w:val="20"/>
                <w:szCs w:val="20"/>
                <w:color w:val="auto"/>
              </w:rPr>
            </w:pPr>
            <w:r>
              <w:rPr>
                <w:rFonts w:ascii="Arial" w:cs="Arial" w:eastAsia="Arial" w:hAnsi="Arial"/>
                <w:sz w:val="22"/>
                <w:szCs w:val="22"/>
                <w:color w:val="auto"/>
              </w:rPr>
              <w:t>LA-2002704 [****]</w:t>
            </w:r>
          </w:p>
        </w:tc>
        <w:tc>
          <w:tcPr>
            <w:tcW w:w="3380" w:type="dxa"/>
            <w:vAlign w:val="bottom"/>
            <w:gridSpan w:val="2"/>
          </w:tcPr>
          <w:p>
            <w:pPr>
              <w:ind w:left="1420"/>
              <w:spacing w:after="0" w:line="216" w:lineRule="exact"/>
              <w:rPr>
                <w:sz w:val="20"/>
                <w:szCs w:val="20"/>
                <w:color w:val="auto"/>
              </w:rPr>
            </w:pPr>
            <w:r>
              <w:rPr>
                <w:rFonts w:ascii="Arial" w:cs="Arial" w:eastAsia="Arial" w:hAnsi="Arial"/>
                <w:sz w:val="22"/>
                <w:szCs w:val="22"/>
                <w:color w:val="auto"/>
              </w:rPr>
              <w:t>11</w:t>
            </w:r>
          </w:p>
        </w:tc>
      </w:tr>
      <w:tr>
        <w:trPr>
          <w:trHeight w:val="216"/>
        </w:trPr>
        <w:tc>
          <w:tcPr>
            <w:tcW w:w="2260" w:type="dxa"/>
            <w:vAlign w:val="bottom"/>
            <w:gridSpan w:val="3"/>
          </w:tcPr>
          <w:p>
            <w:pPr>
              <w:spacing w:after="0" w:line="216" w:lineRule="exact"/>
              <w:rPr>
                <w:sz w:val="20"/>
                <w:szCs w:val="20"/>
                <w:color w:val="auto"/>
              </w:rPr>
            </w:pPr>
            <w:r>
              <w:rPr>
                <w:rFonts w:ascii="Arial" w:cs="Arial" w:eastAsia="Arial" w:hAnsi="Arial"/>
                <w:sz w:val="22"/>
                <w:szCs w:val="22"/>
                <w:color w:val="auto"/>
              </w:rPr>
              <w:t>LA-2002743 [****]</w:t>
            </w:r>
          </w:p>
        </w:tc>
        <w:tc>
          <w:tcPr>
            <w:tcW w:w="3380" w:type="dxa"/>
            <w:vAlign w:val="bottom"/>
            <w:gridSpan w:val="2"/>
          </w:tcPr>
          <w:p>
            <w:pPr>
              <w:ind w:left="142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gridSpan w:val="2"/>
          </w:tcPr>
          <w:p>
            <w:pPr>
              <w:spacing w:after="0" w:line="216" w:lineRule="exact"/>
              <w:rPr>
                <w:sz w:val="20"/>
                <w:szCs w:val="20"/>
                <w:color w:val="auto"/>
              </w:rPr>
            </w:pPr>
            <w:r>
              <w:rPr>
                <w:rFonts w:ascii="Arial" w:cs="Arial" w:eastAsia="Arial" w:hAnsi="Arial"/>
                <w:sz w:val="22"/>
                <w:szCs w:val="22"/>
                <w:color w:val="auto"/>
              </w:rPr>
              <w:t>LA-2003342</w:t>
            </w:r>
          </w:p>
        </w:tc>
        <w:tc>
          <w:tcPr>
            <w:tcW w:w="90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380" w:type="dxa"/>
            <w:vAlign w:val="bottom"/>
            <w:gridSpan w:val="2"/>
          </w:tcPr>
          <w:p>
            <w:pPr>
              <w:ind w:left="1900"/>
              <w:spacing w:after="0" w:line="216" w:lineRule="exact"/>
              <w:rPr>
                <w:sz w:val="20"/>
                <w:szCs w:val="20"/>
                <w:color w:val="auto"/>
              </w:rPr>
            </w:pPr>
            <w:r>
              <w:rPr>
                <w:rFonts w:ascii="Arial" w:cs="Arial" w:eastAsia="Arial" w:hAnsi="Arial"/>
                <w:sz w:val="22"/>
                <w:szCs w:val="22"/>
                <w:color w:val="auto"/>
              </w:rPr>
              <w:t>11</w:t>
            </w:r>
          </w:p>
        </w:tc>
      </w:tr>
      <w:tr>
        <w:trPr>
          <w:trHeight w:val="283"/>
        </w:trPr>
        <w:tc>
          <w:tcPr>
            <w:tcW w:w="1360" w:type="dxa"/>
            <w:vAlign w:val="bottom"/>
            <w:gridSpan w:val="2"/>
          </w:tcPr>
          <w:p>
            <w:pPr>
              <w:spacing w:after="0"/>
              <w:rPr>
                <w:sz w:val="20"/>
                <w:szCs w:val="20"/>
                <w:color w:val="auto"/>
              </w:rPr>
            </w:pPr>
            <w:r>
              <w:rPr>
                <w:rFonts w:ascii="Arial" w:cs="Arial" w:eastAsia="Arial" w:hAnsi="Arial"/>
                <w:sz w:val="22"/>
                <w:szCs w:val="22"/>
                <w:color w:val="auto"/>
              </w:rPr>
              <w:t>LA-2003486</w:t>
            </w:r>
          </w:p>
        </w:tc>
        <w:tc>
          <w:tcPr>
            <w:tcW w:w="900" w:type="dxa"/>
            <w:vAlign w:val="bottom"/>
          </w:tcPr>
          <w:p>
            <w:pPr>
              <w:ind w:left="120"/>
              <w:spacing w:after="0"/>
              <w:rPr>
                <w:sz w:val="20"/>
                <w:szCs w:val="20"/>
                <w:color w:val="auto"/>
              </w:rPr>
            </w:pPr>
            <w:r>
              <w:rPr>
                <w:rFonts w:ascii="Arial" w:cs="Arial" w:eastAsia="Arial" w:hAnsi="Arial"/>
                <w:sz w:val="22"/>
                <w:szCs w:val="22"/>
                <w:color w:val="auto"/>
              </w:rPr>
              <w:t>[****]</w:t>
            </w:r>
          </w:p>
        </w:tc>
        <w:tc>
          <w:tcPr>
            <w:tcW w:w="3380" w:type="dxa"/>
            <w:vAlign w:val="bottom"/>
            <w:gridSpan w:val="2"/>
          </w:tcPr>
          <w:p>
            <w:pPr>
              <w:ind w:left="1900"/>
              <w:spacing w:after="0"/>
              <w:rPr>
                <w:sz w:val="20"/>
                <w:szCs w:val="20"/>
                <w:color w:val="auto"/>
              </w:rPr>
            </w:pPr>
            <w:r>
              <w:rPr>
                <w:rFonts w:ascii="Arial" w:cs="Arial" w:eastAsia="Arial" w:hAnsi="Arial"/>
                <w:sz w:val="22"/>
                <w:szCs w:val="22"/>
                <w:color w:val="auto"/>
              </w:rPr>
              <w:t>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353" w:lineRule="exact"/>
        <w:rPr>
          <w:sz w:val="20"/>
          <w:szCs w:val="20"/>
          <w:color w:val="auto"/>
        </w:rPr>
      </w:pPr>
    </w:p>
    <w:p>
      <w:pPr>
        <w:sectPr>
          <w:pgSz w:w="11900" w:h="16838" w:orient="portrait"/>
          <w:cols w:equalWidth="0" w:num="2">
            <w:col w:w="9300" w:space="720"/>
            <w:col w:w="1000"/>
          </w:cols>
          <w:pgMar w:left="320" w:top="962" w:right="559" w:bottom="1440" w:gutter="0" w:footer="0" w:header="0"/>
        </w:sectPr>
      </w:pPr>
    </w:p>
    <w:p>
      <w:pPr>
        <w:ind w:firstLine="8"/>
        <w:spacing w:after="0" w:line="236" w:lineRule="auto"/>
        <w:tabs>
          <w:tab w:leader="none" w:pos="1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20"/>
          </w:cols>
          <w:pgMar w:left="320" w:top="962"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SA-23</w:t>
      </w:r>
    </w:p>
    <w:p>
      <w:pPr>
        <w:jc w:val="center"/>
        <w:ind w:right="-2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20"/>
          </w:cols>
          <w:pgMar w:left="320" w:top="962" w:right="559" w:bottom="1440" w:gutter="0" w:footer="0" w:header="0"/>
          <w:type w:val="continuous"/>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t>Table 1-4R2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Detail Specification: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1B25</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40" w:type="dxa"/>
            <w:vAlign w:val="bottom"/>
            <w:tcBorders>
              <w:bottom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28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140" w:type="dxa"/>
            <w:vAlign w:val="bottom"/>
            <w:gridSpan w:val="3"/>
            <w:vMerge w:val="continue"/>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3"/>
            <w:vMerge w:val="continue"/>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1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0" w:type="dxa"/>
            <w:vAlign w:val="bottom"/>
          </w:tcPr>
          <w:p>
            <w:pPr>
              <w:spacing w:after="0"/>
              <w:rPr>
                <w:sz w:val="24"/>
                <w:szCs w:val="24"/>
                <w:color w:val="auto"/>
              </w:rPr>
            </w:pPr>
          </w:p>
        </w:tc>
        <w:tc>
          <w:tcPr>
            <w:tcW w:w="428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40" w:type="dxa"/>
            <w:vAlign w:val="bottom"/>
            <w:tcBorders>
              <w:bottom w:val="single" w:sz="8" w:color="C0C0C0"/>
              <w:right w:val="single" w:sz="8" w:color="auto"/>
            </w:tcBorders>
            <w:shd w:val="clear" w:color="auto" w:fill="C0C0C0"/>
          </w:tcPr>
          <w:p>
            <w:pPr>
              <w:spacing w:after="0"/>
              <w:rPr>
                <w:sz w:val="5"/>
                <w:szCs w:val="5"/>
                <w:color w:val="auto"/>
              </w:rPr>
            </w:pPr>
          </w:p>
        </w:tc>
        <w:tc>
          <w:tcPr>
            <w:tcW w:w="120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0C0C0"/>
          </w:tcPr>
          <w:p>
            <w:pPr>
              <w:spacing w:after="0"/>
              <w:rPr>
                <w:sz w:val="24"/>
                <w:szCs w:val="24"/>
                <w:color w:val="auto"/>
              </w:rPr>
            </w:pPr>
          </w:p>
        </w:tc>
        <w:tc>
          <w:tcPr>
            <w:tcW w:w="120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shd w:val="clear" w:color="auto" w:fill="C0C0C0"/>
          </w:tcPr>
          <w:p>
            <w:pPr>
              <w:spacing w:after="0"/>
              <w:rPr>
                <w:sz w:val="5"/>
                <w:szCs w:val="5"/>
                <w:color w:val="auto"/>
              </w:rPr>
            </w:pPr>
          </w:p>
        </w:tc>
        <w:tc>
          <w:tcPr>
            <w:tcW w:w="12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SA-23</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382" w:right="319" w:bottom="0" w:gutter="0" w:footer="0" w:header="0"/>
        </w:sectPr>
      </w:pPr>
    </w:p>
    <w:bookmarkStart w:id="110" w:name="page111"/>
    <w:bookmarkEnd w:id="110"/>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662940</wp:posOffset>
            </wp:positionV>
            <wp:extent cx="5863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731520</wp:posOffset>
            </wp:positionV>
            <wp:extent cx="1491615" cy="342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R6</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Subject to the terms and conditions contained in this Letter Agreement, in addition to the Aircraft described in Table 1R12, Table 1-2, Table 1-3R6, and Table 1-4(R2) to the Purchase Agreement as of the date of execution of this Letter Agreement,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49"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The [****] with [****] in calendar year [****] are listed in Attachment A(R6)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with [****]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 for each [****] are listed in Attachment A(R6) to this Letter</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No later than [****] to the [****] in each of calendar years [****], Boeing will provide written notice setting forth [****] with a [****] in such calendar year. Such notice will constitute an amendment to Attachment A(R6) to this Letter Agreement.</w:t>
      </w:r>
    </w:p>
    <w:p>
      <w:pPr>
        <w:spacing w:after="0" w:line="152"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R6</w:t>
      </w:r>
      <w:r>
        <w:rPr>
          <w:sz w:val="20"/>
          <w:szCs w:val="20"/>
          <w:color w:val="auto"/>
        </w:rPr>
        <w:tab/>
      </w:r>
      <w:r>
        <w:rPr>
          <w:rFonts w:ascii="Arial" w:cs="Arial" w:eastAsia="Arial" w:hAnsi="Arial"/>
          <w:sz w:val="21"/>
          <w:szCs w:val="21"/>
          <w:color w:val="auto"/>
        </w:rPr>
        <w:t>SA-23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31"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220" w:hanging="566"/>
        <w:spacing w:after="0" w:line="236" w:lineRule="auto"/>
        <w:tabs>
          <w:tab w:leader="none" w:pos="1200" w:val="left"/>
        </w:tabs>
        <w:rPr>
          <w:sz w:val="20"/>
          <w:szCs w:val="20"/>
          <w:color w:val="auto"/>
        </w:rPr>
      </w:pPr>
      <w:r>
        <w:rPr>
          <w:rFonts w:ascii="Arial" w:cs="Arial" w:eastAsia="Arial" w:hAnsi="Arial"/>
          <w:sz w:val="22"/>
          <w:szCs w:val="22"/>
          <w:color w:val="auto"/>
        </w:rPr>
        <w:t>4.1</w:t>
        <w:tab/>
        <w:t>The [****] Aircraft Basic Price for each of the [****] are identified in Attachment A(R3)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R6</w:t>
      </w:r>
      <w:r>
        <w:rPr>
          <w:sz w:val="20"/>
          <w:szCs w:val="20"/>
          <w:color w:val="auto"/>
        </w:rPr>
        <w:tab/>
      </w:r>
      <w:r>
        <w:rPr>
          <w:rFonts w:ascii="Arial" w:cs="Arial" w:eastAsia="Arial" w:hAnsi="Arial"/>
          <w:sz w:val="21"/>
          <w:szCs w:val="21"/>
          <w:color w:val="auto"/>
        </w:rPr>
        <w:t>SA-23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R6</w:t>
      </w:r>
      <w:r>
        <w:rPr>
          <w:sz w:val="20"/>
          <w:szCs w:val="20"/>
          <w:color w:val="auto"/>
        </w:rPr>
        <w:tab/>
      </w:r>
      <w:r>
        <w:rPr>
          <w:rFonts w:ascii="Arial" w:cs="Arial" w:eastAsia="Arial" w:hAnsi="Arial"/>
          <w:sz w:val="21"/>
          <w:szCs w:val="21"/>
          <w:color w:val="auto"/>
        </w:rPr>
        <w:t>SA-23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22"/>
                <w:szCs w:val="22"/>
                <w:color w:val="auto"/>
              </w:rPr>
              <w:t>Date:</w:t>
            </w:r>
          </w:p>
        </w:tc>
        <w:tc>
          <w:tcPr>
            <w:tcW w:w="4080" w:type="dxa"/>
            <w:vAlign w:val="bottom"/>
          </w:tcPr>
          <w:p>
            <w:pPr>
              <w:ind w:left="60"/>
              <w:spacing w:after="0"/>
              <w:rPr>
                <w:sz w:val="20"/>
                <w:szCs w:val="20"/>
                <w:color w:val="auto"/>
              </w:rPr>
            </w:pPr>
            <w:r>
              <w:rPr>
                <w:rFonts w:ascii="Arial" w:cs="Arial" w:eastAsia="Arial" w:hAnsi="Arial"/>
                <w:sz w:val="22"/>
                <w:szCs w:val="22"/>
                <w:color w:val="auto"/>
              </w:rPr>
              <w:t>May 5, 2022</w:t>
            </w:r>
          </w:p>
        </w:tc>
      </w:tr>
      <w:tr>
        <w:trPr>
          <w:trHeight w:val="80"/>
        </w:trPr>
        <w:tc>
          <w:tcPr>
            <w:tcW w:w="1860" w:type="dxa"/>
            <w:vAlign w:val="bottom"/>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bl>
    <w:p>
      <w:pPr>
        <w:spacing w:after="0" w:line="30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R6</w:t>
      </w:r>
      <w:r>
        <w:rPr>
          <w:sz w:val="20"/>
          <w:szCs w:val="20"/>
          <w:color w:val="auto"/>
        </w:rPr>
        <w:tab/>
      </w:r>
      <w:r>
        <w:rPr>
          <w:rFonts w:ascii="Arial" w:cs="Arial" w:eastAsia="Arial" w:hAnsi="Arial"/>
          <w:sz w:val="21"/>
          <w:szCs w:val="21"/>
          <w:color w:val="auto"/>
        </w:rPr>
        <w:t>SA-23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14" w:name="page115"/>
    <w:bookmarkEnd w:id="114"/>
    <w:p>
      <w:pPr>
        <w:jc w:val="center"/>
        <w:ind w:right="-159"/>
        <w:spacing w:after="0"/>
        <w:rPr>
          <w:sz w:val="20"/>
          <w:szCs w:val="20"/>
          <w:color w:val="auto"/>
        </w:rPr>
      </w:pPr>
      <w:r>
        <w:rPr>
          <w:rFonts w:ascii="Arial" w:cs="Arial" w:eastAsia="Arial" w:hAnsi="Arial"/>
          <w:sz w:val="22"/>
          <w:szCs w:val="22"/>
          <w:color w:val="auto"/>
        </w:rPr>
        <w:t>Attachment A(R6) To</w:t>
      </w:r>
    </w:p>
    <w:p>
      <w:pPr>
        <w:jc w:val="center"/>
        <w:ind w:right="-159"/>
        <w:spacing w:after="0" w:line="204" w:lineRule="auto"/>
        <w:rPr>
          <w:sz w:val="20"/>
          <w:szCs w:val="20"/>
          <w:color w:val="auto"/>
        </w:rPr>
      </w:pPr>
      <w:r>
        <w:rPr>
          <w:rFonts w:ascii="Arial" w:cs="Arial" w:eastAsia="Arial" w:hAnsi="Arial"/>
          <w:sz w:val="22"/>
          <w:szCs w:val="22"/>
          <w:color w:val="auto"/>
        </w:rPr>
        <w:t>Letter Agreement No. AAL-PA-03735-LA-1106651R6</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737-8</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pounds</w:t>
            </w: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CFMLEAP-</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Airframe Price Base Year/Escalation</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1B25</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pounds</w:t>
            </w: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00" w:type="dxa"/>
            <w:vAlign w:val="bottom"/>
            <w:gridSpan w:val="3"/>
            <w:vMerge w:val="continue"/>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5"/>
            <w:vMerge w:val="continue"/>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2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920" w:type="dxa"/>
            <w:vAlign w:val="bottom"/>
            <w:tcBorders>
              <w:bottom w:val="single" w:sz="8" w:color="C0C0C0"/>
              <w:right w:val="single" w:sz="8" w:color="auto"/>
            </w:tcBorders>
            <w:shd w:val="clear" w:color="auto" w:fill="C0C0C0"/>
          </w:tcPr>
          <w:p>
            <w:pPr>
              <w:spacing w:after="0"/>
              <w:rPr>
                <w:sz w:val="6"/>
                <w:szCs w:val="6"/>
                <w:color w:val="auto"/>
              </w:rPr>
            </w:pPr>
          </w:p>
        </w:tc>
        <w:tc>
          <w:tcPr>
            <w:tcW w:w="112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20" w:type="dxa"/>
            <w:vAlign w:val="bottom"/>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shd w:val="clear" w:color="auto" w:fill="C0C0C0"/>
          </w:tcPr>
          <w:p>
            <w:pPr>
              <w:spacing w:after="0"/>
              <w:rPr>
                <w:sz w:val="18"/>
                <w:szCs w:val="18"/>
                <w:color w:val="auto"/>
              </w:rPr>
            </w:pPr>
          </w:p>
        </w:tc>
        <w:tc>
          <w:tcPr>
            <w:tcW w:w="1120" w:type="dxa"/>
            <w:vAlign w:val="bottom"/>
            <w:tcBorders>
              <w:right w:val="single" w:sz="8" w:color="auto"/>
            </w:tcBorders>
            <w:vMerge w:val="continue"/>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shd w:val="clear" w:color="auto" w:fill="C0C0C0"/>
          </w:tcPr>
          <w:p>
            <w:pPr>
              <w:spacing w:after="0"/>
              <w:rPr>
                <w:sz w:val="21"/>
                <w:szCs w:val="21"/>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20" w:type="dxa"/>
            <w:vAlign w:val="bottom"/>
          </w:tcPr>
          <w:p>
            <w:pPr>
              <w:spacing w:after="0"/>
              <w:rPr>
                <w:sz w:val="21"/>
                <w:szCs w:val="21"/>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60" w:type="dxa"/>
            <w:vAlign w:val="bottom"/>
          </w:tcPr>
          <w:p>
            <w:pPr>
              <w:spacing w:after="0"/>
              <w:rPr>
                <w:sz w:val="21"/>
                <w:szCs w:val="21"/>
                <w:color w:val="auto"/>
              </w:rPr>
            </w:pP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340" w:type="dxa"/>
            <w:vAlign w:val="bottom"/>
          </w:tcPr>
          <w:p>
            <w:pPr>
              <w:spacing w:after="0"/>
              <w:rPr>
                <w:sz w:val="21"/>
                <w:szCs w:val="21"/>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1"/>
                <w:szCs w:val="21"/>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1</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080"/>
          </w:cols>
          <w:pgMar w:left="320" w:top="1379" w:right="499" w:bottom="1440" w:gutter="0" w:footer="0" w:header="0"/>
        </w:sectPr>
      </w:pPr>
    </w:p>
    <w:bookmarkStart w:id="115" w:name="page116"/>
    <w:bookmarkEnd w:id="11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7"/>
        </w:trPr>
        <w:tc>
          <w:tcPr>
            <w:tcW w:w="8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840" w:type="dxa"/>
            <w:vAlign w:val="bottom"/>
            <w:tcBorders>
              <w:top w:val="single" w:sz="8" w:color="auto"/>
              <w:bottom w:val="single" w:sz="8" w:color="auto"/>
              <w:right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C0C0C0"/>
            </w:tcBorders>
          </w:tcPr>
          <w:p>
            <w:pPr>
              <w:spacing w:after="0"/>
              <w:rPr>
                <w:sz w:val="22"/>
                <w:szCs w:val="22"/>
                <w:color w:val="auto"/>
              </w:rPr>
            </w:pPr>
          </w:p>
        </w:tc>
        <w:tc>
          <w:tcPr>
            <w:tcW w:w="92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20" w:type="dxa"/>
            <w:vAlign w:val="bottom"/>
            <w:tcBorders>
              <w:top w:val="single" w:sz="8" w:color="auto"/>
              <w:bottom w:val="single" w:sz="8" w:color="auto"/>
              <w:right w:val="single" w:sz="8" w:color="auto"/>
            </w:tcBorders>
            <w:shd w:val="clear" w:color="auto" w:fill="C0C0C0"/>
          </w:tcPr>
          <w:p>
            <w:pPr>
              <w:spacing w:after="0"/>
              <w:rPr>
                <w:sz w:val="22"/>
                <w:szCs w:val="22"/>
                <w:color w:val="auto"/>
              </w:rPr>
            </w:pPr>
          </w:p>
        </w:tc>
        <w:tc>
          <w:tcPr>
            <w:tcW w:w="1340" w:type="dxa"/>
            <w:vAlign w:val="bottom"/>
            <w:tcBorders>
              <w:top w:val="single" w:sz="8" w:color="auto"/>
              <w:bottom w:val="single" w:sz="8" w:color="auto"/>
              <w:right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spacing w:after="0"/>
              <w:rPr>
                <w:sz w:val="22"/>
                <w:szCs w:val="22"/>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SA-23</w:t>
      </w:r>
    </w:p>
    <w:p>
      <w:pPr>
        <w:ind w:left="40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80"/>
          </w:cols>
          <w:pgMar w:left="320" w:top="1440" w:right="499" w:bottom="1440" w:gutter="0" w:footer="0" w:header="0"/>
          <w:type w:val="continuous"/>
        </w:sectPr>
      </w:pPr>
    </w:p>
    <w:bookmarkStart w:id="116" w:name="page117"/>
    <w:bookmarkEnd w:id="11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shd w:val="clear" w:color="auto" w:fill="C0C0C0"/>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SA-23</w:t>
      </w:r>
    </w:p>
    <w:p>
      <w:pPr>
        <w:ind w:left="40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80"/>
          </w:cols>
          <w:pgMar w:left="320" w:top="1440" w:right="499" w:bottom="1440" w:gutter="0" w:footer="0" w:header="0"/>
          <w:type w:val="continuous"/>
        </w:sectPr>
      </w:pPr>
    </w:p>
    <w:bookmarkStart w:id="117" w:name="page118"/>
    <w:bookmarkEnd w:id="117"/>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68"/>
        </w:trPr>
        <w:tc>
          <w:tcPr>
            <w:tcW w:w="82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SA-23</w:t>
      </w:r>
    </w:p>
    <w:p>
      <w:pPr>
        <w:ind w:left="40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80"/>
          </w:cols>
          <w:pgMar w:left="320" w:top="1440" w:right="499" w:bottom="1440" w:gutter="0" w:footer="0" w:header="0"/>
          <w:type w:val="continuous"/>
        </w:sectPr>
      </w:pPr>
    </w:p>
    <w:bookmarkStart w:id="118" w:name="page119"/>
    <w:bookmarkEnd w:id="11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shd w:val="clear" w:color="auto" w:fill="C0C0C0"/>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SA-23</w:t>
      </w:r>
    </w:p>
    <w:p>
      <w:pPr>
        <w:ind w:left="400"/>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80"/>
          </w:cols>
          <w:pgMar w:left="320" w:top="1440" w:right="49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4" w:lineRule="exact"/>
        <w:rPr>
          <w:sz w:val="20"/>
          <w:szCs w:val="20"/>
          <w:color w:val="auto"/>
        </w:rPr>
      </w:pPr>
    </w:p>
    <w:p>
      <w:pPr>
        <w:ind w:left="1300" w:right="100" w:hanging="1299"/>
        <w:spacing w:after="0" w:line="247"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737-8 MAX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is entered into on the date below and amends and supplements the Purchase Agreement referenced above. All capitalized terms used in but not otherwise defined in this Letter Agreement shall have the same meaning as in the Purchase Agreement.</w:t>
      </w:r>
    </w:p>
    <w:p>
      <w:pPr>
        <w:spacing w:after="0" w:line="15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Customer has [****] that Boeing [****] in the Aircraft certain [****] described in this Letter Agreement including the options described and listed in Attachment A to this Letter Agreement (collectively referred to as [****] or [****]) in accordance with the terms and conditions of this Letter Agreement. [****] that is identified in the Detail Specification for the Aircraft is [****] that Boeing is [****] in accordance with Section 2 below, but is otherwise [****] for purposes of the Purchase Agreement.</w:t>
      </w:r>
    </w:p>
    <w:p>
      <w:pPr>
        <w:spacing w:after="0" w:line="39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 during the [****] and manufacture of the Aircraft to achieve [****] at the time of delivery of the Aircraft. To achieve this, Boeing and Customer will [****] in a manner consistent with (i) the terms and conditions [****]; and (ii) [****].</w:t>
      </w:r>
    </w:p>
    <w:p>
      <w:pPr>
        <w:spacing w:after="0" w:line="41"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Customer Responsibilities</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 Customer has selected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 Customer will provide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 Customer will [****]. Such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1.3.1  specify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1.3.2  specify that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1.3.3  specify the [****]; and</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1.3.4  require [****].</w:t>
      </w:r>
    </w:p>
    <w:p>
      <w:pPr>
        <w:spacing w:after="0" w:line="71" w:lineRule="exact"/>
        <w:rPr>
          <w:sz w:val="20"/>
          <w:szCs w:val="20"/>
          <w:color w:val="auto"/>
        </w:rPr>
      </w:pPr>
    </w:p>
    <w:p>
      <w:pPr>
        <w:ind w:left="1040" w:hanging="384"/>
        <w:spacing w:after="0"/>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Boeing Responsibilities</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2.1  Boeing shall:</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2.1.1  perform the [****] described in Attachment B to this Letter Agreement;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2.1.2  assist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2.1.3  approve the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2.1.4  provide to [****]. The [****] are subject to the terms and conditions of this Letter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2.1.5  send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2.1.6  manage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2.1.7  coordinate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2.1.8  provide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2.1.9  ensure that the [****];</w:t>
      </w:r>
    </w:p>
    <w:p>
      <w:pPr>
        <w:spacing w:after="0" w:line="71" w:lineRule="exact"/>
        <w:rPr>
          <w:sz w:val="20"/>
          <w:szCs w:val="20"/>
          <w:color w:val="auto"/>
        </w:rPr>
      </w:pPr>
    </w:p>
    <w:p>
      <w:pPr>
        <w:jc w:val="both"/>
        <w:ind w:left="1300" w:hanging="647"/>
        <w:spacing w:after="0" w:line="236" w:lineRule="auto"/>
        <w:rPr>
          <w:sz w:val="20"/>
          <w:szCs w:val="20"/>
          <w:color w:val="auto"/>
        </w:rPr>
      </w:pPr>
      <w:r>
        <w:rPr>
          <w:rFonts w:ascii="Arial" w:cs="Arial" w:eastAsia="Arial" w:hAnsi="Arial"/>
          <w:sz w:val="22"/>
          <w:szCs w:val="22"/>
          <w:color w:val="auto"/>
        </w:rPr>
        <w:t>2.1.10 [****] in the Aircraft, in accordance with the terms and conditions of the Purchase Agreement (including, without limitation, the [****]) the [****] identified in Section 3.1 of this Letter Agreement;</w:t>
      </w:r>
    </w:p>
    <w:p>
      <w:pPr>
        <w:spacing w:after="0" w:line="43" w:lineRule="exact"/>
        <w:rPr>
          <w:sz w:val="20"/>
          <w:szCs w:val="20"/>
          <w:color w:val="auto"/>
        </w:rPr>
      </w:pPr>
    </w:p>
    <w:p>
      <w:pPr>
        <w:jc w:val="both"/>
        <w:ind w:left="1300" w:hanging="647"/>
        <w:spacing w:after="0" w:line="236" w:lineRule="auto"/>
        <w:rPr>
          <w:sz w:val="20"/>
          <w:szCs w:val="20"/>
          <w:color w:val="auto"/>
        </w:rPr>
      </w:pPr>
      <w:r>
        <w:rPr>
          <w:rFonts w:ascii="Arial" w:cs="Arial" w:eastAsia="Arial" w:hAnsi="Arial"/>
          <w:sz w:val="22"/>
          <w:szCs w:val="22"/>
          <w:color w:val="auto"/>
        </w:rPr>
        <w:t>2.1.11 ensure that at the time of Aircraft delivery, the [****] referenced in Attachment A to this Letter Agreement;</w:t>
      </w:r>
    </w:p>
    <w:p>
      <w:pPr>
        <w:spacing w:after="0" w:line="43" w:lineRule="exact"/>
        <w:rPr>
          <w:sz w:val="20"/>
          <w:szCs w:val="20"/>
          <w:color w:val="auto"/>
        </w:rPr>
      </w:pPr>
    </w:p>
    <w:p>
      <w:pPr>
        <w:jc w:val="both"/>
        <w:ind w:left="1300" w:hanging="647"/>
        <w:spacing w:after="0" w:line="226" w:lineRule="auto"/>
        <w:rPr>
          <w:sz w:val="20"/>
          <w:szCs w:val="20"/>
          <w:color w:val="auto"/>
        </w:rPr>
      </w:pPr>
      <w:r>
        <w:rPr>
          <w:rFonts w:ascii="Arial" w:cs="Arial" w:eastAsia="Arial" w:hAnsi="Arial"/>
          <w:sz w:val="22"/>
          <w:szCs w:val="22"/>
          <w:color w:val="auto"/>
        </w:rPr>
        <w:t>2.1.12 if necessary, and upon request of Customer, use commercially [****] to assist Customer in causing [****] under the [****] with the objective of delivery of the Aircraft on the delivery date (that is scheduled in accordance with Section 6.1 of the AGTA) with the [****] in the Aircraft and certified by the FAA; and</w:t>
      </w:r>
    </w:p>
    <w:p>
      <w:pPr>
        <w:spacing w:after="0" w:line="41" w:lineRule="exact"/>
        <w:rPr>
          <w:sz w:val="20"/>
          <w:szCs w:val="20"/>
          <w:color w:val="auto"/>
        </w:rPr>
      </w:pPr>
    </w:p>
    <w:p>
      <w:pPr>
        <w:jc w:val="both"/>
        <w:ind w:left="1300" w:hanging="647"/>
        <w:spacing w:after="0" w:line="236" w:lineRule="auto"/>
        <w:rPr>
          <w:sz w:val="20"/>
          <w:szCs w:val="20"/>
          <w:color w:val="auto"/>
        </w:rPr>
      </w:pPr>
      <w:r>
        <w:rPr>
          <w:rFonts w:ascii="Arial" w:cs="Arial" w:eastAsia="Arial" w:hAnsi="Arial"/>
          <w:sz w:val="22"/>
          <w:szCs w:val="22"/>
          <w:color w:val="auto"/>
        </w:rPr>
        <w:t>2.1.13 prior to delivery of the applicable Aircraft, obtain [****] of the Aircraft with [****] installed, including the [****] identified in Section 3.1 of this Letter Agreement.</w:t>
      </w:r>
    </w:p>
    <w:p>
      <w:pPr>
        <w:spacing w:after="0" w:line="4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1"/>
          <w:szCs w:val="21"/>
          <w:color w:val="auto"/>
        </w:rPr>
        <w:t>[****]. [****] may contain [****] of the following two (2) types:</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 The [****] required to [****] on the Aircraft is the [****] and is part of the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 xml:space="preserve">Customer’s </w:t>
      </w:r>
      <w:r>
        <w:rPr>
          <w:rFonts w:ascii="Arial" w:cs="Arial" w:eastAsia="Arial" w:hAnsi="Arial"/>
          <w:sz w:val="21"/>
          <w:szCs w:val="21"/>
          <w:color w:val="auto"/>
        </w:rPr>
        <w:t>[****]. The [****] to the Aircraft [****] and is not part of the [****].</w:t>
      </w:r>
    </w:p>
    <w:p>
      <w:pPr>
        <w:spacing w:after="0" w:line="71" w:lineRule="exact"/>
        <w:rPr>
          <w:sz w:val="20"/>
          <w:szCs w:val="20"/>
          <w:color w:val="auto"/>
        </w:rPr>
      </w:pPr>
    </w:p>
    <w:p>
      <w:pPr>
        <w:jc w:val="both"/>
        <w:ind w:left="1300" w:hanging="647"/>
        <w:spacing w:after="0" w:line="226" w:lineRule="auto"/>
        <w:rPr>
          <w:sz w:val="20"/>
          <w:szCs w:val="20"/>
          <w:color w:val="auto"/>
        </w:rPr>
      </w:pPr>
      <w:r>
        <w:rPr>
          <w:rFonts w:ascii="Arial" w:cs="Arial" w:eastAsia="Arial" w:hAnsi="Arial"/>
          <w:sz w:val="22"/>
          <w:szCs w:val="22"/>
          <w:color w:val="auto"/>
        </w:rPr>
        <w:t>3.2.1 As between Customer and Boeing, Customer is solely responsible for specifying the [****] and ensuring that Customer’s [****] meets such [****]. Customer and the [****] of Customer’s [****] will have total responsibility for the [****] of any of Customer’s [****].</w:t>
      </w:r>
    </w:p>
    <w:p>
      <w:pPr>
        <w:spacing w:after="0" w:line="41" w:lineRule="exact"/>
        <w:rPr>
          <w:sz w:val="20"/>
          <w:szCs w:val="20"/>
          <w:color w:val="auto"/>
        </w:rPr>
      </w:pPr>
    </w:p>
    <w:p>
      <w:pPr>
        <w:jc w:val="both"/>
        <w:ind w:left="1300" w:hanging="647"/>
        <w:spacing w:after="0" w:line="236" w:lineRule="auto"/>
        <w:rPr>
          <w:sz w:val="20"/>
          <w:szCs w:val="20"/>
          <w:color w:val="auto"/>
        </w:rPr>
      </w:pPr>
      <w:r>
        <w:rPr>
          <w:rFonts w:ascii="Arial" w:cs="Arial" w:eastAsia="Arial" w:hAnsi="Arial"/>
          <w:sz w:val="22"/>
          <w:szCs w:val="22"/>
          <w:color w:val="auto"/>
        </w:rPr>
        <w:t>3.2.2 The [****] of any Customer’s [****] or the lack of any [****] will not be a valid condition for Customer’s [****].</w:t>
      </w:r>
    </w:p>
    <w:p>
      <w:pPr>
        <w:spacing w:after="0" w:line="43" w:lineRule="exact"/>
        <w:rPr>
          <w:sz w:val="20"/>
          <w:szCs w:val="20"/>
          <w:color w:val="auto"/>
        </w:rPr>
      </w:pPr>
    </w:p>
    <w:p>
      <w:pPr>
        <w:jc w:val="both"/>
        <w:ind w:left="1300" w:hanging="647"/>
        <w:spacing w:after="0" w:line="236" w:lineRule="auto"/>
        <w:rPr>
          <w:sz w:val="20"/>
          <w:szCs w:val="20"/>
          <w:color w:val="auto"/>
        </w:rPr>
      </w:pPr>
      <w:r>
        <w:rPr>
          <w:rFonts w:ascii="Arial" w:cs="Arial" w:eastAsia="Arial" w:hAnsi="Arial"/>
          <w:sz w:val="22"/>
          <w:szCs w:val="22"/>
          <w:color w:val="auto"/>
        </w:rPr>
        <w:t>3.2.3 Boeing has no [****] to support Customer’s [****]. Boeing will only [****] if in Boeing’s reasonable opinion such [****] is necessary to [****] on the Aircraft.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3.2.4  Boeing shall not be responsible for obtaining FAA certification for Customer’s [****].</w:t>
      </w:r>
    </w:p>
    <w:p>
      <w:pPr>
        <w:spacing w:after="0" w:line="71" w:lineRule="exact"/>
        <w:rPr>
          <w:sz w:val="20"/>
          <w:szCs w:val="20"/>
          <w:color w:val="auto"/>
        </w:rPr>
      </w:pPr>
    </w:p>
    <w:p>
      <w:pPr>
        <w:ind w:left="1040" w:hanging="384"/>
        <w:spacing w:after="0"/>
        <w:tabs>
          <w:tab w:leader="none" w:pos="10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Changes</w:t>
      </w:r>
      <w:r>
        <w:rPr>
          <w:rFonts w:ascii="Arial" w:cs="Arial" w:eastAsia="Arial" w:hAnsi="Arial"/>
          <w:sz w:val="22"/>
          <w:szCs w:val="22"/>
          <w:color w:val="auto"/>
        </w:rPr>
        <w:t>.</w:t>
      </w:r>
    </w:p>
    <w:p>
      <w:pPr>
        <w:spacing w:after="0" w:line="71" w:lineRule="exact"/>
        <w:rPr>
          <w:sz w:val="20"/>
          <w:szCs w:val="20"/>
          <w:color w:val="auto"/>
        </w:rPr>
      </w:pPr>
    </w:p>
    <w:p>
      <w:pPr>
        <w:jc w:val="both"/>
        <w:ind w:left="1180" w:hanging="517"/>
        <w:spacing w:after="0" w:line="224" w:lineRule="auto"/>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Customer and [****] may change the [****] of Boeing. Customer may [****] at any time, and Boeing shall [****] in a timely manner. Any [****] that Boeing gives to a [****] shall be subject to [****] through Boeing’s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 of the Purchase Agreement.</w:t>
      </w:r>
    </w:p>
    <w:p>
      <w:pPr>
        <w:spacing w:after="0" w:line="51"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4.2</w:t>
        <w:tab/>
        <w:t>Boeing and Customer recognize that the [****] nature of the [****] in order to ensure (i) [****] with the Aircraft and all [****], and (ii) [****] of the Aircraft with the [****]. In such event, Boeing will notify Customer and [****]. If, within [****] as may be mutually agreed in writing) after such notification, (i)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left="1180"/>
        <w:spacing w:after="0" w:line="220" w:lineRule="auto"/>
        <w:rPr>
          <w:sz w:val="20"/>
          <w:szCs w:val="20"/>
          <w:color w:val="auto"/>
        </w:rPr>
      </w:pPr>
      <w:r>
        <w:rPr>
          <w:rFonts w:ascii="Arial" w:cs="Arial" w:eastAsia="Arial" w:hAnsi="Arial"/>
          <w:sz w:val="22"/>
          <w:szCs w:val="22"/>
          <w:color w:val="auto"/>
        </w:rPr>
        <w:t>Customer and Boeing [****] or an alternate course of action and (ii) so long as Boeing has [****] with Customer to [****], then any [****] in delivery of the Aircraft will be [****] and Article 7 of the AGTA will apply. The [****] of any mutually agreed [****] may result in Boeing adjusting the [****] contained in Attachment A to this Letter Agreement.</w:t>
      </w:r>
    </w:p>
    <w:p>
      <w:pPr>
        <w:spacing w:after="0" w:line="44"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Boeing's [****] of the Aircraft as it relates to [****] as described in the options listed in Attachment A to this Letter Agreement, as such Attachment A may be amended from time to time.</w:t>
      </w:r>
    </w:p>
    <w:p>
      <w:pPr>
        <w:spacing w:after="0" w:line="4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Boeing and Customer agree to follow the sequential steps identified in this Section 5 to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5.1.1  Boeing shall [****].</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5.1.2  Within [****] or other course of action.</w:t>
      </w:r>
    </w:p>
    <w:p>
      <w:pPr>
        <w:spacing w:after="0" w:line="71" w:lineRule="exact"/>
        <w:rPr>
          <w:sz w:val="20"/>
          <w:szCs w:val="20"/>
          <w:color w:val="auto"/>
        </w:rPr>
      </w:pPr>
    </w:p>
    <w:p>
      <w:pPr>
        <w:ind w:left="1220" w:hanging="647"/>
        <w:spacing w:after="0" w:line="236" w:lineRule="auto"/>
        <w:tabs>
          <w:tab w:leader="none" w:pos="1200" w:val="left"/>
        </w:tabs>
        <w:rPr>
          <w:sz w:val="20"/>
          <w:szCs w:val="20"/>
          <w:color w:val="auto"/>
        </w:rPr>
      </w:pPr>
      <w:r>
        <w:rPr>
          <w:rFonts w:ascii="Arial" w:cs="Arial" w:eastAsia="Arial" w:hAnsi="Arial"/>
          <w:sz w:val="22"/>
          <w:szCs w:val="22"/>
          <w:color w:val="auto"/>
        </w:rPr>
        <w:t>5.2</w:t>
        <w:tab/>
        <w:t>If Boeing and Customer are [****] to agree on an alternate [****] or course of action within such time, the [****] to Boeing in Section 8 of this Letter Agreement shall apply.</w:t>
      </w:r>
    </w:p>
    <w:p>
      <w:pPr>
        <w:spacing w:after="0" w:line="43" w:lineRule="exact"/>
        <w:rPr>
          <w:sz w:val="20"/>
          <w:szCs w:val="20"/>
          <w:color w:val="auto"/>
        </w:rPr>
      </w:pPr>
    </w:p>
    <w:p>
      <w:pPr>
        <w:ind w:left="1040" w:hanging="384"/>
        <w:spacing w:after="0"/>
        <w:tabs>
          <w:tab w:leader="none" w:pos="10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Proprietary Rights</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Boeing's [****] for the [****] will not impose upon Boeing any [****] Customer may have in the [****].</w:t>
      </w:r>
    </w:p>
    <w:p>
      <w:pPr>
        <w:spacing w:after="0" w:line="71" w:lineRule="exact"/>
        <w:rPr>
          <w:sz w:val="20"/>
          <w:szCs w:val="20"/>
          <w:color w:val="auto"/>
        </w:rPr>
      </w:pPr>
    </w:p>
    <w:p>
      <w:pPr>
        <w:ind w:left="1040" w:hanging="384"/>
        <w:spacing w:after="0"/>
        <w:tabs>
          <w:tab w:leader="none" w:pos="10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Exhibits B and C to the AGTA</w:t>
      </w:r>
      <w:r>
        <w:rPr>
          <w:rFonts w:ascii="Arial" w:cs="Arial" w:eastAsia="Arial" w:hAnsi="Arial"/>
          <w:sz w:val="22"/>
          <w:szCs w:val="22"/>
          <w:color w:val="auto"/>
        </w:rPr>
        <w:t>.</w:t>
      </w:r>
    </w:p>
    <w:p>
      <w:pPr>
        <w:spacing w:after="0" w:line="7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is deemed to be BFE for the purposes of Exhibit B to the AGTA, entitled “</w:t>
      </w:r>
      <w:r>
        <w:rPr>
          <w:rFonts w:ascii="Arial" w:cs="Arial" w:eastAsia="Arial" w:hAnsi="Arial"/>
          <w:sz w:val="22"/>
          <w:szCs w:val="22"/>
          <w:u w:val="single" w:color="auto"/>
          <w:color w:val="auto"/>
        </w:rPr>
        <w:t>Customer Support Document</w:t>
      </w:r>
      <w:r>
        <w:rPr>
          <w:rFonts w:ascii="Arial" w:cs="Arial" w:eastAsia="Arial" w:hAnsi="Arial"/>
          <w:sz w:val="22"/>
          <w:szCs w:val="22"/>
          <w:color w:val="auto"/>
        </w:rPr>
        <w:t>”, and Exhibit C to the AGTA, entitled “</w:t>
      </w:r>
      <w:r>
        <w:rPr>
          <w:rFonts w:ascii="Arial" w:cs="Arial" w:eastAsia="Arial" w:hAnsi="Arial"/>
          <w:sz w:val="22"/>
          <w:szCs w:val="22"/>
          <w:u w:val="single" w:color="auto"/>
          <w:color w:val="auto"/>
        </w:rPr>
        <w:t>Product Assurance Document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40" w:hanging="384"/>
        <w:spacing w:after="0"/>
        <w:tabs>
          <w:tab w:leader="none" w:pos="10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Boeing [****]</w:t>
      </w:r>
      <w:r>
        <w:rPr>
          <w:rFonts w:ascii="Arial" w:cs="Arial" w:eastAsia="Arial" w:hAnsi="Arial"/>
          <w:sz w:val="22"/>
          <w:szCs w:val="22"/>
          <w:color w:val="auto"/>
        </w:rPr>
        <w:t>.</w:t>
      </w:r>
    </w:p>
    <w:p>
      <w:pPr>
        <w:spacing w:after="0" w:line="179" w:lineRule="exact"/>
        <w:rPr>
          <w:sz w:val="20"/>
          <w:szCs w:val="20"/>
          <w:color w:val="auto"/>
        </w:rPr>
      </w:pPr>
    </w:p>
    <w:p>
      <w:pPr>
        <w:ind w:left="420" w:hanging="404"/>
        <w:spacing w:after="0" w:line="236" w:lineRule="auto"/>
        <w:rPr>
          <w:sz w:val="20"/>
          <w:szCs w:val="20"/>
          <w:color w:val="auto"/>
        </w:rPr>
      </w:pPr>
      <w:r>
        <w:rPr>
          <w:rFonts w:ascii="Arial" w:cs="Arial" w:eastAsia="Arial" w:hAnsi="Arial"/>
          <w:sz w:val="22"/>
          <w:szCs w:val="22"/>
          <w:color w:val="auto"/>
        </w:rPr>
        <w:t>8.1 If Customer [****] as provided in this Letter Agreement or if [****] (for any reason [****] under the purchase order terms) to [****], in accordance with the [****], then, in addition to [****], Boeing will:</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8.1.1  [****] and</w:t>
      </w:r>
    </w:p>
    <w:p>
      <w:pPr>
        <w:spacing w:after="0" w:line="71" w:lineRule="exact"/>
        <w:rPr>
          <w:sz w:val="20"/>
          <w:szCs w:val="20"/>
          <w:color w:val="auto"/>
        </w:rPr>
      </w:pPr>
    </w:p>
    <w:p>
      <w:pPr>
        <w:jc w:val="both"/>
        <w:ind w:left="1440" w:hanging="777"/>
        <w:spacing w:after="0" w:line="226" w:lineRule="auto"/>
        <w:rPr>
          <w:sz w:val="20"/>
          <w:szCs w:val="20"/>
          <w:color w:val="auto"/>
        </w:rPr>
      </w:pPr>
      <w:r>
        <w:rPr>
          <w:rFonts w:ascii="Arial" w:cs="Arial" w:eastAsia="Arial" w:hAnsi="Arial"/>
          <w:sz w:val="22"/>
          <w:szCs w:val="22"/>
          <w:color w:val="auto"/>
        </w:rPr>
        <w:t>8.1.1.1 if the [****] to Section 5.1 of the Exhibit A to the AGTA entitled “Buyer Furnished Equipment Provisions Document” (</w:t>
      </w:r>
      <w:r>
        <w:rPr>
          <w:rFonts w:ascii="Arial" w:cs="Arial" w:eastAsia="Arial" w:hAnsi="Arial"/>
          <w:sz w:val="22"/>
          <w:szCs w:val="22"/>
          <w:b w:val="1"/>
          <w:bCs w:val="1"/>
          <w:color w:val="auto"/>
        </w:rPr>
        <w:t>AGTA Exhibit A BFE Provisions Document</w:t>
      </w:r>
      <w:r>
        <w:rPr>
          <w:rFonts w:ascii="Arial" w:cs="Arial" w:eastAsia="Arial" w:hAnsi="Arial"/>
          <w:sz w:val="22"/>
          <w:szCs w:val="22"/>
          <w:color w:val="auto"/>
        </w:rPr>
        <w:t>), then the provisions of Article 7, "Excusable Delay", [****];</w:t>
      </w:r>
    </w:p>
    <w:p>
      <w:pPr>
        <w:spacing w:after="0" w:line="41" w:lineRule="exact"/>
        <w:rPr>
          <w:sz w:val="20"/>
          <w:szCs w:val="20"/>
          <w:color w:val="auto"/>
        </w:rPr>
      </w:pPr>
    </w:p>
    <w:p>
      <w:pPr>
        <w:jc w:val="both"/>
        <w:ind w:left="1440" w:hanging="777"/>
        <w:spacing w:after="0" w:line="236" w:lineRule="auto"/>
        <w:rPr>
          <w:sz w:val="20"/>
          <w:szCs w:val="20"/>
          <w:color w:val="auto"/>
        </w:rPr>
      </w:pPr>
      <w:r>
        <w:rPr>
          <w:rFonts w:ascii="Arial" w:cs="Arial" w:eastAsia="Arial" w:hAnsi="Arial"/>
          <w:sz w:val="22"/>
          <w:szCs w:val="22"/>
          <w:color w:val="auto"/>
        </w:rPr>
        <w:t>8.1.1.2 if the [****] pursuant to Section 5.2 of the AGTA Exhibit A BFE Provisions Document, then Boeing will [****];</w:t>
      </w:r>
    </w:p>
    <w:p>
      <w:pPr>
        <w:spacing w:after="0" w:line="4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21"/>
          <w:szCs w:val="21"/>
          <w:color w:val="auto"/>
        </w:rPr>
        <w:t>[****]; and/or</w:t>
      </w:r>
    </w:p>
    <w:p>
      <w:pPr>
        <w:spacing w:after="0" w:line="71" w:lineRule="exact"/>
        <w:rPr>
          <w:sz w:val="20"/>
          <w:szCs w:val="20"/>
          <w:color w:val="auto"/>
        </w:rPr>
      </w:pPr>
    </w:p>
    <w:p>
      <w:pPr>
        <w:jc w:val="both"/>
        <w:ind w:left="1420" w:hanging="777"/>
        <w:spacing w:after="0" w:line="236" w:lineRule="auto"/>
        <w:tabs>
          <w:tab w:leader="none" w:pos="1400" w:val="left"/>
        </w:tabs>
        <w:rPr>
          <w:sz w:val="20"/>
          <w:szCs w:val="20"/>
          <w:color w:val="auto"/>
        </w:rPr>
      </w:pPr>
      <w:r>
        <w:rPr>
          <w:rFonts w:ascii="Arial" w:cs="Arial" w:eastAsia="Arial" w:hAnsi="Arial"/>
          <w:sz w:val="22"/>
          <w:szCs w:val="22"/>
          <w:color w:val="auto"/>
        </w:rPr>
        <w:t>8.1.3</w:t>
        <w:tab/>
        <w:t>[****] by the amount of Boeing's [****], including but not limited to, (i) [****] by Boeing, (ii) any [****] as established by Boeing and agreed to by the [****] and (iii) [****] and [****].</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8.2 Boeing will use [****] described in Section 8.1.3. Notwithstanding the last clause of 8.1.3, Boeing has no [****].</w:t>
      </w:r>
    </w:p>
    <w:p>
      <w:pPr>
        <w:spacing w:after="0" w:line="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If Boeing [****] set forth herein, then any [****] of the Aircraft, to the [****], will be the [****] of Boeing.</w:t>
      </w:r>
    </w:p>
    <w:p>
      <w:pPr>
        <w:spacing w:after="0" w:line="7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will at all times [****] with Customer [****] and Boeing will have [****] have, but will not be [****].</w:t>
      </w:r>
    </w:p>
    <w:p>
      <w:pPr>
        <w:spacing w:after="0" w:line="71"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71" w:lineRule="exact"/>
        <w:rPr>
          <w:sz w:val="20"/>
          <w:szCs w:val="20"/>
          <w:color w:val="auto"/>
        </w:rPr>
      </w:pPr>
    </w:p>
    <w:p>
      <w:pPr>
        <w:ind w:right="360" w:firstLine="648"/>
        <w:spacing w:after="0" w:line="220" w:lineRule="auto"/>
        <w:rPr>
          <w:sz w:val="20"/>
          <w:szCs w:val="20"/>
          <w:color w:val="auto"/>
        </w:rPr>
      </w:pPr>
      <w:r>
        <w:rPr>
          <w:rFonts w:ascii="Arial" w:cs="Arial" w:eastAsia="Arial" w:hAnsi="Arial"/>
          <w:sz w:val="22"/>
          <w:szCs w:val="22"/>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70485</wp:posOffset>
            </wp:positionV>
            <wp:extent cx="33343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70485</wp:posOffset>
            </wp:positionV>
            <wp:extent cx="33343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580" w:type="dxa"/>
            <w:vAlign w:val="bottom"/>
          </w:tcPr>
          <w:p>
            <w:pPr>
              <w:spacing w:after="0"/>
              <w:rPr>
                <w:sz w:val="20"/>
                <w:szCs w:val="20"/>
                <w:color w:val="auto"/>
              </w:rPr>
            </w:pPr>
            <w:r>
              <w:rPr>
                <w:rFonts w:ascii="Arial" w:cs="Arial" w:eastAsia="Arial" w:hAnsi="Arial"/>
                <w:sz w:val="22"/>
                <w:szCs w:val="22"/>
                <w:color w:val="auto"/>
              </w:rPr>
              <w:t>Date:</w:t>
            </w:r>
          </w:p>
        </w:tc>
        <w:tc>
          <w:tcPr>
            <w:tcW w:w="320" w:type="dxa"/>
            <w:vAlign w:val="bottom"/>
          </w:tcPr>
          <w:p>
            <w:pPr>
              <w:spacing w:after="0"/>
              <w:rPr>
                <w:sz w:val="24"/>
                <w:szCs w:val="24"/>
                <w:color w:val="auto"/>
              </w:rPr>
            </w:pPr>
          </w:p>
        </w:tc>
        <w:tc>
          <w:tcPr>
            <w:tcW w:w="4920" w:type="dxa"/>
            <w:vAlign w:val="bottom"/>
          </w:tcPr>
          <w:p>
            <w:pPr>
              <w:ind w:left="60"/>
              <w:spacing w:after="0"/>
              <w:rPr>
                <w:sz w:val="20"/>
                <w:szCs w:val="20"/>
                <w:color w:val="auto"/>
              </w:rPr>
            </w:pPr>
            <w:r>
              <w:rPr>
                <w:rFonts w:ascii="Arial" w:cs="Arial" w:eastAsia="Arial" w:hAnsi="Arial"/>
                <w:sz w:val="22"/>
                <w:szCs w:val="22"/>
                <w:color w:val="auto"/>
              </w:rPr>
              <w:t>May 5, 2022</w:t>
            </w:r>
          </w:p>
        </w:tc>
      </w:tr>
      <w:tr>
        <w:trPr>
          <w:trHeight w:val="80"/>
        </w:trPr>
        <w:tc>
          <w:tcPr>
            <w:tcW w:w="900" w:type="dxa"/>
            <w:vAlign w:val="bottom"/>
            <w:gridSpan w:val="2"/>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r>
      <w:tr>
        <w:trPr>
          <w:trHeight w:val="588"/>
        </w:trPr>
        <w:tc>
          <w:tcPr>
            <w:tcW w:w="5820" w:type="dxa"/>
            <w:vAlign w:val="bottom"/>
            <w:gridSpan w:val="3"/>
          </w:tcPr>
          <w:p>
            <w:pPr>
              <w:spacing w:after="0"/>
              <w:rPr>
                <w:sz w:val="20"/>
                <w:szCs w:val="20"/>
                <w:color w:val="auto"/>
              </w:rPr>
            </w:pPr>
            <w:r>
              <w:rPr>
                <w:rFonts w:ascii="Arial" w:cs="Arial" w:eastAsia="Arial" w:hAnsi="Arial"/>
                <w:sz w:val="22"/>
                <w:szCs w:val="22"/>
                <w:color w:val="auto"/>
              </w:rPr>
              <w:t>AMERICAN AIRLINES, INC.</w:t>
            </w:r>
          </w:p>
        </w:tc>
      </w:tr>
      <w:tr>
        <w:trPr>
          <w:trHeight w:val="662"/>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gridSpan w:val="2"/>
          </w:tcPr>
          <w:p>
            <w:pPr>
              <w:ind w:left="60"/>
              <w:spacing w:after="0"/>
              <w:rPr>
                <w:sz w:val="20"/>
                <w:szCs w:val="20"/>
                <w:color w:val="auto"/>
              </w:rPr>
            </w:pPr>
            <w:r>
              <w:rPr>
                <w:rFonts w:ascii="Arial" w:cs="Arial" w:eastAsia="Arial" w:hAnsi="Arial"/>
                <w:sz w:val="22"/>
                <w:szCs w:val="22"/>
                <w:color w:val="auto"/>
              </w:rPr>
              <w:t>/s/ American Airlines, Inc.</w:t>
            </w:r>
          </w:p>
        </w:tc>
      </w:tr>
      <w:tr>
        <w:trPr>
          <w:trHeight w:val="80"/>
        </w:trPr>
        <w:tc>
          <w:tcPr>
            <w:tcW w:w="5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r>
      <w:tr>
        <w:trPr>
          <w:trHeight w:val="588"/>
        </w:trPr>
        <w:tc>
          <w:tcPr>
            <w:tcW w:w="580" w:type="dxa"/>
            <w:vAlign w:val="bottom"/>
          </w:tcPr>
          <w:p>
            <w:pPr>
              <w:spacing w:after="0"/>
              <w:rPr>
                <w:sz w:val="20"/>
                <w:szCs w:val="20"/>
                <w:color w:val="auto"/>
              </w:rPr>
            </w:pPr>
            <w:r>
              <w:rPr>
                <w:rFonts w:ascii="Arial" w:cs="Arial" w:eastAsia="Arial" w:hAnsi="Arial"/>
                <w:sz w:val="22"/>
                <w:szCs w:val="22"/>
                <w:color w:val="auto"/>
              </w:rPr>
              <w:t>Its</w:t>
            </w:r>
          </w:p>
        </w:tc>
        <w:tc>
          <w:tcPr>
            <w:tcW w:w="5240" w:type="dxa"/>
            <w:vAlign w:val="bottom"/>
            <w:gridSpan w:val="2"/>
          </w:tcPr>
          <w:p>
            <w:pPr>
              <w:ind w:left="60"/>
              <w:spacing w:after="0"/>
              <w:rPr>
                <w:sz w:val="20"/>
                <w:szCs w:val="20"/>
                <w:color w:val="auto"/>
              </w:rPr>
            </w:pPr>
            <w:r>
              <w:rPr>
                <w:rFonts w:ascii="Arial" w:cs="Arial" w:eastAsia="Arial" w:hAnsi="Arial"/>
                <w:sz w:val="22"/>
                <w:szCs w:val="22"/>
                <w:color w:val="auto"/>
              </w:rPr>
              <w:t>VP, Treasurer</w:t>
            </w:r>
          </w:p>
        </w:tc>
      </w:tr>
      <w:tr>
        <w:trPr>
          <w:trHeight w:val="80"/>
        </w:trPr>
        <w:tc>
          <w:tcPr>
            <w:tcW w:w="5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5</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920"/>
          </w:cols>
          <w:pgMar w:left="320" w:top="1440" w:right="6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color w:val="auto"/>
        </w:rPr>
        <w:t>Attachment A</w:t>
      </w: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following [****]) describe(s) the items of equipment that under the terms and conditions of this Letter Agreement are considered to be [****]. Each such [****] is fully described in the [****] as described in Exhibit A to the Purchase Agreement or as a proposed [****]. Final configuration will be based on Customer acceptance of any or all [****] listed below.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Number and Title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758"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2"/>
          <w:szCs w:val="22"/>
          <w:b w:val="1"/>
          <w:bCs w:val="1"/>
          <w:color w:val="auto"/>
        </w:rPr>
        <w:t>Attachment B</w:t>
      </w: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6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Attachment B describes the functions that Boeing will perform as [****] to support (i) the [****] and (ii) the [****] on the Aircraft.</w:t>
      </w:r>
    </w:p>
    <w:p>
      <w:pPr>
        <w:spacing w:after="0" w:line="151" w:lineRule="exact"/>
        <w:rPr>
          <w:sz w:val="20"/>
          <w:szCs w:val="20"/>
          <w:color w:val="auto"/>
        </w:rPr>
      </w:pPr>
    </w:p>
    <w:p>
      <w:pPr>
        <w:ind w:left="1620" w:hanging="640"/>
        <w:spacing w:after="0"/>
        <w:tabs>
          <w:tab w:leader="none" w:pos="162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Boeing will perform the following functions [****]. Boeing will have [****] which, in Boeing's reasonable opinion, [****]. Boeing will be [****] for:</w:t>
      </w:r>
    </w:p>
    <w:p>
      <w:pPr>
        <w:spacing w:after="0" w:line="43" w:lineRule="exact"/>
        <w:rPr>
          <w:sz w:val="20"/>
          <w:szCs w:val="20"/>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040" w:hanging="384"/>
        <w:spacing w:after="0"/>
        <w:tabs>
          <w:tab w:leader="none" w:pos="10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Boeing's [****] will include the functions of [****]. As [****], Boeing will perform the following functions:</w:t>
      </w:r>
    </w:p>
    <w:p>
      <w:pPr>
        <w:spacing w:after="0" w:line="179" w:lineRule="exact"/>
        <w:rPr>
          <w:sz w:val="20"/>
          <w:szCs w:val="20"/>
          <w:color w:val="auto"/>
        </w:rPr>
      </w:pPr>
    </w:p>
    <w:p>
      <w:pPr>
        <w:ind w:left="1560" w:hanging="904"/>
        <w:spacing w:after="0"/>
        <w:tabs>
          <w:tab w:leader="none" w:pos="15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required, [****];</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Boeing, Customer and [****]; and</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AAL-PA-03735-LA-1605402R1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23 Page 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758" w:right="339" w:bottom="1440" w:gutter="0" w:footer="0" w:header="0"/>
        </w:sectPr>
      </w:pPr>
    </w:p>
    <w:bookmarkStart w:id="126" w:name="page127"/>
    <w:bookmarkEnd w:id="126"/>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0575" cy="283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92"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24</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24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24</w:t>
      </w:r>
      <w:r>
        <w:rPr>
          <w:rFonts w:ascii="Arial" w:cs="Arial" w:eastAsia="Arial" w:hAnsi="Arial"/>
          <w:sz w:val="22"/>
          <w:szCs w:val="22"/>
          <w:color w:val="auto"/>
        </w:rPr>
        <w:t xml:space="preserve"> </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June _</w:t>
      </w:r>
      <w:r>
        <w:rPr>
          <w:rFonts w:ascii="Arial" w:cs="Arial" w:eastAsia="Arial" w:hAnsi="Arial"/>
          <w:sz w:val="22"/>
          <w:szCs w:val="22"/>
          <w:u w:val="single" w:color="auto"/>
          <w:color w:val="auto"/>
        </w:rPr>
        <w:t>6</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264"/>
        <w:spacing w:after="0" w:line="220" w:lineRule="auto"/>
        <w:rPr>
          <w:sz w:val="20"/>
          <w:szCs w:val="20"/>
          <w:color w:val="auto"/>
        </w:rPr>
      </w:pPr>
      <w:r>
        <w:rPr>
          <w:rFonts w:ascii="Arial" w:cs="Arial" w:eastAsia="Arial" w:hAnsi="Arial"/>
          <w:sz w:val="22"/>
          <w:szCs w:val="22"/>
          <w:color w:val="auto"/>
        </w:rPr>
        <w:t>WHEREAS, in [****] to the [****] Aircraft that Customer had previously [****] as set forth in Table 1R12, 1-2, 1-3R6, and 1-4R2 to the Purchase Agreement, Customer [****] with the execution of this SA-24, [****] in Attachment A(R6) to Letter Agreement No. AAL-PA-03735-LA-1106651R6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pursuant to the terms and conditions of the [****] Letter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1620" w:hanging="640"/>
        <w:spacing w:after="0"/>
        <w:tabs>
          <w:tab w:leader="none" w:pos="16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SA-23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SA-24 in the footer to reflect changes made to the Purchase Agreement by this SA-24. Such new Table of Contents is hereby incorporated into the Purchase Agreement in replacement of its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SA-24,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127" w:name="page128"/>
    <w:bookmarkEnd w:id="127"/>
    <w:p>
      <w:pPr>
        <w:spacing w:after="0" w:line="91" w:lineRule="exact"/>
        <w:rPr>
          <w:sz w:val="20"/>
          <w:szCs w:val="20"/>
          <w:color w:val="auto"/>
        </w:rPr>
      </w:pPr>
    </w:p>
    <w:p>
      <w:pPr>
        <w:ind w:left="1693" w:hanging="640"/>
        <w:spacing w:after="0"/>
        <w:tabs>
          <w:tab w:leader="none" w:pos="169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2"/>
          <w:szCs w:val="22"/>
          <w:u w:val="single" w:color="auto"/>
          <w:color w:val="auto"/>
        </w:rPr>
        <w:t>Table 1-4R2</w:t>
      </w:r>
      <w:r>
        <w:rPr>
          <w:rFonts w:ascii="Arial" w:cs="Arial" w:eastAsia="Arial" w:hAnsi="Arial"/>
          <w:sz w:val="22"/>
          <w:szCs w:val="22"/>
          <w:color w:val="auto"/>
        </w:rPr>
        <w:t>. Table 1-4R2 entitled “</w:t>
      </w:r>
      <w:r>
        <w:rPr>
          <w:rFonts w:ascii="Arial" w:cs="Arial" w:eastAsia="Arial" w:hAnsi="Arial"/>
          <w:sz w:val="22"/>
          <w:szCs w:val="22"/>
          <w:u w:val="single" w:color="auto"/>
          <w:color w:val="auto"/>
        </w:rPr>
        <w:t>737-8 [****] Aircraft Delivery, Description, Price and Advance Payments</w:t>
      </w:r>
      <w:r>
        <w:rPr>
          <w:rFonts w:ascii="Arial" w:cs="Arial" w:eastAsia="Arial" w:hAnsi="Arial"/>
          <w:sz w:val="22"/>
          <w:szCs w:val="22"/>
          <w:color w:val="auto"/>
        </w:rPr>
        <w:t>” is hereby deleted in its entirety and replaced with Table 1-4R3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SA-24 in the footer is hereby incorporated into the Purchase Agreement in replacement of Table 1-4R2. For avoidance of doubt, the only difference between Table 1-4R2 and Table 1-4R3 is the [****] in the Purchase Agreement, resulting in Table 1-4R3.</w:t>
      </w:r>
    </w:p>
    <w:p>
      <w:pPr>
        <w:spacing w:after="0" w:line="152" w:lineRule="exact"/>
        <w:rPr>
          <w:sz w:val="20"/>
          <w:szCs w:val="20"/>
          <w:color w:val="auto"/>
        </w:rPr>
      </w:pPr>
    </w:p>
    <w:p>
      <w:pPr>
        <w:ind w:left="1693" w:hanging="640"/>
        <w:spacing w:after="0"/>
        <w:tabs>
          <w:tab w:leader="none" w:pos="169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3.1 Letter Agreement No. AAL-PA-03735-LA-1106651R6 (including Attachment A(R6) entitled [****] is hereby deleted in its entirety and replaced with Letter Agreement No. AAL-PA-03735-LA-1106651R7 (including Attachment A(R6) (attached hereto) entitled [****] ([****]) referencing SA-24 in the footer. The [****] is hereby incorporated into the Purchase Agreement.</w:t>
      </w:r>
    </w:p>
    <w:p>
      <w:pPr>
        <w:spacing w:after="0" w:line="17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 xml:space="preserve">3.2 In addition to the [****], the parties agree that [****] Letter Agreement No. AAL-PA-03735-LA-1106652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286" w:lineRule="exact"/>
        <w:rPr>
          <w:sz w:val="20"/>
          <w:szCs w:val="20"/>
          <w:color w:val="auto"/>
        </w:rPr>
      </w:pPr>
    </w:p>
    <w:p>
      <w:pPr>
        <w:ind w:left="713" w:hanging="713"/>
        <w:spacing w:after="0"/>
        <w:tabs>
          <w:tab w:leader="none" w:pos="713"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4.1 [****] for the [****], [****] ([****]) ([****] specified in Table 1-4R3 to the Purchase Agreement for the [****]) are [****] per [****] of the [****] and as specified in the [****] upon execution of this SA-24.</w:t>
      </w:r>
    </w:p>
    <w:p>
      <w:pPr>
        <w:spacing w:after="0" w:line="178" w:lineRule="exact"/>
        <w:rPr>
          <w:sz w:val="20"/>
          <w:szCs w:val="20"/>
          <w:color w:val="auto"/>
        </w:rPr>
      </w:pPr>
    </w:p>
    <w:p>
      <w:pPr>
        <w:ind w:left="713" w:hanging="713"/>
        <w:spacing w:after="0"/>
        <w:tabs>
          <w:tab w:leader="none" w:pos="71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1-4R3, the Revised Option Aircraft Letter Agreement, and the Revised CSE Letter Agreement.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36" w:lineRule="auto"/>
        <w:rPr>
          <w:sz w:val="20"/>
          <w:szCs w:val="20"/>
          <w:color w:val="auto"/>
        </w:rPr>
      </w:pPr>
      <w:r>
        <w:rPr>
          <w:rFonts w:ascii="Arial" w:cs="Arial" w:eastAsia="Arial" w:hAnsi="Arial"/>
          <w:sz w:val="22"/>
          <w:szCs w:val="22"/>
          <w:color w:val="auto"/>
        </w:rPr>
        <w:t>5.2 The following references in the Purchase Agreement and any supplemental agreements and associated letter agreements are deemed to refer to “Table 1R12, Table 1-2, Table 1-3R6, and Table 1-4R3”:</w:t>
      </w:r>
    </w:p>
    <w:p>
      <w:pPr>
        <w:spacing w:after="0" w:line="133" w:lineRule="exact"/>
        <w:rPr>
          <w:sz w:val="20"/>
          <w:szCs w:val="20"/>
          <w:color w:val="auto"/>
        </w:rPr>
      </w:pPr>
    </w:p>
    <w:p>
      <w:pPr>
        <w:ind w:left="1373" w:hanging="320"/>
        <w:spacing w:after="0"/>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 or “Table 1R2” or “Table 1R3”, or “Table1R4 and Table 1-2”,</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1R5 and Table 1-2”,</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1R6, Table 1-2, and Table 1-3”,</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1R7, Table 1-2, and Table 1-3R1”,</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1R8, Table 1-2, and Table 1-3R2”,</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1R9, Table 1-2, and Table 1-3R3”,</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1R10, Table 1-2, and Table 1-3R4”,</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1R11, Table 1-2, and Table 1-3R5”,</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and Table 1-3R6”,</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w:t>
      </w:r>
    </w:p>
    <w:p>
      <w:pPr>
        <w:ind w:left="1373" w:hanging="320"/>
        <w:spacing w:after="0" w:line="204" w:lineRule="auto"/>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1-4R1”,</w:t>
      </w:r>
    </w:p>
    <w:p>
      <w:pPr>
        <w:ind w:left="1373" w:hanging="320"/>
        <w:spacing w:after="0"/>
        <w:tabs>
          <w:tab w:leader="none" w:pos="1373"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“Table 1R12, Table 1-2, Table 1-3R6, and Table 1-4R2”.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SA-24,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440"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05" w:lineRule="auto"/>
        <w:rPr>
          <w:sz w:val="20"/>
          <w:szCs w:val="20"/>
          <w:color w:val="auto"/>
        </w:rPr>
      </w:pPr>
      <w:r>
        <w:rPr>
          <w:rFonts w:ascii="Arial" w:cs="Arial" w:eastAsia="Arial" w:hAnsi="Arial"/>
          <w:sz w:val="21"/>
          <w:szCs w:val="21"/>
          <w:color w:val="auto"/>
        </w:rPr>
        <w:t>“Table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Letter Agreement AAL-PA-LA-1106650R4 entitled “[****]” is deemed to only refer to Table 1R12 and the references to Table 1R5 in the Slide Letter Agreement remain references to Table 1R5.</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spacing w:after="0" w:line="226" w:lineRule="auto"/>
        <w:rPr>
          <w:sz w:val="20"/>
          <w:szCs w:val="20"/>
          <w:color w:val="auto"/>
        </w:rPr>
      </w:pPr>
      <w:r>
        <w:rPr>
          <w:rFonts w:ascii="Arial" w:cs="Arial" w:eastAsia="Arial" w:hAnsi="Arial"/>
          <w:sz w:val="21"/>
          <w:szCs w:val="21"/>
          <w:color w:val="auto"/>
        </w:rPr>
        <w:t>“Table 1R6”, “Table 1R7”, “Table 1R8”, “Table 1R9”, “Table 1R10” or “Table 1R11” (where no corresponding reference to either Table 1-2 or Table 1-3 is made) are deemed to refer to only “Table 1R12”.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Additionally, for the avoidance of doubt, references in the Purchase Agreement and any supplemental agreements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and associated letter agreements to “Table 1-2” (where no corresponding reference to Table 1R4 or Table 1R5 is made) remain references to “Table 1-2”.</w:t>
      </w:r>
    </w:p>
    <w:p>
      <w:pPr>
        <w:spacing w:after="0" w:line="13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2"/>
                <w:szCs w:val="22"/>
                <w:color w:val="auto"/>
              </w:rPr>
              <w:t>1106651R6</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1106651R7</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57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4"/>
          </w:tcPr>
          <w:p>
            <w:pPr>
              <w:ind w:left="234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SA-24,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17" w:right="339" w:bottom="1440" w:gutter="0" w:footer="0" w:header="0"/>
        </w:sectPr>
      </w:pPr>
    </w:p>
    <w:bookmarkStart w:id="129" w:name="page130"/>
    <w:bookmarkEnd w:id="129"/>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June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179"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30" w:name="page131"/>
    <w:bookmarkEnd w:id="130"/>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154"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1R12</w:t>
      </w:r>
    </w:p>
    <w:p>
      <w:pPr>
        <w:jc w:val="center"/>
        <w:ind w:left="56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29"/>
        </w:trPr>
        <w:tc>
          <w:tcPr>
            <w:tcW w:w="75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r>
      <w:tr>
        <w:trPr>
          <w:trHeight w:val="386"/>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716"/>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18"/>
                <w:szCs w:val="18"/>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r>
      <w:tr>
        <w:trPr>
          <w:trHeight w:val="323"/>
        </w:trPr>
        <w:tc>
          <w:tcPr>
            <w:tcW w:w="754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24</w:t>
            </w:r>
          </w:p>
        </w:tc>
      </w:tr>
      <w:tr>
        <w:trPr>
          <w:trHeight w:val="623"/>
        </w:trPr>
        <w:tc>
          <w:tcPr>
            <w:tcW w:w="754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spacing w:after="0" w:line="68" w:lineRule="exact"/>
        <w:rPr>
          <w:sz w:val="20"/>
          <w:szCs w:val="20"/>
          <w:color w:val="auto"/>
        </w:rPr>
      </w:pPr>
    </w:p>
    <w:p>
      <w:pPr>
        <w:ind w:right="360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 w:lineRule="exact"/>
        <w:rPr>
          <w:sz w:val="20"/>
          <w:szCs w:val="20"/>
          <w:color w:val="auto"/>
        </w:rPr>
      </w:pPr>
    </w:p>
    <w:p>
      <w:pPr>
        <w:sectPr>
          <w:pgSz w:w="11900" w:h="16838" w:orient="portrait"/>
          <w:cols w:equalWidth="0" w:num="2">
            <w:col w:w="1680" w:space="720"/>
            <w:col w:w="8500"/>
          </w:cols>
          <w:pgMar w:left="400" w:top="116" w:right="599" w:bottom="20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400" w:type="dxa"/>
            <w:vAlign w:val="bottom"/>
          </w:tcPr>
          <w:p>
            <w:pPr>
              <w:jc w:val="center"/>
              <w:ind w:right="32"/>
              <w:spacing w:after="0"/>
              <w:rPr>
                <w:sz w:val="20"/>
                <w:szCs w:val="20"/>
                <w:color w:val="auto"/>
              </w:rPr>
            </w:pPr>
            <w:r>
              <w:rPr>
                <w:rFonts w:ascii="Arial" w:cs="Arial" w:eastAsia="Arial" w:hAnsi="Arial"/>
                <w:sz w:val="22"/>
                <w:szCs w:val="22"/>
                <w:color w:val="auto"/>
                <w:w w:val="96"/>
              </w:rPr>
              <w:t>AE1.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400" w:type="dxa"/>
            <w:vAlign w:val="bottom"/>
          </w:tcPr>
          <w:p>
            <w:pPr>
              <w:jc w:val="center"/>
              <w:ind w:right="52"/>
              <w:spacing w:after="0"/>
              <w:rPr>
                <w:sz w:val="20"/>
                <w:szCs w:val="20"/>
                <w:color w:val="auto"/>
              </w:rPr>
            </w:pPr>
            <w:r>
              <w:rPr>
                <w:rFonts w:ascii="Arial" w:cs="Arial" w:eastAsia="Arial" w:hAnsi="Arial"/>
                <w:sz w:val="22"/>
                <w:szCs w:val="22"/>
                <w:color w:val="auto"/>
                <w:w w:val="98"/>
              </w:rPr>
              <w:t>BFE1.</w:t>
            </w:r>
          </w:p>
        </w:tc>
        <w:tc>
          <w:tcPr>
            <w:tcW w:w="5700" w:type="dxa"/>
            <w:vAlign w:val="bottom"/>
            <w:gridSpan w:val="3"/>
            <w:vMerge w:val="restart"/>
          </w:tcPr>
          <w:p>
            <w:pPr>
              <w:spacing w:after="0"/>
              <w:rPr>
                <w:sz w:val="20"/>
                <w:szCs w:val="20"/>
                <w:color w:val="auto"/>
              </w:rPr>
            </w:pPr>
            <w:r>
              <w:rPr>
                <w:rFonts w:ascii="Arial" w:cs="Arial" w:eastAsia="Arial" w:hAnsi="Arial"/>
                <w:sz w:val="22"/>
                <w:szCs w:val="22"/>
                <w:color w:val="auto"/>
              </w:rPr>
              <w:t>BFE Variables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400" w:type="dxa"/>
            <w:vAlign w:val="bottom"/>
          </w:tcPr>
          <w:p>
            <w:pPr>
              <w:jc w:val="center"/>
              <w:ind w:right="32"/>
              <w:spacing w:after="0"/>
              <w:rPr>
                <w:sz w:val="20"/>
                <w:szCs w:val="20"/>
                <w:color w:val="auto"/>
              </w:rPr>
            </w:pPr>
            <w:r>
              <w:rPr>
                <w:rFonts w:ascii="Arial" w:cs="Arial" w:eastAsia="Arial" w:hAnsi="Arial"/>
                <w:sz w:val="22"/>
                <w:szCs w:val="22"/>
                <w:color w:val="auto"/>
                <w:w w:val="96"/>
              </w:rPr>
              <w:t>CS1R1.</w:t>
            </w:r>
          </w:p>
        </w:tc>
        <w:tc>
          <w:tcPr>
            <w:tcW w:w="5700" w:type="dxa"/>
            <w:vAlign w:val="bottom"/>
            <w:gridSpan w:val="3"/>
            <w:vMerge w:val="restart"/>
          </w:tcPr>
          <w:p>
            <w:pPr>
              <w:spacing w:after="0"/>
              <w:rPr>
                <w:sz w:val="20"/>
                <w:szCs w:val="20"/>
                <w:color w:val="auto"/>
              </w:rPr>
            </w:pPr>
            <w:r>
              <w:rPr>
                <w:rFonts w:ascii="Arial" w:cs="Arial" w:eastAsia="Arial" w:hAnsi="Arial"/>
                <w:sz w:val="22"/>
                <w:szCs w:val="22"/>
                <w:color w:val="auto"/>
              </w:rPr>
              <w:t>Customer Support Variables</w:t>
            </w:r>
          </w:p>
        </w:tc>
        <w:tc>
          <w:tcPr>
            <w:tcW w:w="2440" w:type="dxa"/>
            <w:vAlign w:val="bottom"/>
            <w:vMerge w:val="restart"/>
          </w:tcPr>
          <w:p>
            <w:pPr>
              <w:jc w:val="center"/>
              <w:ind w:left="209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2400" w:type="dxa"/>
            <w:vAlign w:val="bottom"/>
          </w:tcPr>
          <w:p>
            <w:pPr>
              <w:jc w:val="center"/>
              <w:ind w:right="32"/>
              <w:spacing w:after="0"/>
              <w:rPr>
                <w:sz w:val="20"/>
                <w:szCs w:val="20"/>
                <w:color w:val="auto"/>
              </w:rPr>
            </w:pPr>
            <w:r>
              <w:rPr>
                <w:rFonts w:ascii="Arial" w:cs="Arial" w:eastAsia="Arial" w:hAnsi="Arial"/>
                <w:sz w:val="22"/>
                <w:szCs w:val="22"/>
                <w:color w:val="auto"/>
                <w:w w:val="96"/>
              </w:rPr>
              <w:t>EE1.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0" w:type="dxa"/>
            <w:vAlign w:val="bottom"/>
          </w:tcPr>
          <w:p>
            <w:pPr>
              <w:jc w:val="center"/>
              <w:ind w:right="32"/>
              <w:spacing w:after="0"/>
              <w:rPr>
                <w:sz w:val="20"/>
                <w:szCs w:val="20"/>
                <w:color w:val="auto"/>
              </w:rPr>
            </w:pPr>
            <w:r>
              <w:rPr>
                <w:rFonts w:ascii="Arial" w:cs="Arial" w:eastAsia="Arial" w:hAnsi="Arial"/>
                <w:sz w:val="22"/>
                <w:szCs w:val="22"/>
                <w:color w:val="auto"/>
                <w:w w:val="96"/>
              </w:rPr>
              <w:t>SLP1.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LETTER AGREEMENTS</w:t>
            </w:r>
          </w:p>
        </w:tc>
        <w:tc>
          <w:tcPr>
            <w:tcW w:w="568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400" w:type="dxa"/>
            <w:vAlign w:val="bottom"/>
          </w:tcPr>
          <w:p>
            <w:pPr>
              <w:spacing w:after="0"/>
              <w:rPr>
                <w:sz w:val="20"/>
                <w:szCs w:val="20"/>
                <w:color w:val="auto"/>
              </w:rPr>
            </w:pPr>
            <w:r>
              <w:rPr>
                <w:rFonts w:ascii="Arial" w:cs="Arial" w:eastAsia="Arial" w:hAnsi="Arial"/>
                <w:sz w:val="22"/>
                <w:szCs w:val="22"/>
                <w:color w:val="auto"/>
              </w:rPr>
              <w:t>LA-1106648R1</w:t>
            </w:r>
          </w:p>
        </w:tc>
        <w:tc>
          <w:tcPr>
            <w:tcW w:w="5700" w:type="dxa"/>
            <w:vAlign w:val="bottom"/>
            <w:gridSpan w:val="3"/>
          </w:tcPr>
          <w:p>
            <w:pPr>
              <w:spacing w:after="0"/>
              <w:rPr>
                <w:sz w:val="20"/>
                <w:szCs w:val="20"/>
                <w:color w:val="auto"/>
              </w:rPr>
            </w:pPr>
            <w:r>
              <w:rPr>
                <w:rFonts w:ascii="Arial" w:cs="Arial" w:eastAsia="Arial" w:hAnsi="Arial"/>
                <w:sz w:val="22"/>
                <w:szCs w:val="22"/>
                <w:color w:val="auto"/>
              </w:rPr>
              <w:t>Special Matters</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LA-1106649</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LA-1106650R6</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0"/>
                <w:szCs w:val="20"/>
                <w:color w:val="auto"/>
              </w:rPr>
            </w:pPr>
            <w:r>
              <w:rPr>
                <w:rFonts w:ascii="Arial" w:cs="Arial" w:eastAsia="Arial" w:hAnsi="Arial"/>
                <w:sz w:val="22"/>
                <w:szCs w:val="22"/>
                <w:b w:val="1"/>
                <w:bCs w:val="1"/>
                <w:color w:val="auto"/>
              </w:rPr>
              <w:t>LA-1106651R7</w:t>
            </w:r>
          </w:p>
        </w:tc>
        <w:tc>
          <w:tcPr>
            <w:tcW w:w="2440" w:type="dxa"/>
            <w:vAlign w:val="bottom"/>
            <w:gridSpan w:val="2"/>
          </w:tcPr>
          <w:p>
            <w:pPr>
              <w:spacing w:after="0"/>
              <w:rPr>
                <w:sz w:val="20"/>
                <w:szCs w:val="20"/>
                <w:color w:val="auto"/>
              </w:rPr>
            </w:pPr>
            <w:r>
              <w:rPr>
                <w:rFonts w:ascii="Arial" w:cs="Arial" w:eastAsia="Arial" w:hAnsi="Arial"/>
                <w:sz w:val="19"/>
                <w:szCs w:val="19"/>
                <w:b w:val="1"/>
                <w:bCs w:val="1"/>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b w:val="1"/>
                <w:bCs w:val="1"/>
                <w:color w:val="auto"/>
                <w:w w:val="97"/>
              </w:rPr>
              <w:t>24</w:t>
            </w:r>
          </w:p>
        </w:tc>
        <w:tc>
          <w:tcPr>
            <w:tcW w:w="0" w:type="dxa"/>
            <w:vAlign w:val="bottom"/>
          </w:tcPr>
          <w:p>
            <w:pPr>
              <w:spacing w:after="0"/>
              <w:rPr>
                <w:sz w:val="1"/>
                <w:szCs w:val="1"/>
                <w:color w:val="auto"/>
              </w:rPr>
            </w:pPr>
          </w:p>
        </w:tc>
      </w:tr>
      <w:tr>
        <w:trPr>
          <w:trHeight w:val="420"/>
        </w:trPr>
        <w:tc>
          <w:tcPr>
            <w:tcW w:w="2400" w:type="dxa"/>
            <w:vAlign w:val="bottom"/>
          </w:tcPr>
          <w:p>
            <w:pPr>
              <w:spacing w:after="0"/>
              <w:rPr>
                <w:sz w:val="20"/>
                <w:szCs w:val="20"/>
                <w:color w:val="auto"/>
              </w:rPr>
            </w:pPr>
            <w:r>
              <w:rPr>
                <w:rFonts w:ascii="Arial" w:cs="Arial" w:eastAsia="Arial" w:hAnsi="Arial"/>
                <w:sz w:val="22"/>
                <w:szCs w:val="22"/>
                <w:color w:val="auto"/>
              </w:rPr>
              <w:t>LA-1106652R1</w:t>
            </w:r>
          </w:p>
        </w:tc>
        <w:tc>
          <w:tcPr>
            <w:tcW w:w="5700" w:type="dxa"/>
            <w:vAlign w:val="bottom"/>
            <w:gridSpan w:val="3"/>
          </w:tcPr>
          <w:p>
            <w:pPr>
              <w:spacing w:after="0"/>
              <w:rPr>
                <w:sz w:val="20"/>
                <w:szCs w:val="20"/>
                <w:color w:val="auto"/>
              </w:rPr>
            </w:pPr>
            <w:r>
              <w:rPr>
                <w:rFonts w:ascii="Arial" w:cs="Arial" w:eastAsia="Arial" w:hAnsi="Arial"/>
                <w:sz w:val="22"/>
                <w:szCs w:val="22"/>
                <w:color w:val="auto"/>
              </w:rPr>
              <w:t>Aircraft Model Substitution</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22</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LA-1106654</w:t>
            </w:r>
          </w:p>
        </w:tc>
        <w:tc>
          <w:tcPr>
            <w:tcW w:w="5700" w:type="dxa"/>
            <w:vAlign w:val="bottom"/>
            <w:gridSpan w:val="3"/>
          </w:tcPr>
          <w:p>
            <w:pPr>
              <w:spacing w:after="0"/>
              <w:rPr>
                <w:sz w:val="20"/>
                <w:szCs w:val="20"/>
                <w:color w:val="auto"/>
              </w:rPr>
            </w:pPr>
            <w:r>
              <w:rPr>
                <w:rFonts w:ascii="Arial" w:cs="Arial" w:eastAsia="Arial" w:hAnsi="Arial"/>
                <w:sz w:val="22"/>
                <w:szCs w:val="22"/>
                <w:color w:val="auto"/>
              </w:rPr>
              <w:t>AGTA Terms Revisions for MAX</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strike w:val="1"/>
              </w:rPr>
              <w:t>LA-1106655</w:t>
            </w:r>
          </w:p>
        </w:tc>
        <w:tc>
          <w:tcPr>
            <w:tcW w:w="2440" w:type="dxa"/>
            <w:vAlign w:val="bottom"/>
            <w:gridSpan w:val="2"/>
          </w:tcPr>
          <w:p>
            <w:pPr>
              <w:spacing w:after="0"/>
              <w:rPr>
                <w:sz w:val="20"/>
                <w:szCs w:val="20"/>
                <w:color w:val="auto"/>
              </w:rPr>
            </w:pPr>
            <w:r>
              <w:rPr>
                <w:rFonts w:ascii="Arial" w:cs="Arial" w:eastAsia="Arial" w:hAnsi="Arial"/>
                <w:sz w:val="22"/>
                <w:szCs w:val="22"/>
                <w:color w:val="auto"/>
                <w:strike w:val="1"/>
                <w:w w:val="97"/>
              </w:rPr>
              <w:t>Open Matters – 737 MAX</w:t>
            </w:r>
          </w:p>
        </w:tc>
        <w:tc>
          <w:tcPr>
            <w:tcW w:w="3260" w:type="dxa"/>
            <w:vAlign w:val="bottom"/>
          </w:tcPr>
          <w:p>
            <w:pPr>
              <w:ind w:left="60"/>
              <w:spacing w:after="0"/>
              <w:rPr>
                <w:sz w:val="20"/>
                <w:szCs w:val="20"/>
                <w:color w:val="auto"/>
              </w:rPr>
            </w:pPr>
            <w:r>
              <w:rPr>
                <w:rFonts w:ascii="Arial" w:cs="Arial" w:eastAsia="Arial" w:hAnsi="Arial"/>
                <w:sz w:val="22"/>
                <w:szCs w:val="22"/>
                <w:color w:val="auto"/>
              </w:rPr>
              <w:t>Withdrawn</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LA-1106656R1</w:t>
            </w:r>
          </w:p>
        </w:tc>
        <w:tc>
          <w:tcPr>
            <w:tcW w:w="5700" w:type="dxa"/>
            <w:vAlign w:val="bottom"/>
            <w:gridSpan w:val="3"/>
          </w:tcPr>
          <w:p>
            <w:pPr>
              <w:spacing w:after="0"/>
              <w:rPr>
                <w:sz w:val="20"/>
                <w:szCs w:val="20"/>
                <w:color w:val="auto"/>
              </w:rPr>
            </w:pPr>
            <w:r>
              <w:rPr>
                <w:rFonts w:ascii="Arial" w:cs="Arial" w:eastAsia="Arial" w:hAnsi="Arial"/>
                <w:sz w:val="22"/>
                <w:szCs w:val="22"/>
                <w:color w:val="auto"/>
              </w:rPr>
              <w:t>Most Favored Customer – 737 MAX</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LA-1106657R1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LA-1106663 R1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LA-1106664 R1</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0"/>
                <w:szCs w:val="20"/>
                <w:color w:val="auto"/>
              </w:rPr>
            </w:pPr>
            <w:r>
              <w:rPr>
                <w:rFonts w:ascii="Arial" w:cs="Arial" w:eastAsia="Arial" w:hAnsi="Arial"/>
                <w:sz w:val="22"/>
                <w:szCs w:val="22"/>
                <w:color w:val="auto"/>
              </w:rPr>
              <w:t>LA-1106658</w:t>
            </w:r>
          </w:p>
        </w:tc>
        <w:tc>
          <w:tcPr>
            <w:tcW w:w="2440" w:type="dxa"/>
            <w:vAlign w:val="bottom"/>
            <w:gridSpan w:val="2"/>
          </w:tcPr>
          <w:p>
            <w:pPr>
              <w:spacing w:after="0"/>
              <w:rPr>
                <w:sz w:val="20"/>
                <w:szCs w:val="20"/>
                <w:color w:val="auto"/>
              </w:rPr>
            </w:pPr>
            <w:r>
              <w:rPr>
                <w:rFonts w:ascii="Arial" w:cs="Arial" w:eastAsia="Arial" w:hAnsi="Arial"/>
                <w:sz w:val="19"/>
                <w:szCs w:val="19"/>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400" w:top="116" w:right="599" w:bottom="20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SA-24</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16" w:right="599" w:bottom="200" w:gutter="0" w:footer="0" w:header="0"/>
          <w:type w:val="continuous"/>
        </w:sectPr>
      </w:pPr>
    </w:p>
    <w:bookmarkStart w:id="132" w:name="page133"/>
    <w:bookmarkEnd w:id="132"/>
    <w:p>
      <w:pPr>
        <w:jc w:val="center"/>
        <w:ind w:right="-219"/>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1920" w:type="dxa"/>
            <w:vAlign w:val="bottom"/>
          </w:tcPr>
          <w:p>
            <w:pPr>
              <w:spacing w:after="0"/>
              <w:rPr>
                <w:sz w:val="20"/>
                <w:szCs w:val="20"/>
                <w:color w:val="auto"/>
              </w:rPr>
            </w:pPr>
            <w:r>
              <w:rPr>
                <w:rFonts w:ascii="Arial" w:cs="Arial" w:eastAsia="Arial" w:hAnsi="Arial"/>
                <w:sz w:val="22"/>
                <w:szCs w:val="22"/>
                <w:color w:val="auto"/>
              </w:rPr>
              <w:t>LA-1106659R3</w:t>
            </w:r>
          </w:p>
        </w:tc>
        <w:tc>
          <w:tcPr>
            <w:tcW w:w="5900" w:type="dxa"/>
            <w:vAlign w:val="bottom"/>
          </w:tcPr>
          <w:p>
            <w:pPr>
              <w:ind w:left="480"/>
              <w:spacing w:after="0"/>
              <w:rPr>
                <w:sz w:val="20"/>
                <w:szCs w:val="20"/>
                <w:color w:val="auto"/>
              </w:rPr>
            </w:pPr>
            <w:r>
              <w:rPr>
                <w:rFonts w:ascii="Arial" w:cs="Arial" w:eastAsia="Arial" w:hAnsi="Arial"/>
                <w:sz w:val="19"/>
                <w:szCs w:val="19"/>
                <w:color w:val="auto"/>
              </w:rPr>
              <w:t>[****]</w:t>
            </w:r>
          </w:p>
        </w:tc>
        <w:tc>
          <w:tcPr>
            <w:tcW w:w="2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32"/>
        </w:trPr>
        <w:tc>
          <w:tcPr>
            <w:tcW w:w="1920" w:type="dxa"/>
            <w:vAlign w:val="bottom"/>
          </w:tcPr>
          <w:p>
            <w:pPr>
              <w:spacing w:after="0"/>
              <w:rPr>
                <w:sz w:val="20"/>
                <w:szCs w:val="20"/>
                <w:color w:val="auto"/>
              </w:rPr>
            </w:pPr>
            <w:r>
              <w:rPr>
                <w:rFonts w:ascii="Arial" w:cs="Arial" w:eastAsia="Arial" w:hAnsi="Arial"/>
                <w:sz w:val="22"/>
                <w:szCs w:val="22"/>
                <w:color w:val="auto"/>
              </w:rPr>
              <w:t>LA-1106660</w:t>
            </w:r>
          </w:p>
        </w:tc>
        <w:tc>
          <w:tcPr>
            <w:tcW w:w="5900" w:type="dxa"/>
            <w:vAlign w:val="bottom"/>
          </w:tcPr>
          <w:p>
            <w:pPr>
              <w:ind w:left="480"/>
              <w:spacing w:after="0"/>
              <w:rPr>
                <w:sz w:val="20"/>
                <w:szCs w:val="20"/>
                <w:color w:val="auto"/>
              </w:rPr>
            </w:pPr>
            <w:r>
              <w:rPr>
                <w:rFonts w:ascii="Arial" w:cs="Arial" w:eastAsia="Arial" w:hAnsi="Arial"/>
                <w:sz w:val="22"/>
                <w:szCs w:val="22"/>
                <w:color w:val="auto"/>
              </w:rPr>
              <w:t>Spare Parts Initial Provisioning</w:t>
            </w:r>
          </w:p>
        </w:tc>
        <w:tc>
          <w:tcPr>
            <w:tcW w:w="27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20"/>
          </w:cols>
          <w:pgMar w:left="320" w:top="961" w:right="559" w:bottom="1440" w:gutter="0" w:footer="0" w:header="0"/>
        </w:sectPr>
      </w:pPr>
    </w:p>
    <w:p>
      <w:pPr>
        <w:spacing w:after="0" w:line="176"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LETTER AGREEMENTS,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LA-1106661R2</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LA-1106667</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432"/>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LA-1106668R1</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LA-1106669</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LA-1106670</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rPr>
              <w:t>Confidentiality</w:t>
            </w:r>
          </w:p>
        </w:tc>
      </w:tr>
      <w:tr>
        <w:trPr>
          <w:trHeight w:val="432"/>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LA-1106671R1</w:t>
            </w:r>
          </w:p>
        </w:tc>
        <w:tc>
          <w:tcPr>
            <w:tcW w:w="3420" w:type="dxa"/>
            <w:vAlign w:val="bottom"/>
          </w:tcPr>
          <w:p>
            <w:pPr>
              <w:ind w:left="260"/>
              <w:spacing w:after="0"/>
              <w:rPr>
                <w:sz w:val="20"/>
                <w:szCs w:val="20"/>
                <w:color w:val="auto"/>
              </w:rPr>
            </w:pPr>
            <w:r>
              <w:rPr>
                <w:rFonts w:ascii="Arial" w:cs="Arial" w:eastAsia="Arial" w:hAnsi="Arial"/>
                <w:sz w:val="22"/>
                <w:szCs w:val="22"/>
                <w:color w:val="auto"/>
              </w:rPr>
              <w:t>Miscellaneous Commitments</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LA-1106672</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rPr>
              <w:t>Extended Warranty Option</w:t>
            </w:r>
          </w:p>
        </w:tc>
      </w:tr>
      <w:tr>
        <w:trPr>
          <w:trHeight w:val="432"/>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LA-1106673R1*</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LA-1106677</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w w:val="97"/>
              </w:rPr>
              <w:t>Optional Features Comfort Letter</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LA-1600073</w:t>
            </w:r>
          </w:p>
        </w:tc>
        <w:tc>
          <w:tcPr>
            <w:tcW w:w="86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351"/>
        </w:trPr>
        <w:tc>
          <w:tcPr>
            <w:tcW w:w="1360" w:type="dxa"/>
            <w:vAlign w:val="bottom"/>
          </w:tcPr>
          <w:p>
            <w:pPr>
              <w:spacing w:after="0"/>
              <w:rPr>
                <w:sz w:val="20"/>
                <w:szCs w:val="20"/>
                <w:color w:val="auto"/>
              </w:rPr>
            </w:pPr>
            <w:r>
              <w:rPr>
                <w:rFonts w:ascii="Arial" w:cs="Arial" w:eastAsia="Arial" w:hAnsi="Arial"/>
                <w:sz w:val="22"/>
                <w:szCs w:val="22"/>
                <w:color w:val="auto"/>
              </w:rPr>
              <w:t>LA-1600852</w:t>
            </w:r>
          </w:p>
        </w:tc>
        <w:tc>
          <w:tcPr>
            <w:tcW w:w="860" w:type="dxa"/>
            <w:vAlign w:val="bottom"/>
          </w:tcPr>
          <w:p>
            <w:pPr>
              <w:ind w:left="120"/>
              <w:spacing w:after="0"/>
              <w:rPr>
                <w:sz w:val="20"/>
                <w:szCs w:val="20"/>
                <w:color w:val="auto"/>
              </w:rPr>
            </w:pPr>
            <w:r>
              <w:rPr>
                <w:rFonts w:ascii="Arial" w:cs="Arial" w:eastAsia="Arial" w:hAnsi="Arial"/>
                <w:sz w:val="19"/>
                <w:szCs w:val="19"/>
                <w:color w:val="auto"/>
              </w:rPr>
              <w:t>[****]</w:t>
            </w:r>
          </w:p>
        </w:tc>
        <w:tc>
          <w:tcPr>
            <w:tcW w:w="3420" w:type="dxa"/>
            <w:vAlign w:val="bottom"/>
          </w:tcPr>
          <w:p>
            <w:pPr>
              <w:ind w:left="1640"/>
              <w:spacing w:after="0"/>
              <w:rPr>
                <w:sz w:val="20"/>
                <w:szCs w:val="20"/>
                <w:color w:val="auto"/>
              </w:rPr>
            </w:pPr>
            <w:r>
              <w:rPr>
                <w:rFonts w:ascii="Arial" w:cs="Arial" w:eastAsia="Arial" w:hAnsi="Arial"/>
                <w:sz w:val="22"/>
                <w:szCs w:val="22"/>
                <w:color w:val="auto"/>
              </w:rPr>
              <w:t>5</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LA-1603773 [****]</w:t>
            </w:r>
          </w:p>
        </w:tc>
        <w:tc>
          <w:tcPr>
            <w:tcW w:w="3420" w:type="dxa"/>
            <w:vAlign w:val="bottom"/>
          </w:tcPr>
          <w:p>
            <w:pPr>
              <w:ind w:left="980"/>
              <w:spacing w:after="0" w:line="216" w:lineRule="exact"/>
              <w:rPr>
                <w:sz w:val="20"/>
                <w:szCs w:val="20"/>
                <w:color w:val="auto"/>
              </w:rPr>
            </w:pPr>
            <w:r>
              <w:rPr>
                <w:rFonts w:ascii="Arial" w:cs="Arial" w:eastAsia="Arial" w:hAnsi="Arial"/>
                <w:sz w:val="22"/>
                <w:szCs w:val="22"/>
                <w:color w:val="auto"/>
              </w:rPr>
              <w:t>5</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LA-1605402R1 [****]</w:t>
            </w:r>
          </w:p>
        </w:tc>
        <w:tc>
          <w:tcPr>
            <w:tcW w:w="3420" w:type="dxa"/>
            <w:vAlign w:val="bottom"/>
          </w:tcPr>
          <w:p>
            <w:pPr>
              <w:ind w:left="1740"/>
              <w:spacing w:after="0" w:line="216" w:lineRule="exact"/>
              <w:rPr>
                <w:sz w:val="20"/>
                <w:szCs w:val="20"/>
                <w:color w:val="auto"/>
              </w:rPr>
            </w:pPr>
            <w:r>
              <w:rPr>
                <w:rFonts w:ascii="Arial" w:cs="Arial" w:eastAsia="Arial" w:hAnsi="Arial"/>
                <w:sz w:val="22"/>
                <w:szCs w:val="22"/>
                <w:color w:val="auto"/>
              </w:rPr>
              <w:t>23</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LA-1700919</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940"/>
              <w:spacing w:after="0" w:line="216" w:lineRule="exact"/>
              <w:rPr>
                <w:sz w:val="20"/>
                <w:szCs w:val="20"/>
                <w:color w:val="auto"/>
              </w:rPr>
            </w:pPr>
            <w:r>
              <w:rPr>
                <w:rFonts w:ascii="Arial" w:cs="Arial" w:eastAsia="Arial" w:hAnsi="Arial"/>
                <w:sz w:val="22"/>
                <w:szCs w:val="22"/>
                <w:color w:val="auto"/>
              </w:rPr>
              <w:t>7</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LA-1801206</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460"/>
              <w:spacing w:after="0" w:line="216" w:lineRule="exact"/>
              <w:rPr>
                <w:sz w:val="20"/>
                <w:szCs w:val="20"/>
                <w:color w:val="auto"/>
              </w:rPr>
            </w:pPr>
            <w:r>
              <w:rPr>
                <w:rFonts w:ascii="Arial" w:cs="Arial" w:eastAsia="Arial" w:hAnsi="Arial"/>
                <w:sz w:val="22"/>
                <w:szCs w:val="22"/>
                <w:color w:val="auto"/>
              </w:rPr>
              <w:t>9</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LA-2002704 [****]</w:t>
            </w:r>
          </w:p>
        </w:tc>
        <w:tc>
          <w:tcPr>
            <w:tcW w:w="3420" w:type="dxa"/>
            <w:vAlign w:val="bottom"/>
          </w:tcPr>
          <w:p>
            <w:pPr>
              <w:ind w:left="1460"/>
              <w:spacing w:after="0" w:line="216" w:lineRule="exact"/>
              <w:rPr>
                <w:sz w:val="20"/>
                <w:szCs w:val="20"/>
                <w:color w:val="auto"/>
              </w:rPr>
            </w:pPr>
            <w:r>
              <w:rPr>
                <w:rFonts w:ascii="Arial" w:cs="Arial" w:eastAsia="Arial" w:hAnsi="Arial"/>
                <w:sz w:val="22"/>
                <w:szCs w:val="22"/>
                <w:color w:val="auto"/>
              </w:rPr>
              <w:t>11</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LA-2002743 [****]</w:t>
            </w:r>
          </w:p>
        </w:tc>
        <w:tc>
          <w:tcPr>
            <w:tcW w:w="3420" w:type="dxa"/>
            <w:vAlign w:val="bottom"/>
          </w:tcPr>
          <w:p>
            <w:pPr>
              <w:ind w:left="146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LA-2003342</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940"/>
              <w:spacing w:after="0" w:line="216" w:lineRule="exact"/>
              <w:rPr>
                <w:sz w:val="20"/>
                <w:szCs w:val="20"/>
                <w:color w:val="auto"/>
              </w:rPr>
            </w:pPr>
            <w:r>
              <w:rPr>
                <w:rFonts w:ascii="Arial" w:cs="Arial" w:eastAsia="Arial" w:hAnsi="Arial"/>
                <w:sz w:val="22"/>
                <w:szCs w:val="22"/>
                <w:color w:val="auto"/>
              </w:rPr>
              <w:t>11</w:t>
            </w:r>
          </w:p>
        </w:tc>
      </w:tr>
      <w:tr>
        <w:trPr>
          <w:trHeight w:val="283"/>
        </w:trPr>
        <w:tc>
          <w:tcPr>
            <w:tcW w:w="1360" w:type="dxa"/>
            <w:vAlign w:val="bottom"/>
          </w:tcPr>
          <w:p>
            <w:pPr>
              <w:spacing w:after="0"/>
              <w:rPr>
                <w:sz w:val="20"/>
                <w:szCs w:val="20"/>
                <w:color w:val="auto"/>
              </w:rPr>
            </w:pPr>
            <w:r>
              <w:rPr>
                <w:rFonts w:ascii="Arial" w:cs="Arial" w:eastAsia="Arial" w:hAnsi="Arial"/>
                <w:sz w:val="22"/>
                <w:szCs w:val="22"/>
                <w:color w:val="auto"/>
              </w:rPr>
              <w:t>LA-2003486</w:t>
            </w:r>
          </w:p>
        </w:tc>
        <w:tc>
          <w:tcPr>
            <w:tcW w:w="860" w:type="dxa"/>
            <w:vAlign w:val="bottom"/>
          </w:tcPr>
          <w:p>
            <w:pPr>
              <w:ind w:left="120"/>
              <w:spacing w:after="0"/>
              <w:rPr>
                <w:sz w:val="20"/>
                <w:szCs w:val="20"/>
                <w:color w:val="auto"/>
              </w:rPr>
            </w:pPr>
            <w:r>
              <w:rPr>
                <w:rFonts w:ascii="Arial" w:cs="Arial" w:eastAsia="Arial" w:hAnsi="Arial"/>
                <w:sz w:val="22"/>
                <w:szCs w:val="22"/>
                <w:color w:val="auto"/>
              </w:rPr>
              <w:t>[****]</w:t>
            </w:r>
          </w:p>
        </w:tc>
        <w:tc>
          <w:tcPr>
            <w:tcW w:w="3420" w:type="dxa"/>
            <w:vAlign w:val="bottom"/>
          </w:tcPr>
          <w:p>
            <w:pPr>
              <w:ind w:left="1940"/>
              <w:spacing w:after="0"/>
              <w:rPr>
                <w:sz w:val="20"/>
                <w:szCs w:val="20"/>
                <w:color w:val="auto"/>
              </w:rPr>
            </w:pPr>
            <w:r>
              <w:rPr>
                <w:rFonts w:ascii="Arial" w:cs="Arial" w:eastAsia="Arial" w:hAnsi="Arial"/>
                <w:sz w:val="22"/>
                <w:szCs w:val="22"/>
                <w:color w:val="auto"/>
              </w:rPr>
              <w:t>14</w:t>
            </w: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353" w:lineRule="exact"/>
        <w:rPr>
          <w:sz w:val="20"/>
          <w:szCs w:val="20"/>
          <w:color w:val="auto"/>
        </w:rPr>
      </w:pPr>
    </w:p>
    <w:p>
      <w:pPr>
        <w:sectPr>
          <w:pgSz w:w="11900" w:h="16838" w:orient="portrait"/>
          <w:cols w:equalWidth="0" w:num="2">
            <w:col w:w="9300" w:space="720"/>
            <w:col w:w="1000"/>
          </w:cols>
          <w:pgMar w:left="320" w:top="961" w:right="559" w:bottom="1440" w:gutter="0" w:footer="0" w:header="0"/>
          <w:type w:val="continuous"/>
        </w:sectPr>
      </w:pPr>
    </w:p>
    <w:p>
      <w:pPr>
        <w:ind w:firstLine="8"/>
        <w:spacing w:after="0" w:line="236" w:lineRule="auto"/>
        <w:tabs>
          <w:tab w:leader="none" w:pos="1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20"/>
          </w:cols>
          <w:pgMar w:left="320" w:top="96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SA-24</w:t>
      </w:r>
    </w:p>
    <w:p>
      <w:pPr>
        <w:jc w:val="center"/>
        <w:ind w:right="-2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20"/>
          </w:cols>
          <w:pgMar w:left="320" w:top="961" w:right="559" w:bottom="1440" w:gutter="0" w:footer="0" w:header="0"/>
          <w:type w:val="continuous"/>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t>Table 1-4R3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 Specification:</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CFMLEAP-</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1B25</w:t>
            </w:r>
          </w:p>
        </w:tc>
        <w:tc>
          <w:tcPr>
            <w:tcW w:w="2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 Formula:</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6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52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220" w:type="dxa"/>
            <w:vAlign w:val="bottom"/>
            <w:gridSpan w:val="3"/>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6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gridSpan w:val="3"/>
            <w:vMerge w:val="continue"/>
          </w:tcPr>
          <w:p>
            <w:pPr>
              <w:spacing w:after="0"/>
              <w:rPr>
                <w:sz w:val="21"/>
                <w:szCs w:val="21"/>
                <w:color w:val="auto"/>
              </w:rPr>
            </w:pP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60" w:type="dxa"/>
            <w:vAlign w:val="bottom"/>
          </w:tcPr>
          <w:p>
            <w:pPr>
              <w:spacing w:after="0"/>
              <w:rPr>
                <w:sz w:val="24"/>
                <w:szCs w:val="24"/>
                <w:color w:val="auto"/>
              </w:rPr>
            </w:pPr>
          </w:p>
        </w:tc>
        <w:tc>
          <w:tcPr>
            <w:tcW w:w="4100" w:type="dxa"/>
            <w:vAlign w:val="bottom"/>
            <w:tcBorders>
              <w:right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w:t>
            </w: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Prior to Delivery):</w:t>
            </w: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060" w:type="dxa"/>
            <w:vAlign w:val="bottom"/>
            <w:tcBorders>
              <w:bottom w:val="single" w:sz="8" w:color="C0C0C0"/>
              <w:right w:val="single" w:sz="8" w:color="auto"/>
            </w:tcBorders>
            <w:shd w:val="clear" w:color="auto" w:fill="C0C0C0"/>
          </w:tcPr>
          <w:p>
            <w:pPr>
              <w:spacing w:after="0"/>
              <w:rPr>
                <w:sz w:val="5"/>
                <w:szCs w:val="5"/>
                <w:color w:val="auto"/>
              </w:rPr>
            </w:pPr>
          </w:p>
        </w:tc>
        <w:tc>
          <w:tcPr>
            <w:tcW w:w="126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vMerge w:val="continue"/>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Factor</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15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 Payment Base</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2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4"/>
                <w:szCs w:val="24"/>
                <w:color w:val="auto"/>
              </w:rPr>
            </w:pPr>
          </w:p>
        </w:tc>
        <w:tc>
          <w:tcPr>
            <w:tcW w:w="9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SA-24</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382" w:right="319" w:bottom="0" w:gutter="0" w:footer="0" w:header="0"/>
        </w:sectPr>
      </w:pPr>
    </w:p>
    <w:bookmarkStart w:id="134" w:name="page135"/>
    <w:bookmarkEnd w:id="134"/>
    <w:p>
      <w:pPr>
        <w:ind w:left="286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662940</wp:posOffset>
            </wp:positionV>
            <wp:extent cx="58635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731520</wp:posOffset>
            </wp:positionV>
            <wp:extent cx="1491615"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860"/>
        <w:spacing w:after="0" w:line="216" w:lineRule="auto"/>
        <w:rPr>
          <w:sz w:val="20"/>
          <w:szCs w:val="20"/>
          <w:color w:val="auto"/>
        </w:rPr>
      </w:pPr>
      <w:r>
        <w:rPr>
          <w:rFonts w:ascii="Arial" w:cs="Arial" w:eastAsia="Arial" w:hAnsi="Arial"/>
          <w:sz w:val="13"/>
          <w:szCs w:val="13"/>
          <w:color w:val="808080"/>
        </w:rPr>
        <w:t>P.O. Box 3707</w:t>
      </w:r>
    </w:p>
    <w:p>
      <w:pPr>
        <w:ind w:left="286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R7</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Subject to the terms and conditions contained in this Letter Agreement, in addition to the Aircraft described in Table 1R12, Table 1-2, Table 1-3R6, and Table 1-4R3 to the Purchase Agreement as of the date of execution of this Letter Agreement,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49"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The [****] with [****] in calendar year [****] are listed in Attachment A(R7)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with [****]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 for each [****] are listed in Attachment A(R7) to this Letter</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No later than [****] to the [****] in each of calendar years [****], Boeing will provide written notice setting forth [****] with a [****] in such calendar year. Such notice will constitute an amendment to Attachment A(R7) to this Letter Agreement.</w:t>
      </w:r>
    </w:p>
    <w:p>
      <w:pPr>
        <w:spacing w:after="0" w:line="152"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R7</w:t>
      </w:r>
      <w:r>
        <w:rPr>
          <w:sz w:val="20"/>
          <w:szCs w:val="20"/>
          <w:color w:val="auto"/>
        </w:rPr>
        <w:tab/>
      </w:r>
      <w:r>
        <w:rPr>
          <w:rFonts w:ascii="Arial" w:cs="Arial" w:eastAsia="Arial" w:hAnsi="Arial"/>
          <w:sz w:val="21"/>
          <w:szCs w:val="21"/>
          <w:color w:val="auto"/>
        </w:rPr>
        <w:t>SA-24</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31" w:right="3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220" w:hanging="566"/>
        <w:spacing w:after="0" w:line="236" w:lineRule="auto"/>
        <w:tabs>
          <w:tab w:leader="none" w:pos="1200" w:val="left"/>
        </w:tabs>
        <w:rPr>
          <w:sz w:val="20"/>
          <w:szCs w:val="20"/>
          <w:color w:val="auto"/>
        </w:rPr>
      </w:pPr>
      <w:r>
        <w:rPr>
          <w:rFonts w:ascii="Arial" w:cs="Arial" w:eastAsia="Arial" w:hAnsi="Arial"/>
          <w:sz w:val="22"/>
          <w:szCs w:val="22"/>
          <w:color w:val="auto"/>
        </w:rPr>
        <w:t>4.1</w:t>
        <w:tab/>
        <w:t>The [****] Aircraft Basic Price for each of the [****] are identified in Attachment A(R3)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R7</w:t>
      </w:r>
      <w:r>
        <w:rPr>
          <w:sz w:val="20"/>
          <w:szCs w:val="20"/>
          <w:color w:val="auto"/>
        </w:rPr>
        <w:tab/>
      </w:r>
      <w:r>
        <w:rPr>
          <w:rFonts w:ascii="Arial" w:cs="Arial" w:eastAsia="Arial" w:hAnsi="Arial"/>
          <w:sz w:val="21"/>
          <w:szCs w:val="21"/>
          <w:color w:val="auto"/>
        </w:rPr>
        <w:t>SA-24</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R7</w:t>
      </w:r>
      <w:r>
        <w:rPr>
          <w:sz w:val="20"/>
          <w:szCs w:val="20"/>
          <w:color w:val="auto"/>
        </w:rPr>
        <w:tab/>
      </w:r>
      <w:r>
        <w:rPr>
          <w:rFonts w:ascii="Arial" w:cs="Arial" w:eastAsia="Arial" w:hAnsi="Arial"/>
          <w:sz w:val="21"/>
          <w:szCs w:val="21"/>
          <w:color w:val="auto"/>
        </w:rPr>
        <w:t>SA-24</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R7</w:t>
      </w:r>
      <w:r>
        <w:rPr>
          <w:sz w:val="20"/>
          <w:szCs w:val="20"/>
          <w:color w:val="auto"/>
        </w:rPr>
        <w:tab/>
      </w:r>
      <w:r>
        <w:rPr>
          <w:rFonts w:ascii="Arial" w:cs="Arial" w:eastAsia="Arial" w:hAnsi="Arial"/>
          <w:sz w:val="21"/>
          <w:szCs w:val="21"/>
          <w:color w:val="auto"/>
        </w:rPr>
        <w:t>SA-24</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22"/>
          <w:szCs w:val="22"/>
          <w:color w:val="auto"/>
        </w:rPr>
        <w:t>Attachment A(R7) To</w:t>
      </w:r>
    </w:p>
    <w:p>
      <w:pPr>
        <w:jc w:val="center"/>
        <w:ind w:right="20"/>
        <w:spacing w:after="0" w:line="204" w:lineRule="auto"/>
        <w:rPr>
          <w:sz w:val="20"/>
          <w:szCs w:val="20"/>
          <w:color w:val="auto"/>
        </w:rPr>
      </w:pPr>
      <w:r>
        <w:rPr>
          <w:rFonts w:ascii="Arial" w:cs="Arial" w:eastAsia="Arial" w:hAnsi="Arial"/>
          <w:sz w:val="22"/>
          <w:szCs w:val="22"/>
          <w:color w:val="auto"/>
        </w:rPr>
        <w:t>Letter Agreement No. AAL-PA-03735-LA-1106651R6</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7"/>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737-8</w:t>
            </w:r>
          </w:p>
        </w:tc>
        <w:tc>
          <w:tcPr>
            <w:tcW w:w="120" w:type="dxa"/>
            <w:vAlign w:val="bottom"/>
          </w:tcPr>
          <w:p>
            <w:pPr>
              <w:spacing w:after="0"/>
              <w:rPr>
                <w:sz w:val="22"/>
                <w:szCs w:val="22"/>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pounds</w:t>
            </w: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300" w:type="dxa"/>
            <w:vAlign w:val="bottom"/>
          </w:tcPr>
          <w:p>
            <w:pPr>
              <w:spacing w:after="0"/>
              <w:rPr>
                <w:sz w:val="22"/>
                <w:szCs w:val="22"/>
                <w:color w:val="auto"/>
              </w:rPr>
            </w:pP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22"/>
                <w:szCs w:val="22"/>
                <w:color w:val="auto"/>
              </w:rPr>
            </w:pPr>
          </w:p>
        </w:tc>
      </w:tr>
      <w:tr>
        <w:trPr>
          <w:trHeight w:val="297"/>
        </w:trPr>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CFMLEAP-</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1B25</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pounds</w:t>
            </w:r>
          </w:p>
        </w:tc>
        <w:tc>
          <w:tcPr>
            <w:tcW w:w="39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Airframe Price Base Year/Escalation Formula:</w:t>
            </w:r>
          </w:p>
        </w:tc>
        <w:tc>
          <w:tcPr>
            <w:tcW w:w="11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114"/>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39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8"/>
        </w:trPr>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196"/>
        </w:trPr>
        <w:tc>
          <w:tcPr>
            <w:tcW w:w="2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21"/>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7"/>
        </w:trPr>
        <w:tc>
          <w:tcPr>
            <w:tcW w:w="2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51"/>
        </w:trPr>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7"/>
        </w:trPr>
        <w:tc>
          <w:tcPr>
            <w:tcW w:w="2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7"/>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7"/>
        </w:trPr>
        <w:tc>
          <w:tcPr>
            <w:tcW w:w="2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7"/>
        </w:trPr>
        <w:tc>
          <w:tcPr>
            <w:tcW w:w="2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7"/>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2"/>
        </w:trPr>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7"/>
        </w:trPr>
        <w:tc>
          <w:tcPr>
            <w:tcW w:w="880" w:type="dxa"/>
            <w:vAlign w:val="bottom"/>
            <w:tcBorders>
              <w:left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3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760" w:type="dxa"/>
            <w:vAlign w:val="bottom"/>
            <w:tcBorders>
              <w:right w:val="single" w:sz="8" w:color="auto"/>
            </w:tcBorders>
            <w:shd w:val="clear" w:color="auto" w:fill="C0C0C0"/>
          </w:tcPr>
          <w:p>
            <w:pPr>
              <w:spacing w:after="0"/>
              <w:rPr>
                <w:sz w:val="19"/>
                <w:szCs w:val="19"/>
                <w:color w:val="auto"/>
              </w:rPr>
            </w:pP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5260" w:type="dxa"/>
            <w:vAlign w:val="bottom"/>
            <w:tcBorders>
              <w:right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80" w:type="dxa"/>
            <w:vAlign w:val="bottom"/>
            <w:tcBorders>
              <w:left w:val="single" w:sz="8" w:color="auto"/>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980" w:type="dxa"/>
            <w:vAlign w:val="bottom"/>
            <w:gridSpan w:val="2"/>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240" w:type="dxa"/>
            <w:vAlign w:val="bottom"/>
            <w:tcBorders>
              <w:bottom w:val="single" w:sz="8" w:color="C0C0C0"/>
              <w:right w:val="single" w:sz="8" w:color="auto"/>
            </w:tcBorders>
            <w:shd w:val="clear" w:color="auto" w:fill="C0C0C0"/>
          </w:tcPr>
          <w:p>
            <w:pPr>
              <w:spacing w:after="0"/>
              <w:rPr>
                <w:sz w:val="6"/>
                <w:szCs w:val="6"/>
                <w:color w:val="auto"/>
              </w:rPr>
            </w:pPr>
          </w:p>
        </w:tc>
        <w:tc>
          <w:tcPr>
            <w:tcW w:w="1220" w:type="dxa"/>
            <w:vAlign w:val="bottom"/>
            <w:tcBorders>
              <w:bottom w:val="single" w:sz="8" w:color="C0C0C0"/>
              <w:right w:val="single" w:sz="8" w:color="auto"/>
            </w:tcBorders>
            <w:gridSpan w:val="2"/>
            <w:shd w:val="clear" w:color="auto" w:fill="C0C0C0"/>
          </w:tcPr>
          <w:p>
            <w:pPr>
              <w:spacing w:after="0"/>
              <w:rPr>
                <w:sz w:val="6"/>
                <w:szCs w:val="6"/>
                <w:color w:val="auto"/>
              </w:rPr>
            </w:pPr>
          </w:p>
        </w:tc>
        <w:tc>
          <w:tcPr>
            <w:tcW w:w="1440" w:type="dxa"/>
            <w:vAlign w:val="bottom"/>
            <w:tcBorders>
              <w:right w:val="single" w:sz="8" w:color="auto"/>
            </w:tcBorders>
            <w:gridSpan w:val="2"/>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3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4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2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1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4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7"/>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46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gridSpan w:val="2"/>
          </w:tcPr>
          <w:p>
            <w:pPr>
              <w:spacing w:after="0"/>
              <w:rPr>
                <w:sz w:val="6"/>
                <w:szCs w:val="6"/>
                <w:color w:val="auto"/>
              </w:rPr>
            </w:pPr>
          </w:p>
        </w:tc>
        <w:tc>
          <w:tcPr>
            <w:tcW w:w="1220" w:type="dxa"/>
            <w:vAlign w:val="bottom"/>
            <w:tcBorders>
              <w:bottom w:val="single" w:sz="8" w:color="auto"/>
              <w:right w:val="single" w:sz="8" w:color="auto"/>
            </w:tcBorders>
            <w:gridSpan w:val="2"/>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08"/>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08"/>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08"/>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36"/>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right w:val="single" w:sz="8" w:color="auto"/>
            </w:tcBorders>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right w:val="single" w:sz="8" w:color="auto"/>
            </w:tcBorders>
            <w:shd w:val="clear" w:color="auto" w:fill="C0C0C0"/>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26"/>
        </w:trPr>
        <w:tc>
          <w:tcPr>
            <w:tcW w:w="880" w:type="dxa"/>
            <w:vAlign w:val="bottom"/>
            <w:tcBorders>
              <w:left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3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760" w:type="dxa"/>
            <w:vAlign w:val="bottom"/>
            <w:tcBorders>
              <w:right w:val="single" w:sz="8" w:color="auto"/>
            </w:tcBorders>
            <w:shd w:val="clear" w:color="auto" w:fill="C0C0C0"/>
          </w:tcPr>
          <w:p>
            <w:pPr>
              <w:spacing w:after="0"/>
              <w:rPr>
                <w:sz w:val="19"/>
                <w:szCs w:val="19"/>
                <w:color w:val="auto"/>
              </w:rPr>
            </w:pP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5260" w:type="dxa"/>
            <w:vAlign w:val="bottom"/>
            <w:tcBorders>
              <w:right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gridSpan w:val="2"/>
            <w:shd w:val="clear" w:color="auto" w:fill="C0C0C0"/>
          </w:tcPr>
          <w:p>
            <w:pPr>
              <w:spacing w:after="0"/>
              <w:rPr>
                <w:sz w:val="6"/>
                <w:szCs w:val="6"/>
                <w:color w:val="auto"/>
              </w:rPr>
            </w:pPr>
          </w:p>
        </w:tc>
        <w:tc>
          <w:tcPr>
            <w:tcW w:w="1440" w:type="dxa"/>
            <w:vAlign w:val="bottom"/>
            <w:tcBorders>
              <w:bottom w:val="single" w:sz="8" w:color="auto"/>
              <w:right w:val="single" w:sz="8" w:color="auto"/>
            </w:tcBorders>
            <w:gridSpan w:val="2"/>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6"/>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3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4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2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gridSpan w:val="2"/>
            <w:shd w:val="clear" w:color="auto" w:fill="C0C0C0"/>
          </w:tcPr>
          <w:p>
            <w:pPr>
              <w:spacing w:after="0"/>
              <w:rPr>
                <w:sz w:val="6"/>
                <w:szCs w:val="6"/>
                <w:color w:val="auto"/>
              </w:rPr>
            </w:pPr>
          </w:p>
        </w:tc>
        <w:tc>
          <w:tcPr>
            <w:tcW w:w="1440" w:type="dxa"/>
            <w:vAlign w:val="bottom"/>
            <w:tcBorders>
              <w:bottom w:val="single" w:sz="8" w:color="auto"/>
              <w:right w:val="single" w:sz="8" w:color="auto"/>
            </w:tcBorders>
            <w:gridSpan w:val="2"/>
          </w:tcPr>
          <w:p>
            <w:pPr>
              <w:spacing w:after="0"/>
              <w:rPr>
                <w:sz w:val="6"/>
                <w:szCs w:val="6"/>
                <w:color w:val="auto"/>
              </w:rPr>
            </w:pPr>
          </w:p>
        </w:tc>
        <w:tc>
          <w:tcPr>
            <w:tcW w:w="1220" w:type="dxa"/>
            <w:vAlign w:val="bottom"/>
            <w:tcBorders>
              <w:bottom w:val="single" w:sz="8" w:color="auto"/>
              <w:right w:val="single" w:sz="8" w:color="auto"/>
            </w:tcBorders>
            <w:gridSpan w:val="2"/>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6"/>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3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44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460" w:type="dxa"/>
            <w:vAlign w:val="bottom"/>
            <w:tcBorders>
              <w:bottom w:val="single" w:sz="8" w:color="auto"/>
            </w:tcBorders>
            <w:shd w:val="clear" w:color="auto" w:fill="C0C0C0"/>
          </w:tcPr>
          <w:p>
            <w:pPr>
              <w:spacing w:after="0"/>
              <w:rPr>
                <w:sz w:val="6"/>
                <w:szCs w:val="6"/>
                <w:color w:val="auto"/>
              </w:rPr>
            </w:pPr>
          </w:p>
        </w:tc>
        <w:tc>
          <w:tcPr>
            <w:tcW w:w="76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gridSpan w:val="2"/>
          </w:tcPr>
          <w:p>
            <w:pPr>
              <w:spacing w:after="0"/>
              <w:rPr>
                <w:sz w:val="6"/>
                <w:szCs w:val="6"/>
                <w:color w:val="auto"/>
              </w:rPr>
            </w:pPr>
          </w:p>
        </w:tc>
        <w:tc>
          <w:tcPr>
            <w:tcW w:w="1220" w:type="dxa"/>
            <w:vAlign w:val="bottom"/>
            <w:tcBorders>
              <w:bottom w:val="single" w:sz="8" w:color="auto"/>
              <w:right w:val="single" w:sz="8" w:color="auto"/>
            </w:tcBorders>
            <w:gridSpan w:val="2"/>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08"/>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shd w:val="clear" w:color="auto" w:fill="C0C0C0"/>
          </w:tcPr>
          <w:p>
            <w:pPr>
              <w:spacing w:after="0"/>
              <w:rPr>
                <w:sz w:val="24"/>
                <w:szCs w:val="24"/>
                <w:color w:val="auto"/>
              </w:rPr>
            </w:pPr>
          </w:p>
        </w:tc>
        <w:tc>
          <w:tcPr>
            <w:tcW w:w="460" w:type="dxa"/>
            <w:vAlign w:val="bottom"/>
            <w:shd w:val="clear" w:color="auto" w:fill="C0C0C0"/>
          </w:tcPr>
          <w:p>
            <w:pPr>
              <w:spacing w:after="0"/>
              <w:rPr>
                <w:sz w:val="24"/>
                <w:szCs w:val="24"/>
                <w:color w:val="auto"/>
              </w:rPr>
            </w:pPr>
          </w:p>
        </w:tc>
        <w:tc>
          <w:tcPr>
            <w:tcW w:w="760" w:type="dxa"/>
            <w:vAlign w:val="bottom"/>
            <w:tcBorders>
              <w:right w:val="single" w:sz="8" w:color="auto"/>
            </w:tcBorders>
            <w:shd w:val="clear" w:color="auto" w:fill="C0C0C0"/>
          </w:tcPr>
          <w:p>
            <w:pPr>
              <w:jc w:val="center"/>
              <w:ind w:right="428"/>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460" w:type="dxa"/>
            <w:vAlign w:val="bottom"/>
            <w:tcBorders>
              <w:bottom w:val="single" w:sz="8" w:color="auto"/>
            </w:tcBorders>
            <w:shd w:val="clear" w:color="auto" w:fill="C0C0C0"/>
          </w:tcPr>
          <w:p>
            <w:pPr>
              <w:spacing w:after="0"/>
              <w:rPr>
                <w:sz w:val="5"/>
                <w:szCs w:val="5"/>
                <w:color w:val="auto"/>
              </w:rPr>
            </w:pPr>
          </w:p>
        </w:tc>
        <w:tc>
          <w:tcPr>
            <w:tcW w:w="760" w:type="dxa"/>
            <w:vAlign w:val="bottom"/>
            <w:tcBorders>
              <w:bottom w:val="single" w:sz="8" w:color="auto"/>
              <w:right w:val="single" w:sz="8" w:color="auto"/>
            </w:tcBorders>
            <w:shd w:val="clear" w:color="auto" w:fill="C0C0C0"/>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731" w:right="319" w:bottom="0" w:gutter="0" w:footer="0" w:header="0"/>
        </w:sectPr>
      </w:pPr>
    </w:p>
    <w:p>
      <w:pPr>
        <w:spacing w:after="0" w:line="323"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SA-24</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731" w:right="319" w:bottom="0" w:gutter="0" w:footer="0" w:header="0"/>
          <w:type w:val="continuous"/>
        </w:sectPr>
      </w:pPr>
    </w:p>
    <w:bookmarkStart w:id="139" w:name="page140"/>
    <w:bookmarkEnd w:id="139"/>
    <w:tbl>
      <w:tblPr>
        <w:tblLayout w:type="fixed"/>
        <w:tblInd w:w="10" w:type="dxa"/>
        <w:tblCellMar>
          <w:top w:w="0" w:type="dxa"/>
          <w:left w:w="0" w:type="dxa"/>
          <w:bottom w:w="0" w:type="dxa"/>
          <w:right w:w="0" w:type="dxa"/>
        </w:tblCellMar>
      </w:tblPr>
      <w:tr>
        <w:trPr>
          <w:trHeight w:val="311"/>
        </w:trPr>
        <w:tc>
          <w:tcPr>
            <w:tcW w:w="880" w:type="dxa"/>
            <w:vAlign w:val="bottom"/>
            <w:tcBorders>
              <w:top w:val="single" w:sz="8" w:color="auto"/>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top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right w:val="single" w:sz="8" w:color="auto"/>
            </w:tcBorders>
            <w:shd w:val="clear" w:color="auto" w:fill="C0C0C0"/>
          </w:tcPr>
          <w:p>
            <w:pPr>
              <w:spacing w:after="0"/>
              <w:rPr>
                <w:sz w:val="24"/>
                <w:szCs w:val="24"/>
                <w:color w:val="auto"/>
              </w:rPr>
            </w:pPr>
          </w:p>
        </w:tc>
        <w:tc>
          <w:tcPr>
            <w:tcW w:w="1220" w:type="dxa"/>
            <w:vAlign w:val="bottom"/>
            <w:tcBorders>
              <w:top w:val="single" w:sz="8" w:color="auto"/>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top w:val="single" w:sz="8" w:color="auto"/>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500"/>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0000FF"/>
              </w:rPr>
              <w:t>1</w:t>
            </w:r>
          </w:p>
        </w:tc>
        <w:tc>
          <w:tcPr>
            <w:tcW w:w="128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ind w:left="480"/>
              <w:spacing w:after="0"/>
              <w:rPr>
                <w:sz w:val="20"/>
                <w:szCs w:val="20"/>
                <w:color w:val="auto"/>
              </w:rPr>
            </w:pPr>
            <w:r>
              <w:rPr>
                <w:rFonts w:ascii="Times New Roman" w:cs="Times New Roman" w:eastAsia="Times New Roman" w:hAnsi="Times New Roman"/>
                <w:sz w:val="14"/>
                <w:szCs w:val="14"/>
                <w:color w:val="auto"/>
              </w:rPr>
              <w:t>Yes</w:t>
            </w:r>
          </w:p>
        </w:tc>
        <w:tc>
          <w:tcPr>
            <w:tcW w:w="144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SA-24</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60"/>
          </w:cols>
          <w:pgMar w:left="320" w:top="794" w:right="319"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233"/>
        </w:trPr>
        <w:tc>
          <w:tcPr>
            <w:tcW w:w="88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40" w:type="dxa"/>
            <w:vAlign w:val="bottom"/>
            <w:tcBorders>
              <w:right w:val="single" w:sz="8" w:color="auto"/>
            </w:tcBorders>
            <w:shd w:val="clear" w:color="auto" w:fill="C0C0C0"/>
          </w:tcPr>
          <w:p>
            <w:pPr>
              <w:spacing w:after="0"/>
              <w:rPr>
                <w:sz w:val="20"/>
                <w:szCs w:val="20"/>
                <w:color w:val="auto"/>
              </w:rPr>
            </w:pPr>
          </w:p>
        </w:tc>
        <w:tc>
          <w:tcPr>
            <w:tcW w:w="1220" w:type="dxa"/>
            <w:vAlign w:val="bottom"/>
            <w:tcBorders>
              <w:right w:val="single" w:sz="8" w:color="auto"/>
            </w:tcBorders>
            <w:shd w:val="clear" w:color="auto" w:fill="C0C0C0"/>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5260" w:type="dxa"/>
            <w:vAlign w:val="bottom"/>
            <w:tcBorders>
              <w:right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SA-24</w:t>
      </w:r>
    </w:p>
    <w:p>
      <w:pPr>
        <w:ind w:left="48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60"/>
          </w:cols>
          <w:pgMar w:left="320" w:top="814" w:right="31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368"/>
        </w:trPr>
        <w:tc>
          <w:tcPr>
            <w:tcW w:w="88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5260" w:type="dxa"/>
            <w:vAlign w:val="bottom"/>
            <w:tcBorders>
              <w:right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SA-24</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60"/>
          </w:cols>
          <w:pgMar w:left="320" w:top="814" w:right="31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33"/>
        </w:trPr>
        <w:tc>
          <w:tcPr>
            <w:tcW w:w="880" w:type="dxa"/>
            <w:vAlign w:val="bottom"/>
            <w:tcBorders>
              <w:left w:val="single" w:sz="8" w:color="auto"/>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40" w:type="dxa"/>
            <w:vAlign w:val="bottom"/>
            <w:tcBorders>
              <w:right w:val="single" w:sz="8" w:color="auto"/>
            </w:tcBorders>
            <w:shd w:val="clear" w:color="auto" w:fill="C0C0C0"/>
          </w:tcPr>
          <w:p>
            <w:pPr>
              <w:spacing w:after="0"/>
              <w:rPr>
                <w:sz w:val="20"/>
                <w:szCs w:val="20"/>
                <w:color w:val="auto"/>
              </w:rPr>
            </w:pPr>
          </w:p>
        </w:tc>
        <w:tc>
          <w:tcPr>
            <w:tcW w:w="1220" w:type="dxa"/>
            <w:vAlign w:val="bottom"/>
            <w:tcBorders>
              <w:right w:val="single" w:sz="8" w:color="auto"/>
            </w:tcBorders>
            <w:shd w:val="clear" w:color="auto" w:fill="C0C0C0"/>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5260" w:type="dxa"/>
            <w:vAlign w:val="bottom"/>
            <w:tcBorders>
              <w:right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2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4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80" w:type="dxa"/>
            <w:vAlign w:val="bottom"/>
            <w:tcBorders>
              <w:left w:val="single" w:sz="8" w:color="auto"/>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0"/>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91"/>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68"/>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27"/>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Times New Roman" w:cs="Times New Roman" w:eastAsia="Times New Roman" w:hAnsi="Times New Roman"/>
          <w:sz w:val="22"/>
          <w:szCs w:val="22"/>
          <w:color w:val="auto"/>
        </w:rPr>
        <w:t>Boeing Proprietary</w:t>
      </w:r>
      <w:r>
        <w:rPr>
          <w:sz w:val="20"/>
          <w:szCs w:val="20"/>
          <w:color w:val="auto"/>
        </w:rPr>
        <w:tab/>
      </w:r>
      <w:r>
        <w:rPr>
          <w:rFonts w:ascii="Arial" w:cs="Arial" w:eastAsia="Arial" w:hAnsi="Arial"/>
          <w:sz w:val="21"/>
          <w:szCs w:val="21"/>
          <w:color w:val="auto"/>
        </w:rPr>
        <w:t>SA-24</w:t>
      </w:r>
    </w:p>
    <w:p>
      <w:pPr>
        <w:ind w:left="48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60"/>
          </w:cols>
          <w:pgMar w:left="320" w:top="814" w:right="319" w:bottom="1440" w:gutter="0" w:footer="0" w:header="0"/>
        </w:sectPr>
      </w:pPr>
    </w:p>
    <w:bookmarkStart w:id="143" w:name="page144"/>
    <w:bookmarkEnd w:id="143"/>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44450</wp:posOffset>
            </wp:positionV>
            <wp:extent cx="7132320" cy="283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58" w:lineRule="exact"/>
        <w:rPr>
          <w:sz w:val="20"/>
          <w:szCs w:val="20"/>
          <w:color w:val="auto"/>
        </w:rPr>
      </w:pPr>
    </w:p>
    <w:p>
      <w:pPr>
        <w:ind w:left="60" w:right="6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AMERICAN AIRLINES GROUP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AMENDMENT</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PROMISSORY NOTES AND WARRANTS TO PURCHASE COMMON STOCK</w:t>
      </w:r>
    </w:p>
    <w:p>
      <w:pPr>
        <w:spacing w:after="0" w:line="180" w:lineRule="exact"/>
        <w:rPr>
          <w:sz w:val="20"/>
          <w:szCs w:val="20"/>
          <w:color w:val="auto"/>
        </w:rPr>
      </w:pPr>
    </w:p>
    <w:p>
      <w:pPr>
        <w:jc w:val="both"/>
        <w:ind w:firstLine="215"/>
        <w:spacing w:after="0" w:line="230" w:lineRule="auto"/>
        <w:rPr>
          <w:sz w:val="20"/>
          <w:szCs w:val="20"/>
          <w:color w:val="auto"/>
        </w:rPr>
      </w:pPr>
      <w:r>
        <w:rPr>
          <w:rFonts w:ascii="Times New Roman" w:cs="Times New Roman" w:eastAsia="Times New Roman" w:hAnsi="Times New Roman"/>
          <w:sz w:val="20"/>
          <w:szCs w:val="20"/>
          <w:color w:val="auto"/>
        </w:rPr>
        <w:t>This Amendment, dated as of June 30, 2022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amends the Promissory Notes and the Warrants issued by AMERICAN AIRLINES GROUP INC., a corporation organized under the laws of Delaware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the UNITED STATES DEPARTMENT OF THE TREASURY (“</w:t>
      </w:r>
      <w:r>
        <w:rPr>
          <w:rFonts w:ascii="Times New Roman" w:cs="Times New Roman" w:eastAsia="Times New Roman" w:hAnsi="Times New Roman"/>
          <w:sz w:val="20"/>
          <w:szCs w:val="20"/>
          <w:u w:val="single" w:color="auto"/>
          <w:color w:val="auto"/>
        </w:rPr>
        <w:t>Treasury</w:t>
      </w:r>
      <w:r>
        <w:rPr>
          <w:rFonts w:ascii="Times New Roman" w:cs="Times New Roman" w:eastAsia="Times New Roman" w:hAnsi="Times New Roman"/>
          <w:sz w:val="20"/>
          <w:szCs w:val="20"/>
          <w:color w:val="auto"/>
        </w:rPr>
        <w:t>”). Certain defined terms used in this Amendment are found in Annex A attached hereto.</w:t>
      </w:r>
    </w:p>
    <w:p>
      <w:pPr>
        <w:spacing w:after="0" w:line="176"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19"/>
          <w:szCs w:val="19"/>
          <w:color w:val="auto"/>
        </w:rPr>
        <w:t>WHEREAS, certain wholly owned subsidiaries of the Company (the “</w:t>
      </w:r>
      <w:r>
        <w:rPr>
          <w:rFonts w:ascii="Times New Roman" w:cs="Times New Roman" w:eastAsia="Times New Roman" w:hAnsi="Times New Roman"/>
          <w:sz w:val="19"/>
          <w:szCs w:val="19"/>
          <w:u w:val="single" w:color="auto"/>
          <w:color w:val="auto"/>
        </w:rPr>
        <w:t>Recipients</w:t>
      </w:r>
      <w:r>
        <w:rPr>
          <w:rFonts w:ascii="Times New Roman" w:cs="Times New Roman" w:eastAsia="Times New Roman" w:hAnsi="Times New Roman"/>
          <w:sz w:val="19"/>
          <w:szCs w:val="19"/>
          <w:color w:val="auto"/>
        </w:rPr>
        <w:t>”) applied to Treasury for financial assistance under Subtitle B of Title IV of Division A of the CARES Act, Subtitle A of Title IV of Division N of the Consolidated Appropriations Act, 2021,</w:t>
      </w:r>
    </w:p>
    <w:p>
      <w:pPr>
        <w:spacing w:after="0" w:line="1" w:lineRule="exact"/>
        <w:rPr>
          <w:sz w:val="20"/>
          <w:szCs w:val="20"/>
          <w:color w:val="auto"/>
        </w:rPr>
      </w:pPr>
    </w:p>
    <w:p>
      <w:pPr>
        <w:ind w:right="560"/>
        <w:spacing w:after="0" w:line="221" w:lineRule="auto"/>
        <w:rPr>
          <w:sz w:val="20"/>
          <w:szCs w:val="20"/>
          <w:color w:val="auto"/>
        </w:rPr>
      </w:pPr>
      <w:r>
        <w:rPr>
          <w:rFonts w:ascii="Times New Roman" w:cs="Times New Roman" w:eastAsia="Times New Roman" w:hAnsi="Times New Roman"/>
          <w:sz w:val="20"/>
          <w:szCs w:val="20"/>
          <w:color w:val="auto"/>
        </w:rPr>
        <w:t>and Subtitle C of Title VII of the American Rescue Plan Act of 2021, and Treasury provided such financial assistance on the terms and conditions set forth in the PSP Agreements;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as appropriate compensation to the Federal Government of the United States of America for the provision of financial</w:t>
      </w:r>
    </w:p>
    <w:p>
      <w:pPr>
        <w:ind w:right="120"/>
        <w:spacing w:after="0" w:line="221" w:lineRule="auto"/>
        <w:rPr>
          <w:sz w:val="20"/>
          <w:szCs w:val="20"/>
          <w:color w:val="auto"/>
        </w:rPr>
      </w:pPr>
      <w:r>
        <w:rPr>
          <w:rFonts w:ascii="Times New Roman" w:cs="Times New Roman" w:eastAsia="Times New Roman" w:hAnsi="Times New Roman"/>
          <w:sz w:val="20"/>
          <w:szCs w:val="20"/>
          <w:color w:val="auto"/>
        </w:rPr>
        <w:t>assistance under each of the PSP Agreements, the Company issued the Promissory Notes in favor of Treasury and the Company entered into the Warrant Agreements under which the Company issued the Warrants to Treasury;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Principal Amount (as such term is defined in the applicable Promissory Note) of each Promissory Note was</w:t>
      </w:r>
    </w:p>
    <w:p>
      <w:pPr>
        <w:ind w:right="160"/>
        <w:spacing w:after="0" w:line="215" w:lineRule="auto"/>
        <w:rPr>
          <w:sz w:val="20"/>
          <w:szCs w:val="20"/>
          <w:color w:val="auto"/>
        </w:rPr>
      </w:pPr>
      <w:r>
        <w:rPr>
          <w:rFonts w:ascii="Times New Roman" w:cs="Times New Roman" w:eastAsia="Times New Roman" w:hAnsi="Times New Roman"/>
          <w:sz w:val="19"/>
          <w:szCs w:val="19"/>
          <w:color w:val="auto"/>
        </w:rPr>
        <w:t>determined and adjusted based on the payments disbursed to the Recipients under each of the PSP Agreements, and the number of shares of Common Stock underlying each Warrant (the “</w:t>
      </w:r>
      <w:r>
        <w:rPr>
          <w:rFonts w:ascii="Times New Roman" w:cs="Times New Roman" w:eastAsia="Times New Roman" w:hAnsi="Times New Roman"/>
          <w:sz w:val="19"/>
          <w:szCs w:val="19"/>
          <w:u w:val="single" w:color="auto"/>
          <w:color w:val="auto"/>
        </w:rPr>
        <w:t>Warrant Shares</w:t>
      </w:r>
      <w:r>
        <w:rPr>
          <w:rFonts w:ascii="Times New Roman" w:cs="Times New Roman" w:eastAsia="Times New Roman" w:hAnsi="Times New Roman"/>
          <w:sz w:val="19"/>
          <w:szCs w:val="19"/>
          <w:color w:val="auto"/>
        </w:rPr>
        <w:t>”) was determined based on the Principal Amount of the related Promissory</w:t>
      </w:r>
    </w:p>
    <w:p>
      <w:pPr>
        <w:spacing w:after="0"/>
        <w:rPr>
          <w:sz w:val="20"/>
          <w:szCs w:val="20"/>
          <w:color w:val="auto"/>
        </w:rPr>
      </w:pPr>
      <w:r>
        <w:rPr>
          <w:rFonts w:ascii="Times New Roman" w:cs="Times New Roman" w:eastAsia="Times New Roman" w:hAnsi="Times New Roman"/>
          <w:sz w:val="20"/>
          <w:szCs w:val="20"/>
          <w:color w:val="auto"/>
        </w:rPr>
        <w:t>Note;</w:t>
      </w:r>
    </w:p>
    <w:p>
      <w:pPr>
        <w:spacing w:after="0" w:line="167" w:lineRule="exact"/>
        <w:rPr>
          <w:sz w:val="20"/>
          <w:szCs w:val="20"/>
          <w:color w:val="auto"/>
        </w:rPr>
      </w:pPr>
    </w:p>
    <w:p>
      <w:pPr>
        <w:ind w:left="660" w:right="280"/>
        <w:spacing w:after="0" w:line="429" w:lineRule="auto"/>
        <w:rPr>
          <w:sz w:val="20"/>
          <w:szCs w:val="20"/>
          <w:color w:val="auto"/>
        </w:rPr>
      </w:pPr>
      <w:r>
        <w:rPr>
          <w:rFonts w:ascii="Times New Roman" w:cs="Times New Roman" w:eastAsia="Times New Roman" w:hAnsi="Times New Roman"/>
          <w:sz w:val="20"/>
          <w:szCs w:val="20"/>
          <w:color w:val="auto"/>
        </w:rPr>
        <w:t>WHEREAS, American Airlines, Envoy Air Inc., Piedmont Airlines, Inc. and PSA Airlines, Inc. guaranteed the Promissory Notes; WHEREAS, Treasury is the sole holder of the Promissory Notes and the Warrants;</w:t>
      </w:r>
    </w:p>
    <w:p>
      <w:pPr>
        <w:spacing w:after="0" w:line="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WHEREAS, Piedmont Airlines, Inc. (“</w:t>
      </w:r>
      <w:r>
        <w:rPr>
          <w:rFonts w:ascii="Times New Roman" w:cs="Times New Roman" w:eastAsia="Times New Roman" w:hAnsi="Times New Roman"/>
          <w:sz w:val="20"/>
          <w:szCs w:val="20"/>
          <w:u w:val="single" w:color="auto"/>
          <w:color w:val="auto"/>
        </w:rPr>
        <w:t>Piedmont</w:t>
      </w:r>
      <w:r>
        <w:rPr>
          <w:rFonts w:ascii="Times New Roman" w:cs="Times New Roman" w:eastAsia="Times New Roman" w:hAnsi="Times New Roman"/>
          <w:sz w:val="20"/>
          <w:szCs w:val="20"/>
          <w:color w:val="auto"/>
        </w:rPr>
        <w:t>”) is a wholly owned subsidiary of the Company and a Recipient of funds under each of the PSP Agreements;</w:t>
      </w:r>
    </w:p>
    <w:p>
      <w:pPr>
        <w:spacing w:after="0" w:line="148" w:lineRule="exact"/>
        <w:rPr>
          <w:sz w:val="20"/>
          <w:szCs w:val="20"/>
          <w:color w:val="auto"/>
        </w:rPr>
      </w:pPr>
    </w:p>
    <w:p>
      <w:pPr>
        <w:ind w:right="440" w:firstLine="648"/>
        <w:spacing w:after="0"/>
        <w:rPr>
          <w:sz w:val="20"/>
          <w:szCs w:val="20"/>
          <w:color w:val="auto"/>
        </w:rPr>
      </w:pPr>
      <w:r>
        <w:rPr>
          <w:rFonts w:ascii="Times New Roman" w:cs="Times New Roman" w:eastAsia="Times New Roman" w:hAnsi="Times New Roman"/>
          <w:sz w:val="20"/>
          <w:szCs w:val="20"/>
          <w:color w:val="auto"/>
        </w:rPr>
        <w:t>WHEREAS, [****] Treasury determined that the awardable amount for Piedmont as initially calculated exceeded the amount to which Piedmont was entitled by $24,891,279.76 in PSP1, $16,838,218.58 in PSP2, and $15,705,006.47 in PSP3;</w:t>
      </w:r>
    </w:p>
    <w:p>
      <w:pPr>
        <w:spacing w:after="0" w:line="161" w:lineRule="exact"/>
        <w:rPr>
          <w:sz w:val="20"/>
          <w:szCs w:val="20"/>
          <w:color w:val="auto"/>
        </w:rPr>
      </w:pPr>
    </w:p>
    <w:p>
      <w:pPr>
        <w:ind w:right="1080" w:firstLine="648"/>
        <w:spacing w:after="0" w:line="227" w:lineRule="auto"/>
        <w:rPr>
          <w:sz w:val="20"/>
          <w:szCs w:val="20"/>
          <w:color w:val="auto"/>
        </w:rPr>
      </w:pPr>
      <w:r>
        <w:rPr>
          <w:rFonts w:ascii="Times New Roman" w:cs="Times New Roman" w:eastAsia="Times New Roman" w:hAnsi="Times New Roman"/>
          <w:sz w:val="19"/>
          <w:szCs w:val="19"/>
          <w:color w:val="auto"/>
        </w:rPr>
        <w:t>WHEREAS, [****] Treasury had made five disbursements to the Recipients totaling $5,982,831,389.33 for PSP1; three disbursements to the Recipients totaling $3,549,766,770.18 for PSP2; and one disbursement to the Recipients in the amount of</w:t>
      </w:r>
    </w:p>
    <w:p>
      <w:pPr>
        <w:spacing w:after="0"/>
        <w:rPr>
          <w:sz w:val="20"/>
          <w:szCs w:val="20"/>
          <w:color w:val="auto"/>
        </w:rPr>
      </w:pPr>
      <w:r>
        <w:rPr>
          <w:rFonts w:ascii="Times New Roman" w:cs="Times New Roman" w:eastAsia="Times New Roman" w:hAnsi="Times New Roman"/>
          <w:sz w:val="20"/>
          <w:szCs w:val="20"/>
          <w:color w:val="auto"/>
        </w:rPr>
        <w:t>$1,655,433,733.27 for PSP3, [****];</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Treasury intended to make a second and final disbursement to the Recipients under PSP3 in the amount of</w:t>
      </w:r>
    </w:p>
    <w:p>
      <w:pPr>
        <w:spacing w:after="0" w:line="211" w:lineRule="auto"/>
        <w:rPr>
          <w:sz w:val="20"/>
          <w:szCs w:val="20"/>
          <w:color w:val="auto"/>
        </w:rPr>
      </w:pPr>
      <w:r>
        <w:rPr>
          <w:rFonts w:ascii="Times New Roman" w:cs="Times New Roman" w:eastAsia="Times New Roman" w:hAnsi="Times New Roman"/>
          <w:sz w:val="20"/>
          <w:szCs w:val="20"/>
          <w:color w:val="auto"/>
        </w:rPr>
        <w:t>$1,655,433,733.30, but reduced this disbursement by $57,434,504.81 to account for the reductions made to Piedmont’s PSP1, PSP2, and</w:t>
      </w:r>
    </w:p>
    <w:p>
      <w:pPr>
        <w:spacing w:after="0"/>
        <w:rPr>
          <w:sz w:val="20"/>
          <w:szCs w:val="20"/>
          <w:color w:val="auto"/>
        </w:rPr>
      </w:pPr>
      <w:r>
        <w:rPr>
          <w:rFonts w:ascii="Times New Roman" w:cs="Times New Roman" w:eastAsia="Times New Roman" w:hAnsi="Times New Roman"/>
          <w:sz w:val="20"/>
          <w:szCs w:val="20"/>
          <w:color w:val="auto"/>
        </w:rPr>
        <w:t>PSP3 awardable amounts, as a result of which Treasury paid the Recipients $1,597,999,228.49 for the second and final PSP3 disbursement;</w:t>
      </w:r>
    </w:p>
    <w:p>
      <w:pPr>
        <w:spacing w:after="0" w:line="153"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19"/>
          <w:szCs w:val="19"/>
          <w:color w:val="auto"/>
        </w:rPr>
        <w:t>WHEREAS, following the reductions in Piedmont’s awardable amounts under PSP1, PSP2, and PSP3 and the application of an updated formula that incorporates such reductions, Treasury determined that the payments disbursed to the Recipients under PSP1 and PSP2</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and the first payment disbursed under PSP3 were in amounts greater than they should have been, and the second and final payment disbursed under PSP3 was less than it should have been if all of the previous payments had been correctly calculated;</w:t>
      </w:r>
    </w:p>
    <w:p>
      <w:pPr>
        <w:spacing w:after="0" w:line="162" w:lineRule="exact"/>
        <w:rPr>
          <w:sz w:val="20"/>
          <w:szCs w:val="20"/>
          <w:color w:val="auto"/>
        </w:rPr>
      </w:pPr>
    </w:p>
    <w:p>
      <w:pPr>
        <w:ind w:right="520" w:firstLine="648"/>
        <w:spacing w:after="0"/>
        <w:rPr>
          <w:sz w:val="20"/>
          <w:szCs w:val="20"/>
          <w:color w:val="auto"/>
        </w:rPr>
      </w:pPr>
      <w:r>
        <w:rPr>
          <w:rFonts w:ascii="Times New Roman" w:cs="Times New Roman" w:eastAsia="Times New Roman" w:hAnsi="Times New Roman"/>
          <w:sz w:val="20"/>
          <w:szCs w:val="20"/>
          <w:color w:val="auto"/>
        </w:rPr>
        <w:t>WHEREAS, Treasury and the Company accordingly wish to amend the Promissory Notes and the Warrants to reflect corrected disbursed amounts, such that the Principal Amounts of the PSP1 April 20</w:t>
      </w:r>
    </w:p>
    <w:p>
      <w:pPr>
        <w:sectPr>
          <w:pgSz w:w="11900" w:h="16838" w:orient="portrait"/>
          <w:cols w:equalWidth="0" w:num="1">
            <w:col w:w="11240"/>
          </w:cols>
          <w:pgMar w:left="320" w:top="117" w:right="339" w:bottom="1440" w:gutter="0" w:footer="0" w:header="0"/>
        </w:sectPr>
      </w:pPr>
    </w:p>
    <w:bookmarkStart w:id="144" w:name="page145"/>
    <w:bookmarkEnd w:id="144"/>
    <w:p>
      <w:pPr>
        <w:spacing w:after="0" w:line="36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Promissory Note and the PSP2 January 15 Promissory Note are decreased and the Principal Amount of the PSP3 April 23 Promissory Note is increased, and the corresponding number of Warrant Shares issuable under the PSP1 Warrants and the PSP2 Warrants is decreased and the</w:t>
      </w:r>
    </w:p>
    <w:p>
      <w:pPr>
        <w:spacing w:after="0"/>
        <w:rPr>
          <w:sz w:val="20"/>
          <w:szCs w:val="20"/>
          <w:color w:val="auto"/>
        </w:rPr>
      </w:pPr>
      <w:r>
        <w:rPr>
          <w:rFonts w:ascii="Times New Roman" w:cs="Times New Roman" w:eastAsia="Times New Roman" w:hAnsi="Times New Roman"/>
          <w:sz w:val="20"/>
          <w:szCs w:val="20"/>
          <w:color w:val="auto"/>
        </w:rPr>
        <w:t>number of Warrant Shares issuable under the PSP3 Warrants is increased.</w:t>
      </w:r>
    </w:p>
    <w:p>
      <w:pPr>
        <w:spacing w:after="0" w:line="167" w:lineRule="exact"/>
        <w:rPr>
          <w:sz w:val="20"/>
          <w:szCs w:val="20"/>
          <w:color w:val="auto"/>
        </w:rPr>
      </w:pPr>
    </w:p>
    <w:p>
      <w:pPr>
        <w:ind w:firstLine="244"/>
        <w:spacing w:after="0" w:line="23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the parties to this Amendment hereby agree as follows:</w:t>
      </w:r>
    </w:p>
    <w:p>
      <w:pPr>
        <w:spacing w:after="0" w:line="184" w:lineRule="exact"/>
        <w:rPr>
          <w:sz w:val="20"/>
          <w:szCs w:val="20"/>
          <w:color w:val="auto"/>
        </w:rPr>
      </w:pPr>
    </w:p>
    <w:p>
      <w:pPr>
        <w:ind w:firstLine="656"/>
        <w:spacing w:after="0" w:line="245" w:lineRule="auto"/>
        <w:tabs>
          <w:tab w:leader="none" w:pos="110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of the Promissory Notes</w:t>
      </w:r>
      <w:r>
        <w:rPr>
          <w:rFonts w:ascii="Times New Roman" w:cs="Times New Roman" w:eastAsia="Times New Roman" w:hAnsi="Times New Roman"/>
          <w:sz w:val="20"/>
          <w:szCs w:val="20"/>
          <w:color w:val="auto"/>
        </w:rPr>
        <w:t>. Each Promissory Note is hereby amended to adjust the Principal Amount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Promissory Note as follows:</w:t>
      </w:r>
    </w:p>
    <w:p>
      <w:pPr>
        <w:spacing w:after="0" w:line="168" w:lineRule="exact"/>
        <w:rPr>
          <w:rFonts w:ascii="Times New Roman" w:cs="Times New Roman" w:eastAsia="Times New Roman" w:hAnsi="Times New Roman"/>
          <w:sz w:val="20"/>
          <w:szCs w:val="20"/>
          <w:color w:val="auto"/>
        </w:rPr>
      </w:pPr>
    </w:p>
    <w:p>
      <w:pPr>
        <w:ind w:left="1960" w:right="140" w:hanging="656"/>
        <w:spacing w:after="0"/>
        <w:tabs>
          <w:tab w:leader="none" w:pos="195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April 20 Promissory Note</w:t>
      </w:r>
      <w:r>
        <w:rPr>
          <w:rFonts w:ascii="Times New Roman" w:cs="Times New Roman" w:eastAsia="Times New Roman" w:hAnsi="Times New Roman"/>
          <w:sz w:val="20"/>
          <w:szCs w:val="20"/>
          <w:color w:val="auto"/>
        </w:rPr>
        <w:t>. The aggregate Principal Amount of the PSP1 April 20 Promissory Note is reduced from $1,764,849,416.80 to $1,757,382,032.88.</w:t>
      </w:r>
    </w:p>
    <w:p>
      <w:pPr>
        <w:spacing w:after="0" w:line="53" w:lineRule="exact"/>
        <w:rPr>
          <w:rFonts w:ascii="Times New Roman" w:cs="Times New Roman" w:eastAsia="Times New Roman" w:hAnsi="Times New Roman"/>
          <w:sz w:val="20"/>
          <w:szCs w:val="20"/>
          <w:color w:val="auto"/>
        </w:rPr>
      </w:pPr>
    </w:p>
    <w:p>
      <w:pPr>
        <w:ind w:left="1960" w:right="420" w:hanging="656"/>
        <w:spacing w:after="0" w:line="233" w:lineRule="auto"/>
        <w:tabs>
          <w:tab w:leader="none" w:pos="1948"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PSP2 January 15 Promissory Note</w:t>
      </w:r>
      <w:r>
        <w:rPr>
          <w:rFonts w:ascii="Times New Roman" w:cs="Times New Roman" w:eastAsia="Times New Roman" w:hAnsi="Times New Roman"/>
          <w:sz w:val="20"/>
          <w:szCs w:val="20"/>
          <w:color w:val="auto"/>
        </w:rPr>
        <w:t>. The aggregate Principal Amount of the PSP2 January 15 Promissory Note is reduced from $1,034,930,031.05 to $1,029,878,565.48.</w:t>
      </w:r>
    </w:p>
    <w:p>
      <w:pPr>
        <w:spacing w:after="0" w:line="52" w:lineRule="exact"/>
        <w:rPr>
          <w:rFonts w:ascii="Times New Roman" w:cs="Times New Roman" w:eastAsia="Times New Roman" w:hAnsi="Times New Roman"/>
          <w:sz w:val="20"/>
          <w:szCs w:val="20"/>
          <w:color w:val="auto"/>
        </w:rPr>
      </w:pPr>
    </w:p>
    <w:p>
      <w:pPr>
        <w:ind w:left="1960" w:right="20" w:hanging="656"/>
        <w:spacing w:after="0"/>
        <w:tabs>
          <w:tab w:leader="none" w:pos="195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PSP3 April 23 Promissory Note</w:t>
      </w:r>
      <w:r>
        <w:rPr>
          <w:rFonts w:ascii="Times New Roman" w:cs="Times New Roman" w:eastAsia="Times New Roman" w:hAnsi="Times New Roman"/>
          <w:sz w:val="20"/>
          <w:szCs w:val="20"/>
          <w:color w:val="auto"/>
        </w:rPr>
        <w:t>. The aggregate Principal Amount of the PSP3 April 23 Promissory Note is increased from $946,029,888.53 to $958,548,738.02.</w:t>
      </w:r>
    </w:p>
    <w:p>
      <w:pPr>
        <w:spacing w:after="0" w:line="35" w:lineRule="exact"/>
        <w:rPr>
          <w:rFonts w:ascii="Times New Roman" w:cs="Times New Roman" w:eastAsia="Times New Roman" w:hAnsi="Times New Roman"/>
          <w:sz w:val="20"/>
          <w:szCs w:val="20"/>
          <w:color w:val="auto"/>
        </w:rPr>
      </w:pPr>
    </w:p>
    <w:p>
      <w:pPr>
        <w:ind w:firstLine="233"/>
        <w:spacing w:after="0" w:line="245" w:lineRule="auto"/>
        <w:tabs>
          <w:tab w:leader="none" w:pos="59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of the Warrants</w:t>
      </w:r>
      <w:r>
        <w:rPr>
          <w:rFonts w:ascii="Times New Roman" w:cs="Times New Roman" w:eastAsia="Times New Roman" w:hAnsi="Times New Roman"/>
          <w:sz w:val="20"/>
          <w:szCs w:val="20"/>
          <w:color w:val="auto"/>
        </w:rPr>
        <w:t>. Each Warrant is hereby amended to adjust the current number of Warrant Shares issuable under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(as reflected on the cover page of, and Schedule A to, such Warrant) to the following number of Warrant Shares:</w:t>
      </w:r>
    </w:p>
    <w:p>
      <w:pPr>
        <w:spacing w:after="0" w:line="182" w:lineRule="exact"/>
        <w:rPr>
          <w:rFonts w:ascii="Times New Roman" w:cs="Times New Roman" w:eastAsia="Times New Roman" w:hAnsi="Times New Roman"/>
          <w:sz w:val="20"/>
          <w:szCs w:val="20"/>
          <w:color w:val="auto"/>
        </w:rPr>
      </w:pPr>
    </w:p>
    <w:p>
      <w:pPr>
        <w:ind w:left="1960" w:right="260" w:hanging="656"/>
        <w:spacing w:after="0" w:line="233" w:lineRule="auto"/>
        <w:tabs>
          <w:tab w:leader="none" w:pos="195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April 20 Warrant</w:t>
      </w:r>
      <w:r>
        <w:rPr>
          <w:rFonts w:ascii="Times New Roman" w:cs="Times New Roman" w:eastAsia="Times New Roman" w:hAnsi="Times New Roman"/>
          <w:sz w:val="20"/>
          <w:szCs w:val="20"/>
          <w:color w:val="auto"/>
        </w:rPr>
        <w:t>. The shares of Common Stock issuable under the PSP1 April 20 Warrant are reduced from 6,732,034 to 6,703,550;</w:t>
      </w:r>
    </w:p>
    <w:p>
      <w:pPr>
        <w:spacing w:after="0" w:line="52" w:lineRule="exact"/>
        <w:rPr>
          <w:rFonts w:ascii="Times New Roman" w:cs="Times New Roman" w:eastAsia="Times New Roman" w:hAnsi="Times New Roman"/>
          <w:sz w:val="20"/>
          <w:szCs w:val="20"/>
          <w:color w:val="auto"/>
        </w:rPr>
      </w:pPr>
    </w:p>
    <w:p>
      <w:pPr>
        <w:ind w:left="1960" w:right="380" w:hanging="656"/>
        <w:spacing w:after="0"/>
        <w:tabs>
          <w:tab w:leader="none" w:pos="194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May 29 Warrant</w:t>
      </w:r>
      <w:r>
        <w:rPr>
          <w:rFonts w:ascii="Times New Roman" w:cs="Times New Roman" w:eastAsia="Times New Roman" w:hAnsi="Times New Roman"/>
          <w:sz w:val="20"/>
          <w:szCs w:val="20"/>
          <w:color w:val="auto"/>
        </w:rPr>
        <w:t>. The shares of Common Stock issuable under the PSP1 May 29 Warrant are reduced from 2,788,737 to 2,776,937;</w:t>
      </w:r>
    </w:p>
    <w:p>
      <w:pPr>
        <w:spacing w:after="0" w:line="39" w:lineRule="exact"/>
        <w:rPr>
          <w:rFonts w:ascii="Times New Roman" w:cs="Times New Roman" w:eastAsia="Times New Roman" w:hAnsi="Times New Roman"/>
          <w:sz w:val="20"/>
          <w:szCs w:val="20"/>
          <w:color w:val="auto"/>
        </w:rPr>
      </w:pPr>
    </w:p>
    <w:p>
      <w:pPr>
        <w:ind w:left="1960" w:right="380" w:hanging="656"/>
        <w:spacing w:after="0"/>
        <w:tabs>
          <w:tab w:leader="none" w:pos="195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June 30 Warrant</w:t>
      </w:r>
      <w:r>
        <w:rPr>
          <w:rFonts w:ascii="Times New Roman" w:cs="Times New Roman" w:eastAsia="Times New Roman" w:hAnsi="Times New Roman"/>
          <w:sz w:val="20"/>
          <w:szCs w:val="20"/>
          <w:color w:val="auto"/>
        </w:rPr>
        <w:t>. The shares of Common Stock issuable under the PSP1 June 30 Warrant are reduced from 2,788,737 to 2,776,937;</w:t>
      </w:r>
    </w:p>
    <w:p>
      <w:pPr>
        <w:spacing w:after="0" w:line="53" w:lineRule="exact"/>
        <w:rPr>
          <w:rFonts w:ascii="Times New Roman" w:cs="Times New Roman" w:eastAsia="Times New Roman" w:hAnsi="Times New Roman"/>
          <w:sz w:val="20"/>
          <w:szCs w:val="20"/>
          <w:color w:val="auto"/>
        </w:rPr>
      </w:pPr>
    </w:p>
    <w:p>
      <w:pPr>
        <w:ind w:left="1960" w:right="440" w:hanging="656"/>
        <w:spacing w:after="0" w:line="233" w:lineRule="auto"/>
        <w:tabs>
          <w:tab w:leader="none" w:pos="194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July 30 Warrant</w:t>
      </w:r>
      <w:r>
        <w:rPr>
          <w:rFonts w:ascii="Times New Roman" w:cs="Times New Roman" w:eastAsia="Times New Roman" w:hAnsi="Times New Roman"/>
          <w:sz w:val="20"/>
          <w:szCs w:val="20"/>
          <w:color w:val="auto"/>
        </w:rPr>
        <w:t>. The shares of Common Stock issuable under the PSP1 July 30 Warrant are reduced from 1,394,368 to 1,388,469;</w:t>
      </w:r>
    </w:p>
    <w:p>
      <w:pPr>
        <w:spacing w:after="0" w:line="52" w:lineRule="exact"/>
        <w:rPr>
          <w:rFonts w:ascii="Times New Roman" w:cs="Times New Roman" w:eastAsia="Times New Roman" w:hAnsi="Times New Roman"/>
          <w:sz w:val="20"/>
          <w:szCs w:val="20"/>
          <w:color w:val="auto"/>
        </w:rPr>
      </w:pPr>
    </w:p>
    <w:p>
      <w:pPr>
        <w:ind w:left="1960" w:right="520" w:hanging="656"/>
        <w:spacing w:after="0"/>
        <w:tabs>
          <w:tab w:leader="none" w:pos="195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PSP1 September 30 Warrant</w:t>
      </w:r>
      <w:r>
        <w:rPr>
          <w:rFonts w:ascii="Times New Roman" w:cs="Times New Roman" w:eastAsia="Times New Roman" w:hAnsi="Times New Roman"/>
          <w:sz w:val="20"/>
          <w:szCs w:val="20"/>
          <w:color w:val="auto"/>
        </w:rPr>
        <w:t>. The shares of Common Stock issuable under the PSP1 September 30 Warrant are reduced from 403,633 to 401,925;</w:t>
      </w:r>
    </w:p>
    <w:p>
      <w:pPr>
        <w:spacing w:after="0" w:line="39" w:lineRule="exact"/>
        <w:rPr>
          <w:rFonts w:ascii="Times New Roman" w:cs="Times New Roman" w:eastAsia="Times New Roman" w:hAnsi="Times New Roman"/>
          <w:sz w:val="20"/>
          <w:szCs w:val="20"/>
          <w:color w:val="auto"/>
        </w:rPr>
      </w:pPr>
    </w:p>
    <w:p>
      <w:pPr>
        <w:ind w:left="1960" w:right="300" w:hanging="656"/>
        <w:spacing w:after="0"/>
        <w:tabs>
          <w:tab w:leader="none" w:pos="1955"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PSP2 January 15 Warrant</w:t>
      </w:r>
      <w:r>
        <w:rPr>
          <w:rFonts w:ascii="Times New Roman" w:cs="Times New Roman" w:eastAsia="Times New Roman" w:hAnsi="Times New Roman"/>
          <w:sz w:val="20"/>
          <w:szCs w:val="20"/>
          <w:color w:val="auto"/>
        </w:rPr>
        <w:t>. The shares of Common Stock issuable under the PSP2 January 15 Warrant are reduced from 2,765,090 to 2,751,594;</w:t>
      </w:r>
    </w:p>
    <w:p>
      <w:pPr>
        <w:spacing w:after="0" w:line="39" w:lineRule="exact"/>
        <w:rPr>
          <w:rFonts w:ascii="Times New Roman" w:cs="Times New Roman" w:eastAsia="Times New Roman" w:hAnsi="Times New Roman"/>
          <w:sz w:val="20"/>
          <w:szCs w:val="20"/>
          <w:color w:val="auto"/>
        </w:rPr>
      </w:pPr>
    </w:p>
    <w:p>
      <w:pPr>
        <w:ind w:left="1960" w:right="80" w:hanging="656"/>
        <w:spacing w:after="0"/>
        <w:tabs>
          <w:tab w:leader="none" w:pos="194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PSP2 March 17 Warrant</w:t>
      </w:r>
      <w:r>
        <w:rPr>
          <w:rFonts w:ascii="Times New Roman" w:cs="Times New Roman" w:eastAsia="Times New Roman" w:hAnsi="Times New Roman"/>
          <w:sz w:val="20"/>
          <w:szCs w:val="20"/>
          <w:color w:val="auto"/>
        </w:rPr>
        <w:t>. The shares of Common Stock issuable under the PSP2 March 17 Warrant are reduced from 2,956,661 to 2,942,229;</w:t>
      </w:r>
    </w:p>
    <w:p>
      <w:pPr>
        <w:spacing w:after="0" w:line="53" w:lineRule="exact"/>
        <w:rPr>
          <w:rFonts w:ascii="Times New Roman" w:cs="Times New Roman" w:eastAsia="Times New Roman" w:hAnsi="Times New Roman"/>
          <w:sz w:val="20"/>
          <w:szCs w:val="20"/>
          <w:color w:val="auto"/>
        </w:rPr>
      </w:pPr>
    </w:p>
    <w:p>
      <w:pPr>
        <w:ind w:left="1960" w:right="280" w:hanging="656"/>
        <w:spacing w:after="0" w:line="233" w:lineRule="auto"/>
        <w:tabs>
          <w:tab w:leader="none" w:pos="194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PSP2 April 22 Warrant</w:t>
      </w:r>
      <w:r>
        <w:rPr>
          <w:rFonts w:ascii="Times New Roman" w:cs="Times New Roman" w:eastAsia="Times New Roman" w:hAnsi="Times New Roman"/>
          <w:sz w:val="20"/>
          <w:szCs w:val="20"/>
          <w:color w:val="auto"/>
        </w:rPr>
        <w:t>. The shares of Common Stock issuable under the PSP2 April 22 Warrant are reduced from 886,998 to 882,669;</w:t>
      </w:r>
    </w:p>
    <w:p>
      <w:pPr>
        <w:spacing w:after="0" w:line="52" w:lineRule="exact"/>
        <w:rPr>
          <w:rFonts w:ascii="Times New Roman" w:cs="Times New Roman" w:eastAsia="Times New Roman" w:hAnsi="Times New Roman"/>
          <w:sz w:val="20"/>
          <w:szCs w:val="20"/>
          <w:color w:val="auto"/>
        </w:rPr>
      </w:pPr>
    </w:p>
    <w:p>
      <w:pPr>
        <w:ind w:left="1960" w:right="140" w:hanging="656"/>
        <w:spacing w:after="0"/>
        <w:tabs>
          <w:tab w:leader="none" w:pos="195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PSP3 April 23 Warrant</w:t>
      </w:r>
      <w:r>
        <w:rPr>
          <w:rFonts w:ascii="Times New Roman" w:cs="Times New Roman" w:eastAsia="Times New Roman" w:hAnsi="Times New Roman"/>
          <w:sz w:val="20"/>
          <w:szCs w:val="20"/>
          <w:color w:val="auto"/>
        </w:rPr>
        <w:t>. The shares of Common Stock issuable under the PSP3 April 23 Warrant are increased from 2,145,426 to 2,173,817; and</w:t>
      </w:r>
    </w:p>
    <w:p>
      <w:pPr>
        <w:spacing w:after="0" w:line="39" w:lineRule="exact"/>
        <w:rPr>
          <w:rFonts w:ascii="Times New Roman" w:cs="Times New Roman" w:eastAsia="Times New Roman" w:hAnsi="Times New Roman"/>
          <w:sz w:val="20"/>
          <w:szCs w:val="20"/>
          <w:color w:val="auto"/>
        </w:rPr>
      </w:pPr>
    </w:p>
    <w:p>
      <w:pPr>
        <w:ind w:left="1960" w:right="240" w:hanging="656"/>
        <w:spacing w:after="0"/>
        <w:tabs>
          <w:tab w:leader="none" w:pos="195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PSP3 June 24 Warrant</w:t>
      </w:r>
      <w:r>
        <w:rPr>
          <w:rFonts w:ascii="Times New Roman" w:cs="Times New Roman" w:eastAsia="Times New Roman" w:hAnsi="Times New Roman"/>
          <w:sz w:val="20"/>
          <w:szCs w:val="20"/>
          <w:color w:val="auto"/>
        </w:rPr>
        <w:t>. The shares of Common Stock issuable under the PSP3 June 24 Warrant are increased from 2,204,137 to 2,233,304.</w:t>
      </w:r>
    </w:p>
    <w:p>
      <w:pPr>
        <w:spacing w:after="0" w:line="292" w:lineRule="exact"/>
        <w:rPr>
          <w:rFonts w:ascii="Times New Roman" w:cs="Times New Roman" w:eastAsia="Times New Roman" w:hAnsi="Times New Roman"/>
          <w:sz w:val="20"/>
          <w:szCs w:val="20"/>
          <w:color w:val="auto"/>
        </w:rPr>
      </w:pPr>
    </w:p>
    <w:p>
      <w:pPr>
        <w:ind w:right="20" w:firstLine="656"/>
        <w:spacing w:after="0" w:line="235" w:lineRule="auto"/>
        <w:tabs>
          <w:tab w:leader="none" w:pos="1035"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All Other Terms Unchanged</w:t>
      </w:r>
      <w:r>
        <w:rPr>
          <w:rFonts w:ascii="Times New Roman" w:cs="Times New Roman" w:eastAsia="Times New Roman" w:hAnsi="Times New Roman"/>
          <w:sz w:val="20"/>
          <w:szCs w:val="20"/>
          <w:color w:val="auto"/>
        </w:rPr>
        <w:t>. Except as expressly provided in this Amendment, all of the provisions, terms and conditions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Promissory Note and Warrant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61" w:lineRule="exact"/>
        <w:rPr>
          <w:sz w:val="20"/>
          <w:szCs w:val="20"/>
          <w:color w:val="auto"/>
        </w:rPr>
      </w:pPr>
    </w:p>
    <w:p>
      <w:pPr>
        <w:ind w:right="140" w:firstLine="656"/>
        <w:spacing w:after="0" w:line="218" w:lineRule="auto"/>
        <w:tabs>
          <w:tab w:leader="none" w:pos="994"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Documentation</w:t>
      </w:r>
      <w:r>
        <w:rPr>
          <w:rFonts w:ascii="Times New Roman" w:cs="Times New Roman" w:eastAsia="Times New Roman" w:hAnsi="Times New Roman"/>
          <w:sz w:val="20"/>
          <w:szCs w:val="20"/>
          <w:color w:val="auto"/>
        </w:rPr>
        <w:t>. Concurrent with the execution of this Amendment, the Company shall provide opinions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certificates equivalent to those delivered at initial issuance of the Promissory Notes and the Warrants,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Upon the request of the Company, subsequent to the effective date hereof, Treasury shall make commercially reasonable efforts to cooperate with the Company should the Company determine that its record-keeping and related internal documentation would be enhanced by producing amended and restated Promissory Notes and Warrants that reflect the terms of this Amendment on the face thereof.</w:t>
      </w:r>
    </w:p>
    <w:p>
      <w:pPr>
        <w:spacing w:after="0" w:line="184" w:lineRule="exact"/>
        <w:rPr>
          <w:rFonts w:ascii="Times New Roman" w:cs="Times New Roman" w:eastAsia="Times New Roman" w:hAnsi="Times New Roman"/>
          <w:sz w:val="20"/>
          <w:szCs w:val="20"/>
          <w:color w:val="auto"/>
        </w:rPr>
      </w:pPr>
    </w:p>
    <w:p>
      <w:pPr>
        <w:ind w:right="20" w:firstLine="656"/>
        <w:spacing w:after="0" w:line="217" w:lineRule="auto"/>
        <w:tabs>
          <w:tab w:leader="none" w:pos="994" w:val="left"/>
        </w:tabs>
        <w:numPr>
          <w:ilvl w:val="3"/>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will be governed by and construed in accordance with the federal law of the United States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to the extent such law is applicable, and otherwise in accordance with the laws of the State of New York applicable to contracts made and to be performed entirely within such State. Each of the Company and Treasury agrees to submit to the exclusive jurisdiction and venue of the United States District Court for the District of Columbia for any civil action, suit or proceeding arising out of or relating to this Amendment. To the extent permitted by applicable law, each of the Company and Treasury hereby unconditionally waives trial by jury in any civil legal action or proceeding relating to this Amendment.</w:t>
      </w:r>
    </w:p>
    <w:p>
      <w:pPr>
        <w:spacing w:after="0" w:line="183" w:lineRule="exact"/>
        <w:rPr>
          <w:rFonts w:ascii="Times New Roman" w:cs="Times New Roman" w:eastAsia="Times New Roman" w:hAnsi="Times New Roman"/>
          <w:sz w:val="20"/>
          <w:szCs w:val="20"/>
          <w:color w:val="auto"/>
        </w:rPr>
      </w:pPr>
    </w:p>
    <w:p>
      <w:pPr>
        <w:ind w:firstLine="219"/>
        <w:spacing w:after="0" w:line="245" w:lineRule="auto"/>
        <w:tabs>
          <w:tab w:leader="none" w:pos="57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Conflicting Provisions</w:t>
      </w:r>
      <w:r>
        <w:rPr>
          <w:rFonts w:ascii="Times New Roman" w:cs="Times New Roman" w:eastAsia="Times New Roman" w:hAnsi="Times New Roman"/>
          <w:sz w:val="20"/>
          <w:szCs w:val="20"/>
          <w:color w:val="auto"/>
        </w:rPr>
        <w:t>. Should any of the provisions of this Amendment conflict with any of the provisions of the Promissory Notes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 Warrants, the provisions of this Amendment shall apply.</w:t>
      </w:r>
    </w:p>
    <w:p>
      <w:pPr>
        <w:spacing w:after="0" w:line="164" w:lineRule="exact"/>
        <w:rPr>
          <w:rFonts w:ascii="Times New Roman" w:cs="Times New Roman" w:eastAsia="Times New Roman" w:hAnsi="Times New Roman"/>
          <w:sz w:val="20"/>
          <w:szCs w:val="20"/>
          <w:color w:val="auto"/>
        </w:rPr>
      </w:pPr>
    </w:p>
    <w:p>
      <w:pPr>
        <w:ind w:firstLine="240"/>
        <w:spacing w:after="0" w:line="245" w:lineRule="auto"/>
        <w:tabs>
          <w:tab w:leader="none" w:pos="612"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one or more counterparts, any one of which need not contain the signatures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than one party, but all such counterparts taken together will constitute one and the same instrument.</w:t>
      </w:r>
    </w:p>
    <w:p>
      <w:pPr>
        <w:spacing w:after="0" w:line="178"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Effectiveness</w:t>
      </w:r>
      <w:r>
        <w:rPr>
          <w:rFonts w:ascii="Times New Roman" w:cs="Times New Roman" w:eastAsia="Times New Roman" w:hAnsi="Times New Roman"/>
          <w:sz w:val="20"/>
          <w:szCs w:val="20"/>
          <w:color w:val="auto"/>
        </w:rPr>
        <w:t>. This Amendment shall be deemed effective as of the date hereof.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46" w:name="page147"/>
    <w:bookmarkEnd w:id="146"/>
    <w:p>
      <w:pPr>
        <w:ind w:firstLine="296"/>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executed by their respective officers, hereunto duly authorized, as of the date first above written.</w:t>
      </w: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THE UNITED STATES DEPARTMENT OF THE TREASURY</w:t>
      </w:r>
    </w:p>
    <w:p>
      <w:pPr>
        <w:spacing w:after="0" w:line="2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Victoria Collin</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Victoria Collin</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Chief Compliance and Finance Officer</w:t>
      </w:r>
    </w:p>
    <w:p>
      <w:pPr>
        <w:ind w:left="5000"/>
        <w:spacing w:after="0" w:line="211" w:lineRule="auto"/>
        <w:rPr>
          <w:sz w:val="20"/>
          <w:szCs w:val="20"/>
          <w:color w:val="auto"/>
        </w:rPr>
      </w:pPr>
      <w:r>
        <w:rPr>
          <w:rFonts w:ascii="Times New Roman" w:cs="Times New Roman" w:eastAsia="Times New Roman" w:hAnsi="Times New Roman"/>
          <w:sz w:val="20"/>
          <w:szCs w:val="20"/>
          <w:color w:val="auto"/>
        </w:rPr>
        <w:t>Office of Recovery Programs</w:t>
      </w:r>
    </w:p>
    <w:p>
      <w:pPr>
        <w:ind w:left="5000"/>
        <w:spacing w:after="0"/>
        <w:rPr>
          <w:sz w:val="20"/>
          <w:szCs w:val="20"/>
          <w:color w:val="auto"/>
        </w:rPr>
      </w:pPr>
      <w:r>
        <w:rPr>
          <w:rFonts w:ascii="Times New Roman" w:cs="Times New Roman" w:eastAsia="Times New Roman" w:hAnsi="Times New Roman"/>
          <w:sz w:val="20"/>
          <w:szCs w:val="20"/>
          <w:color w:val="auto"/>
        </w:rPr>
        <w:t>U.S. Department of Treasury</w:t>
      </w:r>
    </w:p>
    <w:p>
      <w:pPr>
        <w:sectPr>
          <w:pgSz w:w="11900" w:h="16838" w:orient="portrait"/>
          <w:cols w:equalWidth="0" w:num="1">
            <w:col w:w="11240"/>
          </w:cols>
          <w:pgMar w:left="320" w:top="1399" w:right="339" w:bottom="1440" w:gutter="0" w:footer="0" w:header="0"/>
        </w:sectPr>
      </w:pPr>
    </w:p>
    <w:bookmarkStart w:id="147" w:name="page148"/>
    <w:bookmarkEnd w:id="147"/>
    <w:p>
      <w:pPr>
        <w:spacing w:after="0" w:line="2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color w:val="auto"/>
        </w:rPr>
        <w:t>AMERICAN AIRLINES GROUP INC.</w:t>
      </w:r>
    </w:p>
    <w:p>
      <w:pPr>
        <w:spacing w:after="0" w:line="200" w:lineRule="exact"/>
        <w:rPr>
          <w:sz w:val="20"/>
          <w:szCs w:val="20"/>
          <w:color w:val="auto"/>
        </w:rPr>
      </w:pPr>
    </w:p>
    <w:p>
      <w:pPr>
        <w:spacing w:after="0" w:line="3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Meghan B. Montana</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Meghan B. Montana</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AMERICAN AIRLINES, INC.</w:t>
      </w:r>
    </w:p>
    <w:p>
      <w:pPr>
        <w:spacing w:after="0" w:line="200" w:lineRule="exact"/>
        <w:rPr>
          <w:sz w:val="20"/>
          <w:szCs w:val="20"/>
          <w:color w:val="auto"/>
        </w:rPr>
      </w:pPr>
    </w:p>
    <w:p>
      <w:pPr>
        <w:spacing w:after="0" w:line="3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Meghan B. Montana</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Meghan B. Montana</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9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ENVOY AIR INC.</w:t>
      </w: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Meghan B. Montana</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Meghan B. Montana</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PIEDMONT AIRLINES, INC.</w:t>
      </w:r>
    </w:p>
    <w:p>
      <w:pPr>
        <w:spacing w:after="0" w:line="200" w:lineRule="exact"/>
        <w:rPr>
          <w:sz w:val="20"/>
          <w:szCs w:val="20"/>
          <w:color w:val="auto"/>
        </w:rPr>
      </w:pPr>
    </w:p>
    <w:p>
      <w:pPr>
        <w:spacing w:after="0" w:line="35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Eric H. Morgan</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Eric H. Morgan</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Title: Chief Executive Officer and</w:t>
      </w:r>
    </w:p>
    <w:p>
      <w:pPr>
        <w:ind w:left="3980"/>
        <w:spacing w:after="0"/>
        <w:rPr>
          <w:sz w:val="20"/>
          <w:szCs w:val="20"/>
          <w:color w:val="auto"/>
        </w:rPr>
      </w:pPr>
      <w:r>
        <w:rPr>
          <w:rFonts w:ascii="Times New Roman" w:cs="Times New Roman" w:eastAsia="Times New Roman" w:hAnsi="Times New Roman"/>
          <w:sz w:val="20"/>
          <w:szCs w:val="20"/>
          <w:color w:val="auto"/>
        </w:rPr>
        <w:t>President</w:t>
      </w:r>
    </w:p>
    <w:p>
      <w:pPr>
        <w:spacing w:after="0" w:line="26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PSA AIRLINES, INC.</w:t>
      </w:r>
    </w:p>
    <w:p>
      <w:pPr>
        <w:spacing w:after="0" w:line="200" w:lineRule="exact"/>
        <w:rPr>
          <w:sz w:val="20"/>
          <w:szCs w:val="20"/>
          <w:color w:val="auto"/>
        </w:rPr>
      </w:pPr>
    </w:p>
    <w:p>
      <w:pPr>
        <w:spacing w:after="0" w:line="34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Dion J. Flannery</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Dion J. Flannery</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Title: President</w:t>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American Airlines</w:t>
      </w:r>
      <w:r>
        <w:rPr>
          <w:rFonts w:ascii="Times New Roman" w:cs="Times New Roman" w:eastAsia="Times New Roman" w:hAnsi="Times New Roman"/>
          <w:sz w:val="20"/>
          <w:szCs w:val="20"/>
          <w:color w:val="auto"/>
        </w:rPr>
        <w:t>” means American Airlines, Inc.</w:t>
      </w:r>
    </w:p>
    <w:p>
      <w:pPr>
        <w:spacing w:after="0" w:line="216"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American Rescue Plan Act of 2021</w:t>
      </w:r>
      <w:r>
        <w:rPr>
          <w:rFonts w:ascii="Times New Roman" w:cs="Times New Roman" w:eastAsia="Times New Roman" w:hAnsi="Times New Roman"/>
          <w:sz w:val="20"/>
          <w:szCs w:val="20"/>
          <w:color w:val="auto"/>
        </w:rPr>
        <w:t>” means the American Rescue Plan Act of 2021, Pub. L. 117-2 (March 11, 2021), as the same may be amended from time to time.</w:t>
      </w:r>
    </w:p>
    <w:p>
      <w:pPr>
        <w:spacing w:after="0" w:line="175"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CARES Act</w:t>
      </w:r>
      <w:r>
        <w:rPr>
          <w:rFonts w:ascii="Times New Roman" w:cs="Times New Roman" w:eastAsia="Times New Roman" w:hAnsi="Times New Roman"/>
          <w:sz w:val="20"/>
          <w:szCs w:val="20"/>
          <w:color w:val="auto"/>
        </w:rPr>
        <w:t>” means the Coronavirus Aid, Relief, and Economic Security Act, Pub. L. 116-136 (March 27, 2020), as the same may be amended from time to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the Company with a par value of $0.01 per share.</w:t>
      </w:r>
    </w:p>
    <w:p>
      <w:pPr>
        <w:spacing w:after="0" w:line="202"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Appropriations Act, 2021</w:t>
      </w:r>
      <w:r>
        <w:rPr>
          <w:rFonts w:ascii="Times New Roman" w:cs="Times New Roman" w:eastAsia="Times New Roman" w:hAnsi="Times New Roman"/>
          <w:sz w:val="20"/>
          <w:szCs w:val="20"/>
          <w:color w:val="auto"/>
        </w:rPr>
        <w:t>” means the Consolidated Appropriations Act, 2021, Pub. L. 116-260 (December 27, 2020), as the same may be amended from time to time.</w:t>
      </w:r>
    </w:p>
    <w:p>
      <w:pPr>
        <w:spacing w:after="0" w:line="188"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Promissory Notes</w:t>
      </w:r>
      <w:r>
        <w:rPr>
          <w:rFonts w:ascii="Times New Roman" w:cs="Times New Roman" w:eastAsia="Times New Roman" w:hAnsi="Times New Roman"/>
          <w:sz w:val="20"/>
          <w:szCs w:val="20"/>
          <w:color w:val="auto"/>
        </w:rPr>
        <w:t>” means the PSP1 April 20 Promissory Note, the PSP2 January 15 Promissory Note and the PSP3 April 23 Promissory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 Agreements</w:t>
      </w:r>
      <w:r>
        <w:rPr>
          <w:rFonts w:ascii="Times New Roman" w:cs="Times New Roman" w:eastAsia="Times New Roman" w:hAnsi="Times New Roman"/>
          <w:sz w:val="20"/>
          <w:szCs w:val="20"/>
          <w:color w:val="auto"/>
        </w:rPr>
        <w:t>” means the PSP1 Agreement, the PSP2 Agreement, and the PSP3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w:t>
      </w:r>
      <w:r>
        <w:rPr>
          <w:rFonts w:ascii="Times New Roman" w:cs="Times New Roman" w:eastAsia="Times New Roman" w:hAnsi="Times New Roman"/>
          <w:sz w:val="20"/>
          <w:szCs w:val="20"/>
          <w:color w:val="auto"/>
        </w:rPr>
        <w:t>” means the Payroll Support Program authorized by Subtitle B of Title IV of Division A of the CARES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Agreement</w:t>
      </w:r>
      <w:r>
        <w:rPr>
          <w:rFonts w:ascii="Times New Roman" w:cs="Times New Roman" w:eastAsia="Times New Roman" w:hAnsi="Times New Roman"/>
          <w:sz w:val="20"/>
          <w:szCs w:val="20"/>
          <w:color w:val="auto"/>
        </w:rPr>
        <w:t>” means the Payroll Support Program Agreement, dated as of April 20, 2020, between American Airlines and Treasury.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April 20 Promissory Note</w:t>
      </w:r>
      <w:r>
        <w:rPr>
          <w:rFonts w:ascii="Times New Roman" w:cs="Times New Roman" w:eastAsia="Times New Roman" w:hAnsi="Times New Roman"/>
          <w:sz w:val="20"/>
          <w:szCs w:val="20"/>
          <w:color w:val="auto"/>
        </w:rPr>
        <w:t>” means that certain Promissory Note, dated as of April 20, 2020, with an initial Principal Amount of</w:t>
      </w:r>
    </w:p>
    <w:p>
      <w:pPr>
        <w:ind w:right="180"/>
        <w:spacing w:after="0" w:line="221" w:lineRule="auto"/>
        <w:rPr>
          <w:sz w:val="20"/>
          <w:szCs w:val="20"/>
          <w:color w:val="auto"/>
        </w:rPr>
      </w:pPr>
      <w:r>
        <w:rPr>
          <w:rFonts w:ascii="Times New Roman" w:cs="Times New Roman" w:eastAsia="Times New Roman" w:hAnsi="Times New Roman"/>
          <w:sz w:val="20"/>
          <w:szCs w:val="20"/>
          <w:color w:val="auto"/>
        </w:rPr>
        <w:t>$842,177,466.00 and aggregate Principal Amount as of the date immediately preceding this Amendment of $1,764,849,416.80, as amended on the date hereof.</w:t>
      </w:r>
    </w:p>
    <w:p>
      <w:pPr>
        <w:spacing w:after="0" w:line="189" w:lineRule="exact"/>
        <w:rPr>
          <w:sz w:val="20"/>
          <w:szCs w:val="20"/>
          <w:color w:val="auto"/>
        </w:rPr>
      </w:pPr>
    </w:p>
    <w:p>
      <w:pPr>
        <w:ind w:right="72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April 20 Warrant</w:t>
      </w:r>
      <w:r>
        <w:rPr>
          <w:rFonts w:ascii="Times New Roman" w:cs="Times New Roman" w:eastAsia="Times New Roman" w:hAnsi="Times New Roman"/>
          <w:sz w:val="20"/>
          <w:szCs w:val="20"/>
          <w:color w:val="auto"/>
        </w:rPr>
        <w:t>” means that certain Warrant to Purchase Common Stock, dated as of April 20, 2020, for 6,732,034 shares of Common Stock, as amended on the date hereof.</w:t>
      </w:r>
    </w:p>
    <w:p>
      <w:pPr>
        <w:spacing w:after="0" w:line="18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July 30 Warrant</w:t>
      </w:r>
      <w:r>
        <w:rPr>
          <w:rFonts w:ascii="Times New Roman" w:cs="Times New Roman" w:eastAsia="Times New Roman" w:hAnsi="Times New Roman"/>
          <w:sz w:val="20"/>
          <w:szCs w:val="20"/>
          <w:color w:val="auto"/>
        </w:rPr>
        <w:t>” means that certain Warrant to Purchase Common Stock, dated as of July 30, 2020, for 1,394,368 shares of Common Stock, as amended on the date hereof.</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June 30 Warrant</w:t>
      </w:r>
      <w:r>
        <w:rPr>
          <w:rFonts w:ascii="Times New Roman" w:cs="Times New Roman" w:eastAsia="Times New Roman" w:hAnsi="Times New Roman"/>
          <w:sz w:val="20"/>
          <w:szCs w:val="20"/>
          <w:color w:val="auto"/>
        </w:rPr>
        <w:t>” means that certain Warrant to Purchase Common Stock, dated as of June 30, 2020, for 2,788,737 shares of Common Stock, as amended on the date hereof.</w:t>
      </w:r>
    </w:p>
    <w:p>
      <w:pPr>
        <w:spacing w:after="0" w:line="188"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May 29 Warrant</w:t>
      </w:r>
      <w:r>
        <w:rPr>
          <w:rFonts w:ascii="Times New Roman" w:cs="Times New Roman" w:eastAsia="Times New Roman" w:hAnsi="Times New Roman"/>
          <w:sz w:val="20"/>
          <w:szCs w:val="20"/>
          <w:color w:val="auto"/>
        </w:rPr>
        <w:t>” means that certain Warrant to Purchase Common Stock, dated as of May 29, 2020, for 2,788,737 shares of Common Stock, as amended on the date hereof.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September 30 Warrant</w:t>
      </w:r>
      <w:r>
        <w:rPr>
          <w:rFonts w:ascii="Times New Roman" w:cs="Times New Roman" w:eastAsia="Times New Roman" w:hAnsi="Times New Roman"/>
          <w:sz w:val="20"/>
          <w:szCs w:val="20"/>
          <w:color w:val="auto"/>
        </w:rPr>
        <w:t>” means that certain Warrant to Purchase Common Stock, dated as of September 30, 2020, for 403,633 shares of Common Stock, as amended on the date hereof.</w:t>
      </w:r>
    </w:p>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PSP1 Warrants</w:t>
      </w:r>
      <w:r>
        <w:rPr>
          <w:rFonts w:ascii="Times New Roman" w:cs="Times New Roman" w:eastAsia="Times New Roman" w:hAnsi="Times New Roman"/>
          <w:sz w:val="20"/>
          <w:szCs w:val="20"/>
          <w:color w:val="auto"/>
        </w:rPr>
        <w:t>” means the PSP1 April 20 Warrant, the PSP1 May 29 Warrant, the PSP1 June 30 Warrant, the PSP1 July 30 Warrant, and the PSP1 September 30 Warrant.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PSP2</w:t>
      </w:r>
      <w:r>
        <w:rPr>
          <w:rFonts w:ascii="Times New Roman" w:cs="Times New Roman" w:eastAsia="Times New Roman" w:hAnsi="Times New Roman"/>
          <w:sz w:val="19"/>
          <w:szCs w:val="19"/>
          <w:color w:val="auto"/>
        </w:rPr>
        <w:t>” means the Payroll Support Program authorized by Subtitle A of Title IV of Division N of the Consolidated Appropriations Act, 2021.</w:t>
      </w:r>
    </w:p>
    <w:p>
      <w:pPr>
        <w:spacing w:after="0" w:line="21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Agreement</w:t>
      </w:r>
      <w:r>
        <w:rPr>
          <w:rFonts w:ascii="Times New Roman" w:cs="Times New Roman" w:eastAsia="Times New Roman" w:hAnsi="Times New Roman"/>
          <w:sz w:val="20"/>
          <w:szCs w:val="20"/>
          <w:color w:val="auto"/>
        </w:rPr>
        <w:t>” means the Payroll Support Program Extension Agreement, dated as of January 15, 2021, between American Airlines and Treasury.</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January 15 Promissory Note</w:t>
      </w:r>
      <w:r>
        <w:rPr>
          <w:rFonts w:ascii="Times New Roman" w:cs="Times New Roman" w:eastAsia="Times New Roman" w:hAnsi="Times New Roman"/>
          <w:sz w:val="20"/>
          <w:szCs w:val="20"/>
          <w:color w:val="auto"/>
        </w:rPr>
        <w:t>” means that certain Promissory Note, dated as of January 15, 2021, with an initial Principal Amount of</w:t>
      </w:r>
    </w:p>
    <w:p>
      <w:pPr>
        <w:ind w:right="180"/>
        <w:spacing w:after="0" w:line="221" w:lineRule="auto"/>
        <w:rPr>
          <w:sz w:val="20"/>
          <w:szCs w:val="20"/>
          <w:color w:val="auto"/>
        </w:rPr>
      </w:pPr>
      <w:r>
        <w:rPr>
          <w:rFonts w:ascii="Times New Roman" w:cs="Times New Roman" w:eastAsia="Times New Roman" w:hAnsi="Times New Roman"/>
          <w:sz w:val="20"/>
          <w:szCs w:val="20"/>
          <w:color w:val="auto"/>
        </w:rPr>
        <w:t>$433,013,057.00 and aggregate Principal Amount as of the date immediately preceding this Amendment of $1,034,930,031.05, as amended on the date hereof.</w:t>
      </w:r>
    </w:p>
    <w:p>
      <w:pPr>
        <w:spacing w:after="0" w:line="18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April 22 Warrant</w:t>
      </w:r>
      <w:r>
        <w:rPr>
          <w:rFonts w:ascii="Times New Roman" w:cs="Times New Roman" w:eastAsia="Times New Roman" w:hAnsi="Times New Roman"/>
          <w:sz w:val="20"/>
          <w:szCs w:val="20"/>
          <w:color w:val="auto"/>
        </w:rPr>
        <w:t>” means that certain Warrant to Purchase Common Stock, dated as of April 22, 2021, for 886,998 shares of Common Stock, as amended on the date hereof.</w:t>
      </w:r>
    </w:p>
    <w:p>
      <w:pPr>
        <w:spacing w:after="0" w:line="175"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January 15 Warrant</w:t>
      </w:r>
      <w:r>
        <w:rPr>
          <w:rFonts w:ascii="Times New Roman" w:cs="Times New Roman" w:eastAsia="Times New Roman" w:hAnsi="Times New Roman"/>
          <w:sz w:val="20"/>
          <w:szCs w:val="20"/>
          <w:color w:val="auto"/>
        </w:rPr>
        <w:t>” means that certain Warrant to Purchase Common Stock, dated as of January 15, 2021, for 2,765,090 shares of Common Stock, as amended on the date hereof.</w:t>
      </w:r>
    </w:p>
    <w:p>
      <w:pPr>
        <w:spacing w:after="0" w:line="161" w:lineRule="exact"/>
        <w:rPr>
          <w:sz w:val="20"/>
          <w:szCs w:val="20"/>
          <w:color w:val="auto"/>
        </w:rPr>
      </w:pPr>
    </w:p>
    <w:p>
      <w:pPr>
        <w:ind w:right="52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March 17 Warrant</w:t>
      </w:r>
      <w:r>
        <w:rPr>
          <w:rFonts w:ascii="Times New Roman" w:cs="Times New Roman" w:eastAsia="Times New Roman" w:hAnsi="Times New Roman"/>
          <w:sz w:val="20"/>
          <w:szCs w:val="20"/>
          <w:color w:val="auto"/>
        </w:rPr>
        <w:t>” means that certain Warrant to Purchase Common Stock, dated as of March 17, 2021, for 2,956,661 shares of Common Stock, as amended on the date 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PSP2 Warrants</w:t>
      </w:r>
      <w:r>
        <w:rPr>
          <w:rFonts w:ascii="Times New Roman" w:cs="Times New Roman" w:eastAsia="Times New Roman" w:hAnsi="Times New Roman"/>
          <w:sz w:val="20"/>
          <w:szCs w:val="20"/>
          <w:color w:val="auto"/>
        </w:rPr>
        <w:t>” means the PSP2 January 15 Warrant, the PSP2 March 17 Warrant, and the PSP2 April 22 Warrant.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w:t>
      </w:r>
      <w:r>
        <w:rPr>
          <w:rFonts w:ascii="Times New Roman" w:cs="Times New Roman" w:eastAsia="Times New Roman" w:hAnsi="Times New Roman"/>
          <w:sz w:val="20"/>
          <w:szCs w:val="20"/>
          <w:color w:val="auto"/>
        </w:rPr>
        <w:t>” means the Payroll Support Program authorized by Subtitle C of Title VII of the American Rescue Plan Act of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 Agreement</w:t>
      </w:r>
      <w:r>
        <w:rPr>
          <w:rFonts w:ascii="Times New Roman" w:cs="Times New Roman" w:eastAsia="Times New Roman" w:hAnsi="Times New Roman"/>
          <w:sz w:val="20"/>
          <w:szCs w:val="20"/>
          <w:color w:val="auto"/>
        </w:rPr>
        <w:t>” means the Payroll Support Program 3 Agreement, dated as of April 23, 2021, between American Airlines and Treasury.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 April 23 Promissory Note</w:t>
      </w:r>
      <w:r>
        <w:rPr>
          <w:rFonts w:ascii="Times New Roman" w:cs="Times New Roman" w:eastAsia="Times New Roman" w:hAnsi="Times New Roman"/>
          <w:sz w:val="20"/>
          <w:szCs w:val="20"/>
          <w:color w:val="auto"/>
        </w:rPr>
        <w:t>” means that certain Promissory Note, dated as of April 23, 2021, with an initial Principal Amount of</w:t>
      </w:r>
    </w:p>
    <w:p>
      <w:pPr>
        <w:ind w:right="80"/>
        <w:spacing w:after="0" w:line="221" w:lineRule="auto"/>
        <w:rPr>
          <w:sz w:val="20"/>
          <w:szCs w:val="20"/>
          <w:color w:val="auto"/>
        </w:rPr>
      </w:pPr>
      <w:r>
        <w:rPr>
          <w:rFonts w:ascii="Times New Roman" w:cs="Times New Roman" w:eastAsia="Times New Roman" w:hAnsi="Times New Roman"/>
          <w:sz w:val="20"/>
          <w:szCs w:val="20"/>
          <w:color w:val="auto"/>
        </w:rPr>
        <w:t>$466,630,119.98 and aggregate Principal Amount as of the date immediately preceding this Amendment of $946,029,888.53, as amended on the date hereof.</w:t>
      </w:r>
    </w:p>
    <w:p>
      <w:pPr>
        <w:spacing w:after="0" w:line="189" w:lineRule="exact"/>
        <w:rPr>
          <w:sz w:val="20"/>
          <w:szCs w:val="20"/>
          <w:color w:val="auto"/>
        </w:rPr>
      </w:pPr>
    </w:p>
    <w:p>
      <w:pPr>
        <w:ind w:righ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 April 23 Warrant</w:t>
      </w:r>
      <w:r>
        <w:rPr>
          <w:rFonts w:ascii="Times New Roman" w:cs="Times New Roman" w:eastAsia="Times New Roman" w:hAnsi="Times New Roman"/>
          <w:sz w:val="20"/>
          <w:szCs w:val="20"/>
          <w:color w:val="auto"/>
        </w:rPr>
        <w:t>” means that certain Warrant to Purchase Common Stock, dated as of April 23, 2021, for 2,145,426 shares of Common Stock, as amended on the date hereof.</w:t>
      </w:r>
    </w:p>
    <w:p>
      <w:pPr>
        <w:spacing w:after="0" w:line="1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 June 24 Warrant</w:t>
      </w:r>
      <w:r>
        <w:rPr>
          <w:rFonts w:ascii="Times New Roman" w:cs="Times New Roman" w:eastAsia="Times New Roman" w:hAnsi="Times New Roman"/>
          <w:sz w:val="20"/>
          <w:szCs w:val="20"/>
          <w:color w:val="auto"/>
        </w:rPr>
        <w:t>” means that certain Warrant to Purchase Common Stock, dated as of June 24, 2021, for 2,204,137 shares of Common Stock, as amended on the date 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PSP3 Warrants</w:t>
      </w:r>
      <w:r>
        <w:rPr>
          <w:rFonts w:ascii="Times New Roman" w:cs="Times New Roman" w:eastAsia="Times New Roman" w:hAnsi="Times New Roman"/>
          <w:sz w:val="20"/>
          <w:szCs w:val="20"/>
          <w:color w:val="auto"/>
        </w:rPr>
        <w:t>” means the PSP3 April 23 Warrant and the PSP3 June 24 Warrant.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 Agreements</w:t>
      </w:r>
      <w:r>
        <w:rPr>
          <w:rFonts w:ascii="Times New Roman" w:cs="Times New Roman" w:eastAsia="Times New Roman" w:hAnsi="Times New Roman"/>
          <w:sz w:val="19"/>
          <w:szCs w:val="19"/>
          <w:color w:val="auto"/>
        </w:rPr>
        <w:t>” means the warrant agreement, dated as of April 20, 2020, between the Company and Treasury; the warrant agreement,</w:t>
      </w:r>
    </w:p>
    <w:p>
      <w:pPr>
        <w:spacing w:after="0" w:line="6"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auto"/>
        </w:rPr>
        <w:t>dated as of January 15, 2021, between the Company and Treasury; and the warrant agreement, dated as of April 23, 2021, between the Company and Treasury.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means the PSP1 Warrants, the PSP2 Warrants, and the PSP3 Warrants.</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2022</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2022</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71"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2022</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2022</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87"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21,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21,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21,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21,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1."/>
      <w:numFmt w:val="decimal"/>
      <w:start w:val="1"/>
    </w:lvl>
    <w:lvl w:ilvl="1">
      <w:lvlJc w:val="left"/>
      <w:lvlText w:val="(%2)"/>
      <w:numFmt w:val="lowerLetter"/>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4"/>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7"/>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3"/>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6"/>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5"/>
    </w:lvl>
  </w:abstractNum>
  <w:abstractNum w:abstractNumId="39">
    <w:nsid w:val="6B94764"/>
    <w:multiLevelType w:val="hybridMultilevel"/>
    <w:lvl w:ilvl="0">
      <w:lvlJc w:val="left"/>
      <w:lvlText w:val="•"/>
      <w:numFmt w:val="bullet"/>
      <w:start w:val="1"/>
    </w:lvl>
    <w:lvl w:ilvl="1">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2"/>
    </w:lvl>
  </w:abstractNum>
  <w:abstractNum w:abstractNumId="48">
    <w:nsid w:val="613EFDC5"/>
    <w:multiLevelType w:val="hybridMultilevel"/>
    <w:lvl w:ilvl="0">
      <w:lvlJc w:val="left"/>
      <w:lvlText w:val="%1."/>
      <w:numFmt w:val="decimal"/>
      <w:start w:val="3"/>
    </w:lvl>
  </w:abstractNum>
  <w:abstractNum w:abstractNumId="49">
    <w:nsid w:val="BF72B14"/>
    <w:multiLevelType w:val="hybridMultilevel"/>
    <w:lvl w:ilvl="0">
      <w:lvlJc w:val="left"/>
      <w:lvlText w:val="%1."/>
      <w:numFmt w:val="decimal"/>
      <w:start w:val="4"/>
    </w:lvl>
  </w:abstractNum>
  <w:abstractNum w:abstractNumId="50">
    <w:nsid w:val="11447B73"/>
    <w:multiLevelType w:val="hybridMultilevel"/>
    <w:lvl w:ilvl="0">
      <w:lvlJc w:val="left"/>
      <w:lvlText w:val="%1."/>
      <w:numFmt w:val="decimal"/>
      <w:start w:val="5"/>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decimal"/>
      <w:start w:val="2"/>
    </w:lvl>
  </w:abstractNum>
  <w:abstractNum w:abstractNumId="56">
    <w:nsid w:val="68EB2F63"/>
    <w:multiLevelType w:val="hybridMultilevel"/>
    <w:lvl w:ilvl="0">
      <w:lvlJc w:val="left"/>
      <w:lvlText w:val="%1."/>
      <w:numFmt w:val="decimal"/>
      <w:start w:val="3"/>
    </w:lvl>
  </w:abstractNum>
  <w:abstractNum w:abstractNumId="57">
    <w:nsid w:val="4962813B"/>
    <w:multiLevelType w:val="hybridMultilevel"/>
    <w:lvl w:ilvl="0">
      <w:lvlJc w:val="left"/>
      <w:lvlText w:val="(%1)"/>
      <w:numFmt w:val="lowerRoman"/>
      <w:start w:val="1"/>
    </w:lvl>
    <w:lvl w:ilvl="1">
      <w:lvlJc w:val="left"/>
      <w:lvlText w:val="(%2)"/>
      <w:numFmt w:val="lowerRoman"/>
      <w:start w:val="3"/>
    </w:lvl>
  </w:abstractNum>
  <w:abstractNum w:abstractNumId="58">
    <w:nsid w:val="60B6DF70"/>
    <w:multiLevelType w:val="hybridMultilevel"/>
    <w:lvl w:ilvl="0">
      <w:lvlJc w:val="left"/>
      <w:lvlText w:val="%1."/>
      <w:numFmt w:val="decimal"/>
      <w:start w:val="4"/>
    </w:lvl>
  </w:abstractNum>
  <w:abstractNum w:abstractNumId="59">
    <w:nsid w:val="6A5EE64"/>
    <w:multiLevelType w:val="hybridMultilevel"/>
    <w:lvl w:ilvl="0">
      <w:lvlJc w:val="left"/>
      <w:lvlText w:val="%1."/>
      <w:numFmt w:val="decimal"/>
      <w:start w:val="5"/>
    </w:lvl>
  </w:abstractNum>
  <w:abstractNum w:abstractNumId="60">
    <w:nsid w:val="14330624"/>
    <w:multiLevelType w:val="hybridMultilevel"/>
    <w:lvl w:ilvl="0">
      <w:lvlJc w:val="left"/>
      <w:lvlText w:val="%1."/>
      <w:numFmt w:val="decimal"/>
      <w:start w:val="6"/>
    </w:lvl>
  </w:abstractNum>
  <w:abstractNum w:abstractNumId="61">
    <w:nsid w:val="7FFFCA11"/>
    <w:multiLevelType w:val="hybridMultilevel"/>
    <w:lvl w:ilvl="0">
      <w:lvlJc w:val="left"/>
      <w:lvlText w:val="%1."/>
      <w:numFmt w:val="decimal"/>
      <w:start w:val="8"/>
    </w:lvl>
  </w:abstractNum>
  <w:abstractNum w:abstractNumId="62">
    <w:nsid w:val="1A27709E"/>
    <w:multiLevelType w:val="hybridMultilevel"/>
    <w:lvl w:ilvl="0">
      <w:lvlJc w:val="left"/>
      <w:lvlText w:val="%1."/>
      <w:numFmt w:val="decimal"/>
      <w:start w:val="9"/>
    </w:lvl>
  </w:abstractNum>
  <w:abstractNum w:abstractNumId="63">
    <w:nsid w:val="71EA1109"/>
    <w:multiLevelType w:val="hybridMultilevel"/>
    <w:lvl w:ilvl="0">
      <w:lvlJc w:val="left"/>
      <w:lvlText w:val="%1."/>
      <w:numFmt w:val="decimal"/>
      <w:start w:val="10"/>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2"/>
    </w:lvl>
  </w:abstractNum>
  <w:abstractNum w:abstractNumId="66">
    <w:nsid w:val="6EB5BD4"/>
    <w:multiLevelType w:val="hybridMultilevel"/>
    <w:lvl w:ilvl="0">
      <w:lvlJc w:val="left"/>
      <w:lvlText w:val="%1."/>
      <w:numFmt w:val="decimal"/>
      <w:start w:val="4"/>
    </w:lvl>
  </w:abstractNum>
  <w:abstractNum w:abstractNumId="67">
    <w:nsid w:val="6F6DD9AC"/>
    <w:multiLevelType w:val="hybridMultilevel"/>
    <w:lvl w:ilvl="0">
      <w:lvlJc w:val="left"/>
      <w:lvlText w:val="%1."/>
      <w:numFmt w:val="decimal"/>
      <w:start w:val="6"/>
    </w:lvl>
  </w:abstractNum>
  <w:abstractNum w:abstractNumId="68">
    <w:nsid w:val="94211F2"/>
    <w:multiLevelType w:val="hybridMultilevel"/>
    <w:lvl w:ilvl="0">
      <w:lvlJc w:val="left"/>
      <w:lvlText w:val="%1."/>
      <w:numFmt w:val="decimal"/>
      <w:start w:val="7"/>
    </w:lvl>
  </w:abstractNum>
  <w:abstractNum w:abstractNumId="69">
    <w:nsid w:val="885E1B"/>
    <w:multiLevelType w:val="hybridMultilevel"/>
    <w:lvl w:ilvl="0">
      <w:lvlJc w:val="left"/>
      <w:lvlText w:val="%1."/>
      <w:numFmt w:val="decimal"/>
      <w:start w:val="8"/>
    </w:lvl>
  </w:abstractNum>
  <w:abstractNum w:abstractNumId="70">
    <w:nsid w:val="76272110"/>
    <w:multiLevelType w:val="hybridMultilevel"/>
    <w:lvl w:ilvl="0">
      <w:lvlJc w:val="left"/>
      <w:lvlText w:val="%1."/>
      <w:numFmt w:val="decimal"/>
      <w:start w:val="10"/>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lowerRoman"/>
      <w:start w:val="1"/>
    </w:lvl>
  </w:abstractNum>
  <w:abstractNum w:abstractNumId="73">
    <w:nsid w:val="14E17E33"/>
    <w:multiLevelType w:val="hybridMultilevel"/>
    <w:lvl w:ilvl="0">
      <w:lvlJc w:val="left"/>
      <w:lvlText w:val="%1."/>
      <w:numFmt w:val="decimal"/>
      <w:start w:val="2"/>
    </w:lvl>
  </w:abstractNum>
  <w:abstractNum w:abstractNumId="74">
    <w:nsid w:val="3222E7CD"/>
    <w:multiLevelType w:val="hybridMultilevel"/>
    <w:lvl w:ilvl="0">
      <w:lvlJc w:val="left"/>
      <w:lvlText w:val="(%1)"/>
      <w:numFmt w:val="lowerRoman"/>
      <w:start w:val="9"/>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2"/>
    </w:lvl>
  </w:abstractNum>
  <w:abstractNum w:abstractNumId="77">
    <w:nsid w:val="2DF6D648"/>
    <w:multiLevelType w:val="hybridMultilevel"/>
    <w:lvl w:ilvl="0">
      <w:lvlJc w:val="left"/>
      <w:lvlText w:val="%1."/>
      <w:numFmt w:val="decimal"/>
      <w:start w:val="3"/>
    </w:lvl>
  </w:abstractNum>
  <w:abstractNum w:abstractNumId="78">
    <w:nsid w:val="46B7D447"/>
    <w:multiLevelType w:val="hybridMultilevel"/>
    <w:lvl w:ilvl="0">
      <w:lvlJc w:val="left"/>
      <w:lvlText w:val="%1."/>
      <w:numFmt w:val="decimal"/>
      <w:start w:val="4"/>
    </w:lvl>
  </w:abstractNum>
  <w:abstractNum w:abstractNumId="79">
    <w:nsid w:val="4A2AC315"/>
    <w:multiLevelType w:val="hybridMultilevel"/>
    <w:lvl w:ilvl="0">
      <w:lvlJc w:val="left"/>
      <w:lvlText w:val="%1."/>
      <w:numFmt w:val="decimal"/>
      <w:start w:val="5"/>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2"/>
    </w:lvl>
  </w:abstractNum>
  <w:abstractNum w:abstractNumId="84">
    <w:nsid w:val="60EF0119"/>
    <w:multiLevelType w:val="hybridMultilevel"/>
    <w:lvl w:ilvl="0">
      <w:lvlJc w:val="left"/>
      <w:lvlText w:val="%1."/>
      <w:numFmt w:val="decimal"/>
      <w:start w:val="3"/>
    </w:lvl>
  </w:abstractNum>
  <w:abstractNum w:abstractNumId="85">
    <w:nsid w:val="26F324BA"/>
    <w:multiLevelType w:val="hybridMultilevel"/>
    <w:lvl w:ilvl="0">
      <w:lvlJc w:val="left"/>
      <w:lvlText w:val="(%1)"/>
      <w:numFmt w:val="lowerRoman"/>
      <w:start w:val="1"/>
    </w:lvl>
    <w:lvl w:ilvl="1">
      <w:lvlJc w:val="left"/>
      <w:lvlText w:val="(%2)"/>
      <w:numFmt w:val="lowerRoman"/>
      <w:start w:val="3"/>
    </w:lvl>
  </w:abstractNum>
  <w:abstractNum w:abstractNumId="86">
    <w:nsid w:val="7F01579B"/>
    <w:multiLevelType w:val="hybridMultilevel"/>
    <w:lvl w:ilvl="0">
      <w:lvlJc w:val="left"/>
      <w:lvlText w:val="%1."/>
      <w:numFmt w:val="decimal"/>
      <w:start w:val="4"/>
    </w:lvl>
  </w:abstractNum>
  <w:abstractNum w:abstractNumId="87">
    <w:nsid w:val="49DA307D"/>
    <w:multiLevelType w:val="hybridMultilevel"/>
    <w:lvl w:ilvl="0">
      <w:lvlJc w:val="left"/>
      <w:lvlText w:val="%1."/>
      <w:numFmt w:val="decimal"/>
      <w:start w:val="5"/>
    </w:lvl>
  </w:abstractNum>
  <w:abstractNum w:abstractNumId="88">
    <w:nsid w:val="7055A5F5"/>
    <w:multiLevelType w:val="hybridMultilevel"/>
    <w:lvl w:ilvl="0">
      <w:lvlJc w:val="left"/>
      <w:lvlText w:val="%1."/>
      <w:numFmt w:val="decimal"/>
      <w:start w:val="6"/>
    </w:lvl>
  </w:abstractNum>
  <w:abstractNum w:abstractNumId="89">
    <w:nsid w:val="5FB8370B"/>
    <w:multiLevelType w:val="hybridMultilevel"/>
    <w:lvl w:ilvl="0">
      <w:lvlJc w:val="left"/>
      <w:lvlText w:val="%1."/>
      <w:numFmt w:val="decimal"/>
      <w:start w:val="8"/>
    </w:lvl>
  </w:abstractNum>
  <w:abstractNum w:abstractNumId="90">
    <w:nsid w:val="50801EE1"/>
    <w:multiLevelType w:val="hybridMultilevel"/>
    <w:lvl w:ilvl="0">
      <w:lvlJc w:val="left"/>
      <w:lvlText w:val="%1."/>
      <w:numFmt w:val="decimal"/>
      <w:start w:val="9"/>
    </w:lvl>
  </w:abstractNum>
  <w:abstractNum w:abstractNumId="91">
    <w:nsid w:val="488AC1A"/>
    <w:multiLevelType w:val="hybridMultilevel"/>
    <w:lvl w:ilvl="0">
      <w:lvlJc w:val="left"/>
      <w:lvlText w:val="%1."/>
      <w:numFmt w:val="decimal"/>
      <w:start w:val="10"/>
    </w:lvl>
  </w:abstractNum>
  <w:abstractNum w:abstractNumId="92">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3">
    <w:nsid w:val="6AA78F7F"/>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94">
    <w:nsid w:val="7672BD2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95">
    <w:nsid w:val="6FC75AF8"/>
    <w:multiLevelType w:val="hybridMultilevel"/>
    <w:lvl w:ilvl="0">
      <w:lvlJc w:val="left"/>
      <w:lvlText w:val="%1"/>
      <w:numFmt w:val="decimal"/>
      <w:start w:val="1"/>
    </w:lvl>
    <w:lvl w:ilvl="1">
      <w:lvlJc w:val="left"/>
      <w:lvlText w:val="%2."/>
      <w:numFmt w:val="decimal"/>
      <w:start w:val="6"/>
    </w:lvl>
    <w:lvl w:ilvl="2">
      <w:lvlJc w:val="left"/>
      <w:lvlText w:val="%3."/>
      <w:numFmt w:val="decimal"/>
      <w:start w:val="7"/>
    </w:lvl>
    <w:lvl w:ilvl="3">
      <w:lvlJc w:val="left"/>
      <w:lvlText w:val="%4"/>
      <w:numFmt w:val="decimal"/>
      <w:start w:val="1"/>
    </w:lvl>
  </w:abstractNum>
  <w:abstractNum w:abstractNumId="96">
    <w:nsid w:val="6A5F7029"/>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2022-07-21T06:08:17Z</dcterms:created>
  <dcterms:modified xsi:type="dcterms:W3CDTF">2022-07-21T06:08:17Z</dcterms:modified>
</cp:coreProperties>
</file>