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54610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89535</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4160" w:type="dxa"/>
            <w:vAlign w:val="bottom"/>
          </w:tcPr>
          <w:p>
            <w:pPr>
              <w:jc w:val="center"/>
              <w:ind w:right="364"/>
              <w:spacing w:after="0"/>
              <w:rPr>
                <w:sz w:val="20"/>
                <w:szCs w:val="20"/>
                <w:color w:val="auto"/>
              </w:rPr>
            </w:pPr>
            <w:r>
              <w:rPr>
                <w:rFonts w:ascii="Arial" w:cs="Arial" w:eastAsia="Arial" w:hAnsi="Arial"/>
                <w:sz w:val="16"/>
                <w:szCs w:val="16"/>
                <w:b w:val="1"/>
                <w:bCs w:val="1"/>
                <w:color w:val="auto"/>
              </w:rPr>
              <w:t>Delaware</w:t>
            </w:r>
          </w:p>
        </w:tc>
        <w:tc>
          <w:tcPr>
            <w:tcW w:w="3820" w:type="dxa"/>
            <w:vAlign w:val="bottom"/>
          </w:tcPr>
          <w:p>
            <w:pPr>
              <w:jc w:val="center"/>
              <w:ind w:left="38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(State or other jurisdiction of incorporation or organization)</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160" w:type="dxa"/>
            <w:vAlign w:val="bottom"/>
          </w:tcPr>
          <w:p>
            <w:pPr>
              <w:ind w:left="360"/>
              <w:spacing w:after="0"/>
              <w:rPr>
                <w:sz w:val="20"/>
                <w:szCs w:val="20"/>
                <w:color w:val="auto"/>
              </w:rPr>
            </w:pPr>
            <w:r>
              <w:rPr>
                <w:rFonts w:ascii="Arial" w:cs="Arial" w:eastAsia="Arial" w:hAnsi="Arial"/>
                <w:sz w:val="16"/>
                <w:szCs w:val="16"/>
                <w:b w:val="1"/>
                <w:bCs w:val="1"/>
                <w:color w:val="auto"/>
              </w:rPr>
              <w:t>1 Skyview Drive, Fort Worth, Texas  76155</w:t>
            </w:r>
          </w:p>
        </w:tc>
        <w:tc>
          <w:tcPr>
            <w:tcW w:w="3820" w:type="dxa"/>
            <w:vAlign w:val="bottom"/>
          </w:tcPr>
          <w:p>
            <w:pPr>
              <w:jc w:val="right"/>
              <w:ind w:right="884"/>
              <w:spacing w:after="0"/>
              <w:rPr>
                <w:sz w:val="20"/>
                <w:szCs w:val="20"/>
                <w:color w:val="auto"/>
              </w:rPr>
            </w:pPr>
            <w:r>
              <w:rPr>
                <w:rFonts w:ascii="Arial" w:cs="Arial" w:eastAsia="Arial" w:hAnsi="Arial"/>
                <w:sz w:val="16"/>
                <w:szCs w:val="16"/>
                <w:b w:val="1"/>
                <w:bCs w:val="1"/>
                <w:color w:val="auto"/>
              </w:rPr>
              <w:t>(682) 278-9000</w:t>
            </w:r>
          </w:p>
        </w:tc>
      </w:tr>
      <w:tr>
        <w:trPr>
          <w:trHeight w:val="190"/>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(Address of principal executive offices, including zip code)</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89535</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9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rPr>
              <w:t>Delaware</w:t>
            </w:r>
          </w:p>
        </w:tc>
        <w:tc>
          <w:tcPr>
            <w:tcW w:w="1780" w:type="dxa"/>
            <w:vAlign w:val="bottom"/>
          </w:tcPr>
          <w:p>
            <w:pPr>
              <w:spacing w:after="0"/>
              <w:rPr>
                <w:sz w:val="19"/>
                <w:szCs w:val="19"/>
                <w:color w:val="auto"/>
              </w:rPr>
            </w:pPr>
          </w:p>
        </w:tc>
        <w:tc>
          <w:tcPr>
            <w:tcW w:w="4500" w:type="dxa"/>
            <w:vAlign w:val="bottom"/>
            <w:gridSpan w:val="3"/>
          </w:tcPr>
          <w:p>
            <w:pPr>
              <w:jc w:val="center"/>
              <w:ind w:right="301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(State or other jurisdiction of incorporation or organization)</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28"/>
        </w:trPr>
        <w:tc>
          <w:tcPr>
            <w:tcW w:w="4960" w:type="dxa"/>
            <w:vAlign w:val="bottom"/>
            <w:gridSpan w:val="3"/>
          </w:tcPr>
          <w:p>
            <w:pPr>
              <w:ind w:left="1500"/>
              <w:spacing w:after="0"/>
              <w:rPr>
                <w:sz w:val="20"/>
                <w:szCs w:val="20"/>
                <w:color w:val="auto"/>
              </w:rPr>
            </w:pPr>
            <w:r>
              <w:rPr>
                <w:rFonts w:ascii="Arial" w:cs="Arial" w:eastAsia="Arial" w:hAnsi="Arial"/>
                <w:sz w:val="16"/>
                <w:szCs w:val="16"/>
                <w:b w:val="1"/>
                <w:bCs w:val="1"/>
                <w:color w:val="auto"/>
              </w:rPr>
              <w:t>1 Skyview Drive, Fort Worth, Texas  76155</w:t>
            </w:r>
          </w:p>
        </w:tc>
        <w:tc>
          <w:tcPr>
            <w:tcW w:w="1780" w:type="dxa"/>
            <w:vAlign w:val="bottom"/>
          </w:tcPr>
          <w:p>
            <w:pPr>
              <w:spacing w:after="0"/>
              <w:rPr>
                <w:sz w:val="19"/>
                <w:szCs w:val="19"/>
                <w:color w:val="auto"/>
              </w:rPr>
            </w:pPr>
          </w:p>
        </w:tc>
        <w:tc>
          <w:tcPr>
            <w:tcW w:w="4500" w:type="dxa"/>
            <w:vAlign w:val="bottom"/>
            <w:gridSpan w:val="3"/>
          </w:tcPr>
          <w:p>
            <w:pPr>
              <w:jc w:val="right"/>
              <w:ind w:right="2999"/>
              <w:spacing w:after="0"/>
              <w:rPr>
                <w:sz w:val="20"/>
                <w:szCs w:val="20"/>
                <w:color w:val="auto"/>
              </w:rPr>
            </w:pPr>
            <w:r>
              <w:rPr>
                <w:rFonts w:ascii="Arial" w:cs="Arial" w:eastAsia="Arial" w:hAnsi="Arial"/>
                <w:sz w:val="16"/>
                <w:szCs w:val="16"/>
                <w:b w:val="1"/>
                <w:bCs w:val="1"/>
                <w:color w:val="auto"/>
              </w:rPr>
              <w:t>(682) 278-9000</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(Address of principal executive offices, including zip code)</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370"/>
        </w:trPr>
        <w:tc>
          <w:tcPr>
            <w:tcW w:w="49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960" w:type="dxa"/>
            <w:vAlign w:val="bottom"/>
            <w:gridSpan w:val="3"/>
          </w:tcPr>
          <w:p>
            <w:pPr>
              <w:jc w:val="center"/>
              <w:ind w:right="1100"/>
              <w:spacing w:after="0"/>
              <w:rPr>
                <w:sz w:val="20"/>
                <w:szCs w:val="20"/>
                <w:color w:val="auto"/>
              </w:rPr>
            </w:pPr>
            <w:r>
              <w:rPr>
                <w:rFonts w:ascii="Arial" w:cs="Arial" w:eastAsia="Arial" w:hAnsi="Arial"/>
                <w:sz w:val="16"/>
                <w:szCs w:val="16"/>
                <w:b w:val="1"/>
                <w:bCs w:val="1"/>
                <w:color w:val="auto"/>
              </w:rPr>
              <w:t>Title of each class</w:t>
            </w:r>
          </w:p>
        </w:tc>
        <w:tc>
          <w:tcPr>
            <w:tcW w:w="1780" w:type="dxa"/>
            <w:vAlign w:val="bottom"/>
          </w:tcPr>
          <w:p>
            <w:pPr>
              <w:jc w:val="center"/>
              <w:ind w:right="103"/>
              <w:spacing w:after="0"/>
              <w:rPr>
                <w:sz w:val="20"/>
                <w:szCs w:val="20"/>
                <w:color w:val="auto"/>
              </w:rPr>
            </w:pPr>
            <w:r>
              <w:rPr>
                <w:rFonts w:ascii="Arial" w:cs="Arial" w:eastAsia="Arial" w:hAnsi="Arial"/>
                <w:sz w:val="16"/>
                <w:szCs w:val="16"/>
                <w:b w:val="1"/>
                <w:bCs w:val="1"/>
                <w:color w:val="auto"/>
                <w:w w:val="99"/>
              </w:rPr>
              <w:t>Trading Symbol(s)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3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03"/>
              <w:spacing w:after="0" w:line="158" w:lineRule="exact"/>
              <w:rPr>
                <w:sz w:val="20"/>
                <w:szCs w:val="20"/>
                <w:color w:val="auto"/>
              </w:rPr>
            </w:pPr>
            <w:r>
              <w:rPr>
                <w:rFonts w:ascii="Arial" w:cs="Arial" w:eastAsia="Arial" w:hAnsi="Arial"/>
                <w:sz w:val="16"/>
                <w:szCs w:val="16"/>
                <w:b w:val="1"/>
                <w:bCs w:val="1"/>
                <w:color w:val="auto"/>
                <w:w w:val="97"/>
              </w:rPr>
              <w:t>AAL</w:t>
            </w: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3"/>
        </w:trPr>
        <w:tc>
          <w:tcPr>
            <w:tcW w:w="4960" w:type="dxa"/>
            <w:vAlign w:val="bottom"/>
            <w:gridSpan w:val="3"/>
            <w:vMerge w:val="restart"/>
          </w:tcPr>
          <w:p>
            <w:pPr>
              <w:jc w:val="center"/>
              <w:ind w:right="1100"/>
              <w:spacing w:after="0"/>
              <w:rPr>
                <w:sz w:val="20"/>
                <w:szCs w:val="20"/>
                <w:color w:val="auto"/>
              </w:rPr>
            </w:pPr>
            <w:r>
              <w:rPr>
                <w:rFonts w:ascii="Arial" w:cs="Arial" w:eastAsia="Arial" w:hAnsi="Arial"/>
                <w:sz w:val="16"/>
                <w:szCs w:val="16"/>
                <w:b w:val="1"/>
                <w:bCs w:val="1"/>
                <w:color w:val="auto"/>
              </w:rPr>
              <w:t>Preferred Stock Purchase Rights</w:t>
            </w:r>
          </w:p>
        </w:tc>
        <w:tc>
          <w:tcPr>
            <w:tcW w:w="1780" w:type="dxa"/>
            <w:vAlign w:val="bottom"/>
            <w:vMerge w:val="restart"/>
          </w:tcPr>
          <w:p>
            <w:pPr>
              <w:jc w:val="center"/>
              <w:ind w:right="103"/>
              <w:spacing w:after="0"/>
              <w:rPr>
                <w:sz w:val="20"/>
                <w:szCs w:val="20"/>
                <w:color w:val="auto"/>
              </w:rPr>
            </w:pPr>
            <w:r>
              <w:rPr>
                <w:rFonts w:ascii="Arial" w:cs="Arial" w:eastAsia="Arial" w:hAnsi="Arial"/>
                <w:sz w:val="16"/>
                <w:szCs w:val="16"/>
                <w:color w:val="auto"/>
                <w:w w:val="99"/>
              </w:rPr>
              <w:t>—</w:t>
            </w:r>
          </w:p>
        </w:tc>
        <w:tc>
          <w:tcPr>
            <w:tcW w:w="4500" w:type="dxa"/>
            <w:vAlign w:val="bottom"/>
            <w:gridSpan w:val="3"/>
          </w:tcPr>
          <w:p>
            <w:pPr>
              <w:jc w:val="center"/>
              <w:ind w:left="828"/>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130"/>
        </w:trPr>
        <w:tc>
          <w:tcPr>
            <w:tcW w:w="4960" w:type="dxa"/>
            <w:vAlign w:val="bottom"/>
            <w:gridSpan w:val="3"/>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88" w:lineRule="exact"/>
        <w:rPr>
          <w:sz w:val="24"/>
          <w:szCs w:val="24"/>
          <w:color w:val="auto"/>
        </w:rPr>
      </w:pPr>
    </w:p>
    <w:p>
      <w:pPr>
        <w:jc w:val="both"/>
        <w:ind w:firstLine="162"/>
        <w:spacing w:after="0" w:line="26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68" w:lineRule="exact"/>
        <w:rPr>
          <w:sz w:val="24"/>
          <w:szCs w:val="24"/>
          <w:color w:val="auto"/>
        </w:rPr>
      </w:pPr>
    </w:p>
    <w:p>
      <w:pPr>
        <w:jc w:val="both"/>
        <w:ind w:firstLine="162"/>
        <w:spacing w:after="0" w:line="30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68"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ectPr>
          <w:pgSz w:w="11900" w:h="16838" w:orient="portrait"/>
          <w:cols w:equalWidth="0" w:num="1">
            <w:col w:w="11240"/>
          </w:cols>
          <w:pgMar w:left="320" w:top="1097" w:right="339" w:bottom="0" w:gutter="0" w:footer="0" w:header="0"/>
        </w:sectPr>
      </w:pPr>
    </w:p>
    <w:p>
      <w:pPr>
        <w:spacing w:after="0"/>
        <w:rPr>
          <w:sz w:val="20"/>
          <w:szCs w:val="20"/>
          <w:color w:val="auto"/>
        </w:rPr>
      </w:pPr>
      <w:r>
        <w:rPr>
          <w:rFonts w:ascii="Arial" w:cs="Arial" w:eastAsia="Arial" w:hAnsi="Arial"/>
          <w:sz w:val="16"/>
          <w:szCs w:val="16"/>
          <w:color w:val="auto"/>
        </w:rPr>
        <w:t>Rule 12b-2 of the Exchange Act.</w:t>
      </w:r>
    </w:p>
    <w:p>
      <w:pPr>
        <w:spacing w:after="0" w:line="19" w:lineRule="exact"/>
        <w:rPr>
          <w:sz w:val="24"/>
          <w:szCs w:val="24"/>
          <w:color w:val="auto"/>
        </w:rPr>
      </w:pPr>
    </w:p>
    <w:p>
      <w:pPr>
        <w:ind w:left="20"/>
        <w:spacing w:after="0" w:line="331" w:lineRule="exact"/>
        <w:tabs>
          <w:tab w:leader="none" w:pos="1920" w:val="left"/>
        </w:tabs>
        <w:rPr>
          <w:sz w:val="20"/>
          <w:szCs w:val="20"/>
          <w:color w:val="auto"/>
        </w:rPr>
      </w:pPr>
      <w:r>
        <w:rPr>
          <w:rFonts w:ascii="Arial" w:cs="Arial" w:eastAsia="Arial" w:hAnsi="Arial"/>
          <w:sz w:val="13"/>
          <w:szCs w:val="13"/>
          <w:color w:val="auto"/>
        </w:rPr>
        <w:t>American Airlines Group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ind w:left="20"/>
        <w:spacing w:after="0" w:line="313" w:lineRule="exact"/>
        <w:tabs>
          <w:tab w:leader="none" w:pos="1920" w:val="left"/>
        </w:tabs>
        <w:rPr>
          <w:sz w:val="20"/>
          <w:szCs w:val="20"/>
          <w:color w:val="auto"/>
        </w:rPr>
      </w:pPr>
      <w:r>
        <w:rPr>
          <w:rFonts w:ascii="Arial" w:cs="Arial" w:eastAsia="Arial" w:hAnsi="Arial"/>
          <w:sz w:val="13"/>
          <w:szCs w:val="13"/>
          <w:color w:val="auto"/>
        </w:rPr>
        <w:t>American Airlines,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403"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361"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2">
            <w:col w:w="4960" w:space="280"/>
            <w:col w:w="6000"/>
          </w:cols>
          <w:pgMar w:left="320" w:top="1097" w:right="339" w:bottom="0" w:gutter="0" w:footer="0" w:header="0"/>
          <w:type w:val="continuous"/>
        </w:sectPr>
      </w:pPr>
    </w:p>
    <w:p>
      <w:pPr>
        <w:spacing w:after="0" w:line="171" w:lineRule="exact"/>
        <w:rPr>
          <w:sz w:val="24"/>
          <w:szCs w:val="24"/>
          <w:color w:val="auto"/>
        </w:rPr>
      </w:pPr>
    </w:p>
    <w:p>
      <w:pPr>
        <w:ind w:right="20" w:firstLine="162"/>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6"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88"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4"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0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14, 2022, there were 649,900,887 shares of American Airlines Group Inc. common stock outstanding.</w:t>
      </w:r>
    </w:p>
    <w:p>
      <w:pPr>
        <w:spacing w:after="0" w:line="113" w:lineRule="exact"/>
        <w:rPr>
          <w:sz w:val="24"/>
          <w:szCs w:val="24"/>
          <w:color w:val="auto"/>
        </w:rPr>
      </w:pPr>
    </w:p>
    <w:p>
      <w:pPr>
        <w:ind w:firstLine="162"/>
        <w:spacing w:after="0" w:line="304" w:lineRule="auto"/>
        <w:rPr>
          <w:sz w:val="20"/>
          <w:szCs w:val="20"/>
          <w:color w:val="auto"/>
        </w:rPr>
      </w:pPr>
      <w:r>
        <w:rPr>
          <w:rFonts w:ascii="Arial" w:cs="Arial" w:eastAsia="Arial" w:hAnsi="Arial"/>
          <w:sz w:val="16"/>
          <w:szCs w:val="16"/>
          <w:color w:val="auto"/>
        </w:rPr>
        <w:t>As of October 14, 2022,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7"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539115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September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6300" w:type="dxa"/>
            <w:vAlign w:val="bottom"/>
            <w:gridSpan w:val="12"/>
          </w:tcPr>
          <w:p>
            <w:pPr>
              <w:spacing w:after="0" w:line="195"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60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6"/>
          </w:tcPr>
          <w:p>
            <w:pPr>
              <w:spacing w:after="0"/>
              <w:rPr>
                <w:sz w:val="18"/>
                <w:szCs w:val="18"/>
                <w:color w:val="auto"/>
              </w:rPr>
            </w:pPr>
          </w:p>
        </w:tc>
        <w:tc>
          <w:tcPr>
            <w:tcW w:w="2700" w:type="dxa"/>
            <w:vAlign w:val="bottom"/>
            <w:gridSpan w:val="2"/>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Comprehensive Income (Loss</w:t>
            </w:r>
            <w:r>
              <w:rPr>
                <w:rFonts w:ascii="Arial" w:cs="Arial" w:eastAsia="Arial" w:hAnsi="Arial"/>
                <w:sz w:val="18"/>
                <w:szCs w:val="18"/>
                <w:color w:val="000000"/>
              </w:rPr>
              <w: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Arial" w:cs="Arial" w:eastAsia="Arial" w:hAnsi="Arial"/>
                <w:sz w:val="18"/>
                <w:szCs w:val="18"/>
                <w:color w:val="0000FF"/>
                <w:w w:val="99"/>
              </w:rPr>
              <w:t>Condensed Consolidated Balance Sheets</w:t>
            </w:r>
          </w:p>
        </w:tc>
        <w:tc>
          <w:tcPr>
            <w:tcW w:w="2280" w:type="dxa"/>
            <w:vAlign w:val="bottom"/>
            <w:gridSpan w:val="5"/>
          </w:tcPr>
          <w:p>
            <w:pPr>
              <w:spacing w:after="0"/>
              <w:rPr>
                <w:sz w:val="18"/>
                <w:szCs w:val="18"/>
                <w:color w:val="auto"/>
              </w:rPr>
            </w:pPr>
          </w:p>
        </w:tc>
        <w:tc>
          <w:tcPr>
            <w:tcW w:w="3380" w:type="dxa"/>
            <w:vAlign w:val="bottom"/>
            <w:gridSpan w:val="4"/>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1"/>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5"/>
          </w:tcPr>
          <w:p>
            <w:pPr>
              <w:spacing w:after="0"/>
              <w:rPr>
                <w:sz w:val="18"/>
                <w:szCs w:val="18"/>
                <w:color w:val="auto"/>
              </w:rPr>
            </w:pPr>
          </w:p>
        </w:tc>
        <w:tc>
          <w:tcPr>
            <w:tcW w:w="3200" w:type="dxa"/>
            <w:vAlign w:val="bottom"/>
            <w:gridSpan w:val="3"/>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Comprehensive Income (Loss</w:t>
            </w:r>
            <w:r>
              <w:rPr>
                <w:rFonts w:ascii="Arial" w:cs="Arial" w:eastAsia="Arial" w:hAnsi="Arial"/>
                <w:sz w:val="18"/>
                <w:szCs w:val="18"/>
                <w:color w:val="000000"/>
              </w:rPr>
              <w: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Arial" w:cs="Arial" w:eastAsia="Arial" w:hAnsi="Arial"/>
                <w:sz w:val="18"/>
                <w:szCs w:val="18"/>
                <w:color w:val="0000FF"/>
                <w:w w:val="99"/>
              </w:rPr>
              <w:t>Condensed Consolidated Balance Sheets</w:t>
            </w:r>
          </w:p>
        </w:tc>
        <w:tc>
          <w:tcPr>
            <w:tcW w:w="2280" w:type="dxa"/>
            <w:vAlign w:val="bottom"/>
            <w:gridSpan w:val="5"/>
          </w:tcPr>
          <w:p>
            <w:pPr>
              <w:spacing w:after="0"/>
              <w:rPr>
                <w:sz w:val="18"/>
                <w:szCs w:val="18"/>
                <w:color w:val="auto"/>
              </w:rPr>
            </w:pPr>
          </w:p>
        </w:tc>
        <w:tc>
          <w:tcPr>
            <w:tcW w:w="3380" w:type="dxa"/>
            <w:vAlign w:val="bottom"/>
            <w:gridSpan w:val="4"/>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6"/>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67</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gridSpan w:val="3"/>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1"/>
          </w:tcPr>
          <w:p>
            <w:pPr>
              <w:spacing w:after="0"/>
              <w:rPr>
                <w:sz w:val="16"/>
                <w:szCs w:val="16"/>
                <w:color w:val="auto"/>
              </w:rPr>
            </w:pPr>
          </w:p>
        </w:tc>
        <w:tc>
          <w:tcPr>
            <w:tcW w:w="400" w:type="dxa"/>
            <w:vAlign w:val="bottom"/>
            <w:gridSpan w:val="2"/>
          </w:tcPr>
          <w:p>
            <w:pPr>
              <w:spacing w:after="0"/>
              <w:rPr>
                <w:sz w:val="16"/>
                <w:szCs w:val="16"/>
                <w:color w:val="auto"/>
              </w:rPr>
            </w:pPr>
          </w:p>
        </w:tc>
        <w:tc>
          <w:tcPr>
            <w:tcW w:w="2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3"/>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1"/>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360" w:type="dxa"/>
            <w:vAlign w:val="bottom"/>
          </w:tcPr>
          <w:p>
            <w:pPr>
              <w:spacing w:after="0"/>
              <w:rPr>
                <w:sz w:val="18"/>
                <w:szCs w:val="18"/>
                <w:color w:val="auto"/>
              </w:rPr>
            </w:pPr>
          </w:p>
        </w:tc>
        <w:tc>
          <w:tcPr>
            <w:tcW w:w="8000" w:type="dxa"/>
            <w:vAlign w:val="bottom"/>
            <w:gridSpan w:val="12"/>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0000FF"/>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0"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 xml:space="preserve">For the convenience of the reader, the definitions of certain capitalized industry and other terms used in this report have been consolidated into a glossary beginning on page </w:t>
      </w:r>
      <w:r>
        <w:rPr>
          <w:rFonts w:ascii="Arial" w:cs="Arial" w:eastAsia="Arial" w:hAnsi="Arial"/>
          <w:sz w:val="18"/>
          <w:szCs w:val="18"/>
          <w:u w:val="single" w:color="auto"/>
          <w:color w:val="0000FF"/>
        </w:rPr>
        <w:t>5</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the continuing availability of borrowings under revolving lines of credit,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3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(COVID-19) outbreak and subsequent volatility in demand for air travel due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29" w:lineRule="exact"/>
        <w:rPr>
          <w:sz w:val="20"/>
          <w:szCs w:val="20"/>
          <w:color w:val="auto"/>
        </w:rPr>
      </w:pPr>
    </w:p>
    <w:p>
      <w:pPr>
        <w:jc w:val="both"/>
        <w:ind w:left="660" w:right="20" w:hanging="328"/>
        <w:spacing w:after="0" w:line="24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outbreak and global spread of COVID-19 and government-imposed measures to prevent or reduce its spread have resulted in significant volatility in demand for air travel, the impacts of which have adversely impacted our business, operating results, financial condition and liquidity.</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93"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7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180"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7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may adversely affect our operations and financial performance.</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right="2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the Airline Industry</w:t>
      </w:r>
    </w:p>
    <w:p>
      <w:pPr>
        <w:spacing w:after="0" w:line="1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79"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7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and continued periods of high volatility in fuel costs, increased fuel prices or significant disruptions in the supply of aircraft fuel could have a significant negative impact on consumer demand, our operating results and liquidity.</w:t>
      </w:r>
    </w:p>
    <w:p>
      <w:pPr>
        <w:spacing w:after="0" w:line="178"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14" w:lineRule="exact"/>
        <w:rPr>
          <w:rFonts w:ascii="Arial" w:cs="Arial" w:eastAsia="Arial" w:hAnsi="Arial"/>
          <w:sz w:val="22"/>
          <w:szCs w:val="22"/>
          <w:color w:val="auto"/>
        </w:rPr>
      </w:pPr>
    </w:p>
    <w:p>
      <w:pPr>
        <w:ind w:left="660" w:right="20" w:hanging="328"/>
        <w:spacing w:after="0" w:line="31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8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shortage of pilots or other personnel could materially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Delays in scheduled aircraft deliveries or other loss of anticipated fleet capacity, and failure of new aircraft to perform as expected, may adversely impact our business, results of operations and financial condition.</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8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Evolving data security and privacy requirements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193"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term loan facility provided for under the 2013 Credit Agreement.</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 Form 10-K” means AAG’s and American’s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“2021-1 Aircraft” means the 26 aircraft financed or to be financed by American under the 2021-1 Aircraft EETCs.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“2021-1 Aircraft EETCs” means the two pass-through trusts created by American in November 2021 that have issued approximately $960 million aggregate face amount of Series 2021-1 Class A and Class B EETCs.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“2026 Notes” means the AAdvantage Issuers' 5.50% senior secured notes due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“2029 Notes” means the AAdvantage Issuers' 5.75% senior secured notes due 2029.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“AAdvantage Agreements” means the AAdvantage program agreements provided as collateral under the AAdvantage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means the 2026 Notes, the 2029 Notes and the AAdvantage Term Loan Facility.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“AAdvantage Term Loan Facility” means the $ 3.5 billion term loan facility provided pursuant to the term loan credit and guaranty agreement, dated as of March 24, 2021, with Barclays Bank PLC, as administrative agent, Wilmington Trust, National Association, as collateral administrator, and the lenders party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“Air Wisconsin” means Air Wisconsin Airlines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Air Wisconsin, Mesa, Republic and SkyWest.</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2016 Spare Parts Term Loan Facility” means the term loan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“ARP” means the American Rescue Plan Act of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“Boeing” means The Boeing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total operating cost per available seat mile and is equal to total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“Convertible Notes Indenture” means the indenture, dated as of June 25, 2020, between AAG and the Convertible Notes Trustee, as supplemented by the first supplemental indenture, dated as of June 25, 2020, among AAG, American and the Convertible Notes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Wilmington Trust, National Association, as trustee with respect to the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“COVID-19” refers to a respiratory illness first detected in 2019 and the ensuing global pandemic that remains ongoing as of the date of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“December 2016 Credit Facilities” means, collectively, the December 2016 Term Loan Facility and the revolving credit facility that may be established under the December 2016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term loan facility provided for under the December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“DOJ” means the United States Department of Justice.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Agreement” means the agreement that had been reached between the DOT, American and JetBlue in January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“EEA” means European Economic Area.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“ETS” means EU Emissions Trading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"EU-UK Trade and Cooperation Agreement" means the trade and cooperation agreement between the EU and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 means global distribution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“GOL” means GOL Linhas Aéreas Inteligentes S.A.</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10.75% senior secured IP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“IRA” means the Inflation Reduction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“JetBlue” means JetBlue Airways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10.75% senior secured LGA/DCA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“LTV” means loan to value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"NEA" means Northeast Alliance arrangement between American and JetBlue.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“OSHA” means Occupational Health and Safety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“PFAS” means per- and polyfluoroalkyl substances.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means the payroll support program established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Agreement” means the Payroll Support Program Agreement entered into by the Subsidiaries with Treasury on April 20,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Promissory Note” means the promissory note issued to Treasury in connection with PSP1.</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“PSP1 Warrant Agreement” means the agreement entered into between AAG and Treasury in connection with the PSP1 Agreement, pursuant to which AAG issued PSP1 Warrants to Treasury to purchase up to an aggregate of approximately 14.0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“PSP1 Warrants” means the warrants issued or to be issued to Treasury pursuant to the PSP1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“PSP2” means the payroll support program established under the PSP Extension Law.</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“PSP2 Agreement” means the Payroll Support Program Extension Agreement entered into by the Subsidiaries with Treasury on January 15,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“PSP2 Promissory Note” means the promissory note issued to Treasury in connection with PSP2.</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“PSP2 Warrant Agreement” means the agreement entered into between AAG and Treasury in connection with the PSP2 Agreement, pursuant to which AAG issued PSP2 Warrants to Treasury to purchase up to an aggregate of approximately 6.6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“PSP2 Warrants” means the warrants issued or to be issued to Treasury pursuant to the PSP2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means the payroll support program established under the ARP.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Agreement” means the Payroll Support Program Agreement entered into by the Subsidiaries with Treasury on April 23,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Promissory Note” means the promissory note issued to Treasury in connection with PSP3.</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“PSP3 Warrant Agreement” means the agreement entered into between AAG and Treasury in connection with the PSP3 Agreement, pursuant to which AAG issued PSP3 Warrants to Treasury to purchase up to an aggregate of approximately 4.4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“PSP3 Warrants” means the warrants issued or to be issued to Treasury pursuant to the PSP3 Warrant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“PSP Extension Law” means Subtitle A of Title IV of Division N of the Consolidated Appropriations Act,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“Rehabilitation Plan” means the rehabilitation plan adopted by the IAM Pension Fund on April 17,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“SAF” means sustainable aviation fuel.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“SAIB” means special airworthiness information bulletin.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“SOFR” means the Secured Overnight Financing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American, Envoy, PSA and Piedmont, each a wholly-owned subsidiary of AAG.</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“Tax Benefits Preservation Plan” means the tax benefits preservation plan adopted by the Board of Directors of AAG in December 2021 in order to preserve the Company's ability to use its NOLs and certain other tax attributes to reduce potential future income tax obligations.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to Treasury pursuant to the Treasury Loan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“Vertical” means Vertical Aerospace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9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32,438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17,682</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8,611</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20,734</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650,586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650,145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642,432</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-4902835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10,900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12,158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1,505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17,336</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39,154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37,856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9,696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9,335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49,493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47,708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(19,506)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(18,171)</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29,987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29,537</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7,850</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$816 and $786, respectively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1,988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2,109</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11,739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11,744</w:t>
            </w:r>
          </w:p>
        </w:tc>
      </w:tr>
      <w:tr>
        <w:trPr>
          <w:trHeight w:val="195"/>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66,652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66,467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758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b w:val="1"/>
                <w:bCs w:val="1"/>
                <w:color w:val="auto"/>
              </w:rPr>
              <w:t>LIABILITIES AND STOCKHOLDERS’ EQUITY (DEFICIT)</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2,489</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1,772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8,161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6,087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1,467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1,507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2,808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2,766</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21,970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19,006</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34,185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35,571</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6,141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6,239</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6,610</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52,575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54,801</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48"/>
        </w:trPr>
        <w:tc>
          <w:tcPr>
            <w:tcW w:w="7580" w:type="dxa"/>
            <w:vAlign w:val="bottom"/>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649,863,026 shares issued and</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September 30, 2022; 647,727,595 shares issued and outstanding at December 31, 2021</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(5,862)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(5,942)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(8,638)</w:t>
            </w:r>
          </w:p>
        </w:tc>
      </w:tr>
      <w:tr>
        <w:trPr>
          <w:trHeight w:val="19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(7,340)</w:t>
            </w:r>
          </w:p>
        </w:tc>
      </w:tr>
      <w:tr>
        <w:trPr>
          <w:trHeight w:val="221"/>
        </w:trPr>
        <w:tc>
          <w:tcPr>
            <w:tcW w:w="7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66,652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66,467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68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5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Airport construction projects, net of reimbursements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(12,113)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(15,159)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Purchase of equity investments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(7,721)</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Shares withheld for taxes pursuant to employee stock plans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Proceeds from issuance of equity</w:t>
            </w:r>
          </w:p>
        </w:tc>
        <w:tc>
          <w:tcPr>
            <w:tcW w:w="10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48"/>
        </w:trPr>
        <w:tc>
          <w:tcPr>
            <w:tcW w:w="7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Operating lease conversion to finance lease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investments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Finance lease conversion to operating lease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1,770,173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281,593 shares of AAG common stock pursuant to employee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(8,422)</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83,665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(9,314)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Impact of adoption of Accounting Standards Update 2020-06 related to</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convertible instruments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18,194,573 shares of AAG common stock pursuant to an at-the-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PSP2 Warrants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1,700,380 shares of AAG common stock pursuant to employee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5,956,191 shares of AAG common stock pursuant to an at-the-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PSP2 and PSP3 Warrants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115,833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(7,667)</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30,970 shares of AAG common stock pursuant to employee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5"/>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8"/>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2021.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and rapid recovery in demand for air travel which continued into the third quarter of 2022. The continued impact of the COVID-19 pandemic, including any increases in infection rates, new variants and renewed governmental action to slow the spread of COVID-19 cannot be estimated. We will continue to match our forward capacity with observed booking trends for future travel and make further adjustments to our capacity as needed.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24"/>
        </w:trPr>
        <w:tc>
          <w:tcPr>
            <w:tcW w:w="59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70"/>
        </w:trPr>
        <w:tc>
          <w:tcPr>
            <w:tcW w:w="5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(4)</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Regional operating special items, net</w:t>
            </w: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r>
      <w:tr>
        <w:trPr>
          <w:trHeight w:val="270"/>
        </w:trPr>
        <w:tc>
          <w:tcPr>
            <w:tcW w:w="5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(5)</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5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special items, net</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(Treasury) pursuant to the payroll support program established under the PSP Extension Law (PSP2) and the American Rescue Plan Act of 2021 (ARP) (PSP3).</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related to our voluntary early retirement programs for the three and nine months ended September 30, 2022 were approximately $40 million and $180 million, respectively, and approximately $190 million and $480 million for the three and nine months ended September 30, 2021, respectively.</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paid in the fourth quarter of 2021 to eligible captains at our wholly-owned regional carriers included on the pilot seniority list as of September 1, 2021.</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our equity investments in GOL Linhas Aéreas Inteligentes S.A. (GOL), Vertical Aerospace Ltd. (Vertical) and China Southern Airlines Company Limited (China Southern Airlines).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90"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642,432</w:t>
            </w:r>
          </w:p>
        </w:tc>
        <w:tc>
          <w:tcPr>
            <w:tcW w:w="0" w:type="dxa"/>
            <w:vAlign w:val="bottom"/>
          </w:tcPr>
          <w:p>
            <w:pPr>
              <w:spacing w:after="0"/>
              <w:rPr>
                <w:sz w:val="1"/>
                <w:szCs w:val="1"/>
                <w:color w:val="auto"/>
              </w:rPr>
            </w:pPr>
          </w:p>
        </w:tc>
      </w:tr>
      <w:tr>
        <w:trPr>
          <w:trHeight w:val="223"/>
        </w:trPr>
        <w:tc>
          <w:tcPr>
            <w:tcW w:w="594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Dilutive effect of stock awards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warrants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Assumed conversion of 6.50% convertible senior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650,145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642,432</w:t>
            </w:r>
          </w:p>
        </w:tc>
        <w:tc>
          <w:tcPr>
            <w:tcW w:w="0" w:type="dxa"/>
            <w:vAlign w:val="bottom"/>
          </w:tcPr>
          <w:p>
            <w:pPr>
              <w:spacing w:after="0"/>
              <w:rPr>
                <w:sz w:val="1"/>
                <w:szCs w:val="1"/>
                <w:color w:val="auto"/>
              </w:rPr>
            </w:pPr>
          </w:p>
        </w:tc>
      </w:tr>
      <w:tr>
        <w:trPr>
          <w:trHeight w:val="223"/>
        </w:trPr>
        <w:tc>
          <w:tcPr>
            <w:tcW w:w="594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Securities which were excluded from the calculation of diluted EPS because inclusion of such shares would be antidilutive, are as follows (in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980" w:type="dxa"/>
            <w:vAlign w:val="bottom"/>
          </w:tcPr>
          <w:p>
            <w:pPr>
              <w:spacing w:after="0"/>
              <w:rPr>
                <w:sz w:val="17"/>
                <w:szCs w:val="17"/>
                <w:color w:val="auto"/>
              </w:rPr>
            </w:pPr>
          </w:p>
        </w:tc>
        <w:tc>
          <w:tcPr>
            <w:tcW w:w="26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61,728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9"/>
                <w:szCs w:val="19"/>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3,272</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PSP1 Warrants </w:t>
            </w:r>
            <w:r>
              <w:rPr>
                <w:rFonts w:ascii="Arial" w:cs="Arial" w:eastAsia="Arial" w:hAnsi="Arial"/>
                <w:sz w:val="23"/>
                <w:szCs w:val="23"/>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5,555</w:t>
            </w: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Treasury Loan Warrants </w:t>
            </w:r>
            <w:r>
              <w:rPr>
                <w:rFonts w:ascii="Arial" w:cs="Arial" w:eastAsia="Arial" w:hAnsi="Arial"/>
                <w:sz w:val="23"/>
                <w:szCs w:val="23"/>
                <w:color w:val="auto"/>
                <w:vertAlign w:val="superscript"/>
              </w:rPr>
              <w:t>(2)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1,731</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Warrants </w:t>
            </w:r>
            <w:r>
              <w:rPr>
                <w:rFonts w:ascii="Arial" w:cs="Arial" w:eastAsia="Arial" w:hAnsi="Arial"/>
                <w:sz w:val="23"/>
                <w:szCs w:val="23"/>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1,329</w:t>
            </w:r>
          </w:p>
        </w:tc>
      </w:tr>
      <w:tr>
        <w:trPr>
          <w:trHeight w:val="311"/>
        </w:trPr>
        <w:tc>
          <w:tcPr>
            <w:tcW w:w="5980" w:type="dxa"/>
            <w:vAlign w:val="bottom"/>
          </w:tcPr>
          <w:p>
            <w:pPr>
              <w:ind w:left="20"/>
              <w:spacing w:after="0"/>
              <w:rPr>
                <w:sz w:val="20"/>
                <w:szCs w:val="20"/>
                <w:color w:val="auto"/>
              </w:rPr>
            </w:pPr>
            <w:r>
              <w:rPr>
                <w:rFonts w:ascii="Arial" w:cs="Arial" w:eastAsia="Arial" w:hAnsi="Arial"/>
                <w:sz w:val="18"/>
                <w:szCs w:val="18"/>
                <w:color w:val="auto"/>
              </w:rPr>
              <w:t xml:space="preserve">PSP3 Warrants </w:t>
            </w:r>
            <w:r>
              <w:rPr>
                <w:rFonts w:ascii="Arial" w:cs="Arial" w:eastAsia="Arial" w:hAnsi="Arial"/>
                <w:sz w:val="23"/>
                <w:szCs w:val="23"/>
                <w:color w:val="auto"/>
                <w:vertAlign w:val="superscript"/>
              </w:rPr>
              <w:t>(4)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311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0" w:lineRule="exact"/>
        <w:rPr>
          <w:sz w:val="20"/>
          <w:szCs w:val="20"/>
          <w:color w:val="auto"/>
        </w:rPr>
      </w:pPr>
    </w:p>
    <w:p>
      <w:pPr>
        <w:jc w:val="both"/>
        <w:ind w:left="340" w:hanging="332"/>
        <w:spacing w:after="0" w:line="237"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the payroll support program established under the CARES Act (PSP1), AAG issued to Treasury warrants (PSP1 Warrants) to purchase up to an aggregate of approximately 14.0 million shares of AAG common stock for an exercise price of $12.51 per share, subject to adjustment.</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the Loan and Guarantee Agreement with Treasury (the Treasury Loan Agreement), AAG issued to Treasury warrants (Treasury Loan Warrants) to purchase up to an aggregate of approximately 4.4 million shares of AAG common stock for an exercise price of $12.51 per share, subject to adjustment.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PSP2, AAG issued to Treasury warrants (PSP2 Warrants) to purchase up to an aggregate of approximately 6.6 million shares of AAG common stock for an exercise price of $15.66 per share, subject to adjustment.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PSP3, AAG issued to Treasury warrants (PSP3 Warrants) to purchase up to an aggregate of approximately 4.4 million shares of AAG common stock for an exercise price of $21.75 per share, subject to adjustment.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ind w:left="260" w:right="9200" w:hanging="252"/>
        <w:spacing w:after="0" w:line="364" w:lineRule="auto"/>
        <w:tabs>
          <w:tab w:leader="none" w:pos="21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5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0" w:type="dxa"/>
            <w:vAlign w:val="bottom"/>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11"/>
        </w:trPr>
        <w:tc>
          <w:tcPr>
            <w:tcW w:w="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900" w:type="dxa"/>
            <w:vAlign w:val="bottom"/>
            <w:gridSpan w:val="2"/>
          </w:tcPr>
          <w:p>
            <w:pPr>
              <w:ind w:left="200"/>
              <w:spacing w:after="0"/>
              <w:rPr>
                <w:sz w:val="20"/>
                <w:szCs w:val="20"/>
                <w:color w:val="auto"/>
              </w:rPr>
            </w:pPr>
            <w:r>
              <w:rPr>
                <w:rFonts w:ascii="Arial" w:cs="Arial" w:eastAsia="Arial" w:hAnsi="Arial"/>
                <w:sz w:val="18"/>
                <w:szCs w:val="18"/>
                <w:color w:val="auto"/>
              </w:rPr>
              <w:t>Passenger travel</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16,177</w:t>
            </w:r>
          </w:p>
        </w:tc>
      </w:tr>
      <w:tr>
        <w:trPr>
          <w:trHeight w:val="230"/>
        </w:trPr>
        <w:tc>
          <w:tcPr>
            <w:tcW w:w="40" w:type="dxa"/>
            <w:vAlign w:val="bottom"/>
          </w:tcPr>
          <w:p>
            <w:pPr>
              <w:spacing w:after="0"/>
              <w:rPr>
                <w:sz w:val="19"/>
                <w:szCs w:val="19"/>
                <w:color w:val="auto"/>
              </w:rPr>
            </w:pPr>
          </w:p>
        </w:tc>
        <w:tc>
          <w:tcPr>
            <w:tcW w:w="59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3"/>
        </w:trPr>
        <w:tc>
          <w:tcPr>
            <w:tcW w:w="40" w:type="dxa"/>
            <w:vAlign w:val="bottom"/>
          </w:tcPr>
          <w:p>
            <w:pPr>
              <w:spacing w:after="0"/>
              <w:rPr>
                <w:sz w:val="19"/>
                <w:szCs w:val="19"/>
                <w:color w:val="auto"/>
              </w:rPr>
            </w:pPr>
          </w:p>
        </w:tc>
        <w:tc>
          <w:tcPr>
            <w:tcW w:w="590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17,682</w:t>
            </w:r>
          </w:p>
        </w:tc>
      </w:tr>
      <w:tr>
        <w:trPr>
          <w:trHeight w:val="230"/>
        </w:trPr>
        <w:tc>
          <w:tcPr>
            <w:tcW w:w="40" w:type="dxa"/>
            <w:vAlign w:val="bottom"/>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29"/>
        </w:trPr>
        <w:tc>
          <w:tcPr>
            <w:tcW w:w="4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9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30"/>
        </w:trPr>
        <w:tc>
          <w:tcPr>
            <w:tcW w:w="40" w:type="dxa"/>
            <w:vAlign w:val="bottom"/>
          </w:tcPr>
          <w:p>
            <w:pPr>
              <w:spacing w:after="0"/>
              <w:rPr>
                <w:sz w:val="19"/>
                <w:szCs w:val="19"/>
                <w:color w:val="auto"/>
              </w:rPr>
            </w:pPr>
          </w:p>
        </w:tc>
        <w:tc>
          <w:tcPr>
            <w:tcW w:w="59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40" w:type="dxa"/>
            <w:vAlign w:val="bottom"/>
          </w:tcPr>
          <w:p>
            <w:pPr>
              <w:spacing w:after="0"/>
              <w:rPr>
                <w:sz w:val="19"/>
                <w:szCs w:val="19"/>
                <w:color w:val="auto"/>
              </w:rPr>
            </w:pPr>
          </w:p>
        </w:tc>
        <w:tc>
          <w:tcPr>
            <w:tcW w:w="5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23"/>
        </w:trPr>
        <w:tc>
          <w:tcPr>
            <w:tcW w:w="40" w:type="dxa"/>
            <w:vAlign w:val="bottom"/>
          </w:tcPr>
          <w:p>
            <w:pPr>
              <w:spacing w:after="0"/>
              <w:rPr>
                <w:sz w:val="19"/>
                <w:szCs w:val="19"/>
                <w:color w:val="auto"/>
              </w:rPr>
            </w:pPr>
          </w:p>
        </w:tc>
        <w:tc>
          <w:tcPr>
            <w:tcW w:w="590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20,455</w:t>
            </w: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September 30, 2022 and 2021, cash payments from co-branded credit card and other partners were $1.0 billion and $835 million, respectively. During the nine months ended September 30, 2022 and 2021, cash payments from co-branded credit card and other partners were $3.4 billion and $2.6 billion, respectively.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48"/>
        </w:trPr>
        <w:tc>
          <w:tcPr>
            <w:tcW w:w="5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-1173480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7"/>
              </w:rPr>
              <w:t>9,135</w:t>
            </w:r>
          </w:p>
        </w:tc>
      </w:tr>
      <w:tr>
        <w:trPr>
          <w:trHeight w:val="229"/>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19"/>
                <w:szCs w:val="19"/>
                <w:color w:val="auto"/>
              </w:rPr>
            </w:pPr>
          </w:p>
        </w:tc>
        <w:tc>
          <w:tcPr>
            <w:tcW w:w="1080" w:type="dxa"/>
            <w:vAlign w:val="bottom"/>
          </w:tcPr>
          <w:p>
            <w:pPr>
              <w:jc w:val="center"/>
              <w:ind w:left="390"/>
              <w:spacing w:after="0"/>
              <w:rPr>
                <w:sz w:val="20"/>
                <w:szCs w:val="20"/>
                <w:color w:val="auto"/>
              </w:rPr>
            </w:pPr>
            <w:r>
              <w:rPr>
                <w:rFonts w:ascii="Arial" w:cs="Arial" w:eastAsia="Arial" w:hAnsi="Arial"/>
                <w:sz w:val="18"/>
                <w:szCs w:val="18"/>
                <w:color w:val="auto"/>
                <w:w w:val="97"/>
              </w:rPr>
              <w:t>2,367</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rPr>
              <w:t>(2,355)</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September 30, 2022 </w:t>
            </w:r>
            <w:r>
              <w:rPr>
                <w:rFonts w:ascii="Arial" w:cs="Arial" w:eastAsia="Arial" w:hAnsi="Arial"/>
                <w:sz w:val="23"/>
                <w:szCs w:val="23"/>
                <w:color w:val="auto"/>
                <w:vertAlign w:val="superscript"/>
              </w:rPr>
              <w:t>(2)</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7"/>
              </w:rPr>
              <w:t>9,147</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line="237"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September 30, 2022, our current loyalty program liability was $3.0 billion and represents our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continued impact of the COVID-19 pandemic, we will continue to monitor redemption patterns and may adjust our estimates in the future.</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2022, $4.4 billion of revenue was recognized in passenger revenue that was included in our air traffic liability at December 31, 2021. In response to the COVID-19 pandemic, we extended the contract duration for certain tickets to September 30, 2022, principally those tickets which were issued in 2020 and 2021. Additionally, we extended the contract duration to December 31, 2022 for tickets to certain international destinations. We also have eliminated change fees for most domestic and international tickets providing more flexibility for customers to change travel plans. Given this flexibility offered to our customers and the uncertainty surrounding the future demand for air travel, our estimates of revenue that will be recognized from the air traffic liability for future flown or unused tickets as well as our estimates of refunds may be subject to variability and differ from historical experience.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2013 Term Loan Facility, variable interest rate of 4.83%, installments through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4.87%, installments through 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December 2016 Term Loan Facility, variable interest rate of 4.82%, installments through</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2023</w:t>
            </w:r>
          </w:p>
        </w:tc>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AAdvantage Term Loan Facility, variable interest rate of 7.46%, installments beginning in July</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2023 through April 2028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7.13%, averaging 3.76%, maturing from 2022 to 2034</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3.21% to 6.29%, averaging 4.45%, maturing from 2022 to 2032</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0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PSP1 Promissory Note, interest only payments until due in April 2030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PSP2 Promissory Note, interest only payments until due in January 2031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PSP3 Promissory Note, interest only payments until due in April 2031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5.000% senior notes</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2022, the maximum availability under our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57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50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22</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4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has an undrawn $150 million short-term revolving credit facility, which was set to expire at the beginning of January 2022 but which has been extended through the beginning of January 2023. American also currently has $70 million of available borrowing base under a cargo receivables facility that was entered into in December 2020 and is set to expire in December 2022. The December 2016 Credit Facilities provide for a revolving credit facility that may be established thereunder in the future.</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September 30, 2022, the if-converted value of the 6.50% convertible senior notes due 2025 (the Convertible Notes) did not exceed the principal amount.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September 30, 2022. Accordingly, pursuant to the terms of the Convertible Notes Indenture, the holders of the Convertible Notes cannot convert at their option at any time during the quarter ending December 31, 2022.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2022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2021-1 Aircraft EETCs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2021, American created two pass-through trusts which issued $960 million aggregate face amount of Series 2021-1 Class A and Class B EETCs (the 2021-1 Aircraft EETCs) in connection with the financing of 26 aircraft previously delivered or originally scheduled to be delivered to American through September 2022 (the 2021-1 Aircraft). In 2021, $94 million of the proceeds had been used to purchase equipment notes issued by American in connection with the financing of five aircraft under the 2021-1 Aircraft EETCs, all of which was used to repay existing indebtedness. During the nine months ended September 30, 2022, $699 million of proceeds had been used to purchase equipment notes issued by American in connection with the financing of 17 aircraft under the 2021-1 Aircraft EETCs. Interest and principal payments on equipment notes issued in connection with the 2021-1 Aircraft EETCs are payable semi-annually in January and July of each year. Interest payments began in July 2022 and principal payments are scheduled to begin in January 2023. The remaining proceeds of $167 million as of September 30, 2022 were being held in escrow with a depositary for the benefit of the holders of the 2021-1 Aircraft EETCs until such time as American issues additional equipment notes with respect to the remaining 2021-1 Aircraft to the pass-through trusts, which will purchase such additional equipment notes with the escrowed funds. These escrowed funds are not guaranteed by American and are not reported as debt on its condensed consolidated balance sheets because the proceeds held by the depositary for the benefit of the holders of the 2021-1 Aircraft EETCs are not American’s assets.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September 30, 2022,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2021-1 Aircraft EETCs</w:t>
            </w:r>
          </w:p>
        </w:tc>
      </w:tr>
      <w:tr>
        <w:trPr>
          <w:trHeight w:val="209"/>
        </w:trPr>
        <w:tc>
          <w:tcPr>
            <w:tcW w:w="762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7"/>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8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48"/>
        </w:trPr>
        <w:tc>
          <w:tcPr>
            <w:tcW w:w="762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$133 million</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$34 million</w:t>
            </w:r>
          </w:p>
        </w:tc>
      </w:tr>
      <w:tr>
        <w:trPr>
          <w:trHeight w:val="26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3.95%</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July 2034</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nine months ended September 30, 2022, we repurchased $349 million of unsecured notes on the open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2021, we had approximately $17.2 billion of gross federal net operating losses (NOLs) and $3.0 billion of other carryforwards available to reduce future federal taxable income, of which $6.9 billion will expire beginning in 2024 if unused and $ 13.3 billion can be carried forward indefinitely. We also had approximately $6.0 billion of NOL carryforwards to reduce future state taxable income at December 31, 2021, which will expire in taxable years 2021 through 2041 if unused.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presently have a $34 million valuation allowance on certain net deferred tax assets related to state NOL carryforwards. There can be no assurance that an additional valuation allowance on our net deferred tax assets will not be required. Such valuation allowance could be material.</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August 16, 2022, the Inflation Reduction Act (the IRA) was signed into law in the U.S. Among other changes, the IRA introduced a corporate minimum tax on certain corporations with average adjusted financial statement income over a three-tax year period in excess of $1.0 billion and an excise tax on certain stock repurchases by certain covered corporations for taxable years beginning after December 31, 2022 and several tax incentives to promote clean energy. Based on our current analysis and pending future guidance to be issued by Treasury, we do not believe these provisions will have a material impact on our consolidated financial statements.</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three and nine months ended September 30, 2022, we recorded an income tax provision of $175 million and an income tax benefit of $148 million, respectively.</w:t>
      </w:r>
    </w:p>
    <w:p>
      <w:pPr>
        <w:spacing w:after="0" w:line="180" w:lineRule="exact"/>
        <w:rPr>
          <w:sz w:val="20"/>
          <w:szCs w:val="20"/>
          <w:color w:val="auto"/>
        </w:rPr>
      </w:pPr>
    </w:p>
    <w:p>
      <w:pPr>
        <w:ind w:left="260" w:right="6540" w:hanging="252"/>
        <w:spacing w:after="0" w:line="364" w:lineRule="auto"/>
        <w:tabs>
          <w:tab w:leader="none" w:pos="217"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primarily utilize broker quotes in a non-active market for valuation of these securities. No changes in valuation techniques or inputs occurred during the nine months ended September 30,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2022</w:t>
            </w:r>
          </w:p>
        </w:tc>
        <w:tc>
          <w:tcPr>
            <w:tcW w:w="8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left="340" w:hanging="332"/>
        <w:spacing w:after="0" w:line="237"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John F. Kennedy International Airport.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Vertical and GOL. These investments are reflected in other assets on the condensed consolidated balance sheets.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September 30, 2022 and December 31, 2021, which would have been classified as Level 3 in the fair value hierarchy. The fair value of the Convertible Notes, which would have been classified as Level 2, was $1.0 billion and $1.4 billion as of September 30, 2022 and December 31, 2021, respectively.</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61"/>
        </w:trPr>
        <w:tc>
          <w:tcPr>
            <w:tcW w:w="5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197"/>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9"/>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36,158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37,323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38,567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alliances, joint business and codeshare relationships, and, in certain instances, by making an equity investment in another airline or other companies.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GOL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2022, we completed our definitive investment agreement with GOL and invested $ 200 million in 22.2 million of newly issued preferred shares, representing a 5.3% economic interest in GOL. The total consideration of $200 million has been allocated as follows based on relative fair values: $81 million to the preferred shares and $119 million to the indefinite-lived intangible asset derived from the related commercial agreements. The ownership interest is accounted for at fair value based on GOL’s stock price and mark-to-market adjustments are recorded to nonoperating other income, net on the condensed consolidated statements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in the condensed consolidated statements of operations.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first quarter of 2021, we remeasured our retiree medical and other postretirement benefits to account for enhanced healthcare benefits provided to eligible team members who opted into voluntary early retirement programs offered as a result of reductions to our operation due to the COVID-19 pandemic. For the nine months ended September 30, 2021, we recognized a $139 million special charge for these enhanced healthcare benefits and increased our postretirement benefits obligation by $139 million.</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March 11, 2021, the ARP was enacted, which included funding relief provisions benefiting single employer qualified retirement benefit pension plans such as those sponsored by us. Based on the ARP provisions applicable to our pension plans, we will have no additional funding requirements until 2023.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Retiree</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Medical and</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Postretirement</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Investments</w:t>
            </w:r>
          </w:p>
        </w:tc>
        <w:tc>
          <w:tcPr>
            <w:tcW w:w="140" w:type="dxa"/>
            <w:vAlign w:val="bottom"/>
          </w:tcPr>
          <w:p>
            <w:pPr>
              <w:spacing w:after="0"/>
              <w:rPr>
                <w:sz w:val="16"/>
                <w:szCs w:val="16"/>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21" w:right="33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Amounts reclassified from AOCI</w:t>
            </w:r>
          </w:p>
        </w:tc>
        <w:tc>
          <w:tcPr>
            <w:tcW w:w="800" w:type="dxa"/>
            <w:vAlign w:val="bottom"/>
            <w:tcBorders>
              <w:bottom w:val="single" w:sz="8" w:color="auto"/>
            </w:tcBorders>
          </w:tcPr>
          <w:p>
            <w:pPr>
              <w:spacing w:after="0"/>
              <w:rPr>
                <w:sz w:val="17"/>
                <w:szCs w:val="17"/>
                <w:color w:val="auto"/>
              </w:rPr>
            </w:pPr>
          </w:p>
        </w:tc>
      </w:tr>
      <w:tr>
        <w:trPr>
          <w:trHeight w:val="161"/>
        </w:trPr>
        <w:tc>
          <w:tcPr>
            <w:tcW w:w="3120" w:type="dxa"/>
            <w:vAlign w:val="bottom"/>
          </w:tcPr>
          <w:p>
            <w:pPr>
              <w:spacing w:after="0"/>
              <w:rPr>
                <w:sz w:val="13"/>
                <w:szCs w:val="13"/>
                <w:color w:val="auto"/>
              </w:rPr>
            </w:pPr>
          </w:p>
        </w:tc>
        <w:tc>
          <w:tcPr>
            <w:tcW w:w="212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120" w:type="dxa"/>
            <w:vAlign w:val="bottom"/>
          </w:tcPr>
          <w:p>
            <w:pPr>
              <w:spacing w:after="0"/>
              <w:rPr>
                <w:sz w:val="16"/>
                <w:szCs w:val="16"/>
                <w:color w:val="auto"/>
              </w:rPr>
            </w:pPr>
          </w:p>
        </w:tc>
        <w:tc>
          <w:tcPr>
            <w:tcW w:w="2120" w:type="dxa"/>
            <w:vAlign w:val="bottom"/>
            <w:gridSpan w:val="3"/>
          </w:tcPr>
          <w:p>
            <w:pPr>
              <w:ind w:left="500"/>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194"/>
        </w:trPr>
        <w:tc>
          <w:tcPr>
            <w:tcW w:w="31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78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172200" cy="386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Affected line items on the</w:t>
      </w:r>
    </w:p>
    <w:p>
      <w:pPr>
        <w:ind w:left="40"/>
        <w:spacing w:after="0" w:line="223" w:lineRule="auto"/>
        <w:rPr>
          <w:sz w:val="20"/>
          <w:szCs w:val="20"/>
          <w:color w:val="auto"/>
        </w:rPr>
      </w:pPr>
      <w:r>
        <w:rPr>
          <w:rFonts w:ascii="Arial" w:cs="Arial" w:eastAsia="Arial" w:hAnsi="Arial"/>
          <w:sz w:val="14"/>
          <w:szCs w:val="14"/>
          <w:b w:val="1"/>
          <w:bCs w:val="1"/>
          <w:color w:val="auto"/>
        </w:rPr>
        <w:t>condensed consolidated</w:t>
      </w:r>
    </w:p>
    <w:p>
      <w:pPr>
        <w:ind w:left="20"/>
        <w:spacing w:after="0"/>
        <w:rPr>
          <w:sz w:val="20"/>
          <w:szCs w:val="20"/>
          <w:color w:val="auto"/>
        </w:rPr>
      </w:pPr>
      <w:r>
        <w:rPr>
          <w:rFonts w:ascii="Arial" w:cs="Arial" w:eastAsia="Arial" w:hAnsi="Arial"/>
          <w:sz w:val="14"/>
          <w:szCs w:val="14"/>
          <w:b w:val="1"/>
          <w:bCs w:val="1"/>
          <w:color w:val="auto"/>
        </w:rPr>
        <w:t>statements of operations</w:t>
      </w:r>
    </w:p>
    <w:p>
      <w:pPr>
        <w:spacing w:after="0" w:line="17" w:lineRule="exact"/>
        <w:rPr>
          <w:sz w:val="20"/>
          <w:szCs w:val="20"/>
          <w:color w:val="auto"/>
        </w:rPr>
      </w:pPr>
    </w:p>
    <w:p>
      <w:pPr>
        <w:sectPr>
          <w:pgSz w:w="11900" w:h="16838" w:orient="portrait"/>
          <w:cols w:equalWidth="0" w:num="2">
            <w:col w:w="7260" w:space="420"/>
            <w:col w:w="35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Amortization of pension, retiree</w:t>
      </w:r>
    </w:p>
    <w:p>
      <w:pPr>
        <w:ind w:left="180"/>
        <w:spacing w:after="0" w:line="203" w:lineRule="auto"/>
        <w:rPr>
          <w:sz w:val="20"/>
          <w:szCs w:val="20"/>
          <w:color w:val="auto"/>
        </w:rPr>
      </w:pPr>
      <w:r>
        <w:rPr>
          <w:rFonts w:ascii="Arial" w:cs="Arial" w:eastAsia="Arial" w:hAnsi="Arial"/>
          <w:sz w:val="18"/>
          <w:szCs w:val="18"/>
          <w:color w:val="auto"/>
        </w:rPr>
        <w:t>medical and other postretirement</w:t>
      </w:r>
    </w:p>
    <w:p>
      <w:pPr>
        <w:ind w:left="180"/>
        <w:spacing w:after="0"/>
        <w:rPr>
          <w:sz w:val="20"/>
          <w:szCs w:val="20"/>
          <w:color w:val="auto"/>
        </w:rPr>
      </w:pPr>
      <w:r>
        <w:rPr>
          <w:rFonts w:ascii="Arial" w:cs="Arial" w:eastAsia="Arial" w:hAnsi="Arial"/>
          <w:sz w:val="18"/>
          <w:szCs w:val="18"/>
          <w:color w:val="auto"/>
        </w:rPr>
        <w:t>benefits:</w:t>
      </w:r>
    </w:p>
    <w:tbl>
      <w:tblPr>
        <w:tblLayout w:type="fixed"/>
        <w:tblInd w:w="0" w:type="dxa"/>
        <w:tblCellMar>
          <w:top w:w="0" w:type="dxa"/>
          <w:left w:w="0" w:type="dxa"/>
          <w:bottom w:w="0" w:type="dxa"/>
          <w:right w:w="0" w:type="dxa"/>
        </w:tblCellMar>
      </w:tblPr>
      <w:tr>
        <w:trPr>
          <w:trHeight w:val="207"/>
        </w:trPr>
        <w:tc>
          <w:tcPr>
            <w:tcW w:w="3140" w:type="dxa"/>
            <w:vAlign w:val="bottom"/>
            <w:vMerge w:val="restart"/>
          </w:tcPr>
          <w:p>
            <w:pPr>
              <w:ind w:left="360"/>
              <w:spacing w:after="0"/>
              <w:rPr>
                <w:sz w:val="20"/>
                <w:szCs w:val="20"/>
                <w:color w:val="auto"/>
              </w:rPr>
            </w:pPr>
            <w:r>
              <w:rPr>
                <w:rFonts w:ascii="Arial" w:cs="Arial" w:eastAsia="Arial" w:hAnsi="Arial"/>
                <w:sz w:val="18"/>
                <w:szCs w:val="18"/>
                <w:color w:val="auto"/>
              </w:rPr>
              <w:t>Prior service cost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2460" w:type="dxa"/>
            <w:vAlign w:val="bottom"/>
          </w:tcPr>
          <w:p>
            <w:pPr>
              <w:ind w:left="16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5"/>
        </w:trPr>
        <w:tc>
          <w:tcPr>
            <w:tcW w:w="314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7"/>
        </w:trPr>
        <w:tc>
          <w:tcPr>
            <w:tcW w:w="31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3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460" w:type="dxa"/>
            <w:vAlign w:val="bottom"/>
            <w:shd w:val="clear" w:color="auto" w:fill="CCEEFF"/>
          </w:tcPr>
          <w:p>
            <w:pPr>
              <w:ind w:left="160"/>
              <w:spacing w:after="0" w:line="197"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5"/>
        </w:trPr>
        <w:tc>
          <w:tcPr>
            <w:tcW w:w="3140" w:type="dxa"/>
            <w:vAlign w:val="bottom"/>
            <w:vMerge w:val="continue"/>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64"/>
        </w:trPr>
        <w:tc>
          <w:tcPr>
            <w:tcW w:w="3140" w:type="dxa"/>
            <w:vAlign w:val="bottom"/>
          </w:tcPr>
          <w:p>
            <w:pPr>
              <w:ind w:left="20"/>
              <w:spacing w:after="0" w:line="163" w:lineRule="exact"/>
              <w:rPr>
                <w:sz w:val="20"/>
                <w:szCs w:val="20"/>
                <w:color w:val="auto"/>
              </w:rPr>
            </w:pPr>
            <w:r>
              <w:rPr>
                <w:rFonts w:ascii="Arial" w:cs="Arial" w:eastAsia="Arial" w:hAnsi="Arial"/>
                <w:sz w:val="18"/>
                <w:szCs w:val="18"/>
                <w:color w:val="auto"/>
              </w:rPr>
              <w:t>Total reclassifications for the period,</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4"/>
                <w:szCs w:val="14"/>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4"/>
                <w:szCs w:val="14"/>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119</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38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Substantially all of our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for the three months ended September 30, 2022 and 2021 include $81 million and $78 million of depreciation and amortization, respectively, and $1 million of aircraft rent. Regional expenses for the nine months ended September 30, 2022 and 2021 include $240 million and $236 million of depreciation and amortization, respectively, and $4 million and $5 million of aircraft rent, respectively.</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September 30, 2022 and 2021, we recognized $ 152 million and $125 million, respectively, of expense under our capacity purchase agreement with Republic Airways Inc. (Republic). During the nine months ended September 30, 2022 and 2021, we recognized $ 462 million and $343 million, respectively, of expense under our capacity purchase agreement with Republic. We hold a 25% equity interest in Republic Airways Holdings Inc., the parent company of Republic.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On March 25, 2022, the U.S. District Court for the Southern District of New York entered judgment affirming the Bankruptcy Court's decision. Plaintiffs have appealed that decision to the United States Court of Appeals for the Second Circuit, and filed their opening brief on August 3, 2022. We believe this lawsuit is without merit and intend to continue to vigorously defend against it, including against any further appeals by plaintiffs.</w:t>
      </w:r>
    </w:p>
    <w:p>
      <w:pPr>
        <w:spacing w:after="0" w:line="1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arrangement (NEA). The parties are currently presenting their respective cases in a bench trial that commenced on September 27, 2022. We believe the complaint is without merit and are defending against it vigorously.</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 On September 30, 2022, the DOT issued a further statement referencing the prior Clarification Notice and, among other things, indicating its intention to continue working with the DOJ in its efforts to resolve the ongoing proceedings regarding the Northeast Alliance.</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32,438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17,682</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8,607</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20,636</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1"/>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10,898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12,155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1,968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1,484</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Receivables from related parties, net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5,547</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1,692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95"/>
        </w:trPr>
        <w:tc>
          <w:tcPr>
            <w:tcW w:w="776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23,668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22,712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Flight equipment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38,810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37,520</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Ground property and equipment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8,966</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Equipment purchase deposits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at cost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47,003</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(19,059)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(17,770)</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net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29,233</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7,484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7,810</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Intangibles, net of accumulated amortization of $816 and $786, respectively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Deferred tax asset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3,408</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1,903</w:t>
            </w:r>
          </w:p>
        </w:tc>
        <w:tc>
          <w:tcPr>
            <w:tcW w:w="0" w:type="dxa"/>
            <w:vAlign w:val="bottom"/>
          </w:tcPr>
          <w:p>
            <w:pPr>
              <w:spacing w:after="0"/>
              <w:rPr>
                <w:sz w:val="1"/>
                <w:szCs w:val="1"/>
                <w:color w:val="auto"/>
              </w:rPr>
            </w:pPr>
          </w:p>
        </w:tc>
      </w:tr>
      <w:tr>
        <w:trPr>
          <w:trHeight w:val="195"/>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other assets</w:t>
            </w: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11,390</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72,169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71,145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2,742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1,742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Accrued salaries and wages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1,489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1,385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 traffic liability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6,087</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3,006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2,896</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accrued liabilities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17,864</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30,352</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5,020</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6,239</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6,231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6,578</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1,266</w:t>
            </w:r>
          </w:p>
        </w:tc>
        <w:tc>
          <w:tcPr>
            <w:tcW w:w="0" w:type="dxa"/>
            <w:vAlign w:val="bottom"/>
          </w:tcPr>
          <w:p>
            <w:pPr>
              <w:spacing w:after="0"/>
              <w:rPr>
                <w:sz w:val="1"/>
                <w:szCs w:val="1"/>
                <w:color w:val="auto"/>
              </w:rPr>
            </w:pPr>
          </w:p>
        </w:tc>
      </w:tr>
      <w:tr>
        <w:trPr>
          <w:trHeight w:val="195"/>
        </w:trPr>
        <w:tc>
          <w:tcPr>
            <w:tcW w:w="776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47,160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49,455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17,211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17,152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(6,041)</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Retained deficit</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(7,285)</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3,826</w:t>
            </w:r>
          </w:p>
        </w:tc>
        <w:tc>
          <w:tcPr>
            <w:tcW w:w="0" w:type="dxa"/>
            <w:vAlign w:val="bottom"/>
          </w:tcPr>
          <w:p>
            <w:pPr>
              <w:spacing w:after="0"/>
              <w:rPr>
                <w:sz w:val="1"/>
                <w:szCs w:val="1"/>
                <w:color w:val="auto"/>
              </w:rPr>
            </w:pPr>
          </w:p>
        </w:tc>
      </w:tr>
      <w:tr>
        <w:trPr>
          <w:trHeight w:val="195"/>
        </w:trPr>
        <w:tc>
          <w:tcPr>
            <w:tcW w:w="77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72,169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71,145</w:t>
            </w: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Airport construction projects, net of reimbursements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(12,113)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(15,145)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 of equity investments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(7,683)</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(6,615)</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Operating lease conversion to finance lease</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investments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Finance lease conversion to operating lease</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2021. American is the principal wholly-owned subsidiary of American Airlines Group Inc. (AAG). All significant intercompany transactions have been eliminated.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and rapid recovery in demand for air travel which continued into the third quarter of 2022. The continued impact of the COVID-19 pandemic, including any increases in infection rates, new variants and renewed governmental action to slow the spread of COVID-19 cannot be estimated. American will continue to match its forward capacity with observed booking trends for future travel and make further adjustments to American's capacity as needed.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24"/>
        </w:trPr>
        <w:tc>
          <w:tcPr>
            <w:tcW w:w="59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70"/>
        </w:trPr>
        <w:tc>
          <w:tcPr>
            <w:tcW w:w="5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40" w:type="dxa"/>
            <w:vAlign w:val="bottom"/>
          </w:tcPr>
          <w:p>
            <w:pPr>
              <w:spacing w:after="0"/>
              <w:rPr>
                <w:sz w:val="19"/>
                <w:szCs w:val="19"/>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594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(4,498)</w:t>
            </w:r>
          </w:p>
        </w:tc>
      </w:tr>
      <w:tr>
        <w:trPr>
          <w:trHeight w:val="270"/>
        </w:trPr>
        <w:tc>
          <w:tcPr>
            <w:tcW w:w="5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(4)</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8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94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5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9"/>
        </w:trPr>
        <w:tc>
          <w:tcPr>
            <w:tcW w:w="594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840" w:type="dxa"/>
            <w:vAlign w:val="bottom"/>
          </w:tcPr>
          <w:p>
            <w:pPr>
              <w:spacing w:after="0"/>
              <w:rPr>
                <w:sz w:val="20"/>
                <w:szCs w:val="20"/>
                <w:color w:val="auto"/>
              </w:rPr>
            </w:pPr>
          </w:p>
        </w:tc>
        <w:tc>
          <w:tcPr>
            <w:tcW w:w="8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(Treasury) pursuant to the payroll support program established under the PSP Extension Law (PSP2) and the American Rescue Plan Act of 2021 (ARP) (PSP3).</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related to American's voluntary early retirement programs for the three and nine months ended September 30, 2022 were approximately $40 million and $180 million, respectively, and approximately $190 million and $480 million for the three and nine months ended September 30, 2021, respectively.</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American's equity investments in GOL Linhas Aéreas Inteligentes S.A. (GOL), Vertical Aerospace Ltd. (Vertical) and China Southern Airlines Company Limited (China Southern Airlines).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9200" w:hanging="252"/>
        <w:spacing w:after="0" w:line="364" w:lineRule="auto"/>
        <w:tabs>
          <w:tab w:leader="none" w:pos="217"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6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9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30,150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16,177</w:t>
            </w:r>
          </w:p>
        </w:tc>
      </w:tr>
      <w:tr>
        <w:trPr>
          <w:trHeight w:val="229"/>
        </w:trPr>
        <w:tc>
          <w:tcPr>
            <w:tcW w:w="5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r>
      <w:tr>
        <w:trPr>
          <w:trHeight w:val="223"/>
        </w:trPr>
        <w:tc>
          <w:tcPr>
            <w:tcW w:w="5940" w:type="dxa"/>
            <w:vAlign w:val="bottom"/>
          </w:tcPr>
          <w:p>
            <w:pPr>
              <w:ind w:left="460"/>
              <w:spacing w:after="0"/>
              <w:rPr>
                <w:sz w:val="20"/>
                <w:szCs w:val="20"/>
                <w:color w:val="auto"/>
              </w:rPr>
            </w:pPr>
            <w:r>
              <w:rPr>
                <w:rFonts w:ascii="Arial" w:cs="Arial" w:eastAsia="Arial" w:hAnsi="Arial"/>
                <w:sz w:val="18"/>
                <w:szCs w:val="18"/>
                <w:color w:val="auto"/>
              </w:rPr>
              <w:t>Total passenger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17,682</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973</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1,571</w:t>
            </w:r>
          </w:p>
        </w:tc>
      </w:tr>
      <w:tr>
        <w:trPr>
          <w:trHeight w:val="229"/>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w:t>
            </w:r>
          </w:p>
        </w:tc>
      </w:tr>
      <w:tr>
        <w:trPr>
          <w:trHeight w:val="223"/>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r>
      <w:tr>
        <w:trPr>
          <w:trHeight w:val="223"/>
        </w:trPr>
        <w:tc>
          <w:tcPr>
            <w:tcW w:w="5940" w:type="dxa"/>
            <w:vAlign w:val="bottom"/>
          </w:tcPr>
          <w:p>
            <w:pPr>
              <w:ind w:left="6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20,454</w:t>
            </w:r>
          </w:p>
        </w:tc>
      </w:tr>
      <w:tr>
        <w:trPr>
          <w:trHeight w:val="21"/>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September 30, 2022 and 2021, cash payments from co-branded credit card and other partners were $1.0 billion and $835 million, respectively. During the nine months ended September 30, 2022 and 2021, cash payments from co-branded credit card and other partners were $3.4 billion and $2.6 billion, respectively.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48"/>
        </w:trPr>
        <w:tc>
          <w:tcPr>
            <w:tcW w:w="5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-1173480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7"/>
              </w:rPr>
              <w:t>9,135</w:t>
            </w:r>
          </w:p>
        </w:tc>
      </w:tr>
      <w:tr>
        <w:trPr>
          <w:trHeight w:val="229"/>
        </w:trPr>
        <w:tc>
          <w:tcPr>
            <w:tcW w:w="9460" w:type="dxa"/>
            <w:vAlign w:val="bottom"/>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center"/>
              <w:ind w:left="450"/>
              <w:spacing w:after="0"/>
              <w:rPr>
                <w:sz w:val="20"/>
                <w:szCs w:val="20"/>
                <w:color w:val="auto"/>
              </w:rPr>
            </w:pPr>
            <w:r>
              <w:rPr>
                <w:rFonts w:ascii="Arial" w:cs="Arial" w:eastAsia="Arial" w:hAnsi="Arial"/>
                <w:sz w:val="18"/>
                <w:szCs w:val="18"/>
                <w:color w:val="auto"/>
                <w:w w:val="97"/>
              </w:rPr>
              <w:t>2,367</w:t>
            </w:r>
          </w:p>
        </w:tc>
      </w:tr>
      <w:tr>
        <w:trPr>
          <w:trHeight w:val="230"/>
        </w:trPr>
        <w:tc>
          <w:tcPr>
            <w:tcW w:w="9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rPr>
              <w:t>(2,355)</w:t>
            </w:r>
          </w:p>
        </w:tc>
      </w:tr>
      <w:tr>
        <w:trPr>
          <w:trHeight w:val="223"/>
        </w:trPr>
        <w:tc>
          <w:tcPr>
            <w:tcW w:w="94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Balance at September 30, 2022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7"/>
              </w:rPr>
              <w:t>9,147</w:t>
            </w:r>
          </w:p>
        </w:tc>
      </w:tr>
      <w:tr>
        <w:trPr>
          <w:trHeight w:val="21"/>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September 30, 2022, American's current loyalty program liability was $3.0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continued impact of the COVID-19 pandemic, American will continue to monitor redemption patterns and may adjust its estimates in the future.</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2022, $4.4 billion of revenue was recognized in passenger revenue that was included in American's air traffic liability at December 31, 2021. In response to the COVID-19 pandemic, American extended the contract duration for certain tickets to September 30, 2022, principally those tickets which were issued in 2020 and 2021. Additionally, American extended the contract duration to December 31, 2022 for tickets to certain international destinations. American also has eliminated change fees for most domestic and international tickets providing more flexibility for customers to change travel plans. Given this flexibility offered to its customers and the uncertainty surrounding the future demand for air travel, American's estimates of revenue that will be recognized from the air traffic liability for future flown or unused tickets as well as its estimates of refunds may be subject to variability and differ from historical experience.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4.83%, installments through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4.87%, installments through 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December 2016 Term Loan Facility, variable interest rate of 4.82%, installments through</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w w:val="99"/>
              </w:rPr>
              <w:t>AAdvantage Term Loan Facility, variable interest rate of 7.46%, installments beginning in July</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line="243" w:lineRule="exact"/>
              <w:rPr>
                <w:sz w:val="20"/>
                <w:szCs w:val="20"/>
                <w:color w:val="auto"/>
              </w:rPr>
            </w:pPr>
            <w:r>
              <w:rPr>
                <w:rFonts w:ascii="Arial" w:cs="Arial" w:eastAsia="Arial" w:hAnsi="Arial"/>
                <w:sz w:val="18"/>
                <w:szCs w:val="18"/>
                <w:color w:val="auto"/>
              </w:rPr>
              <w:t xml:space="preserve">2023 through April 2028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7.13%, averaging 3.76%, maturing from 2022 to 2034</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3.21% to 6.29%, averaging 4.45%, maturing from 2022 to 2032</w:t>
            </w: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31,313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112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0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2022, the maximum availability under American's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has an undrawn $150 million short-term revolving credit facility, which was set to expire at the beginning of January 2022 but which has been extended through the beginning of January 2023. American also currently has $70 million of available borrowing base under a cargo receivables facility that was entered into in December 2020 and is set to expire in December 2022. The December 2016 Credit Facilities provide for a revolving credit facility that may be established thereunder in the future.</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2022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2021-1 Aircraft EETCs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2021, American created two pass-through trusts which issued $960 million aggregate face amount of Series 2021-1 Class A and Class B EETCs (the 2021-1 Aircraft EETCs) in connection with the financing of 26 aircraft previously delivered or originally scheduled to be delivered to American through September 2022 (the 2021-1 Aircraft). In 2021, $94 million of the proceeds had been used to purchase equipment notes issued by American in connection with the financing of five aircraft under the 2021-1 Aircraft EETCs, all of which was used to repay existing indebtedness. During the nine months ended September 30, 2022, $699 million of proceeds had been used to purchase equipment notes issued by American in connection with the financing of 17 aircraft under the 2021-1 Aircraft EETCs. Interest and principal payments on equipment notes issued in connection with the 2021-1 Aircraft EETCs are payable semi-annually in January and July of each year. Interest payments began in July 2022 and principal payments are scheduled to begin in January 2023. The remaining proceeds of $167 million as of September 30, 2022 were being held in escrow with a depositary for the benefit of the holders of the 2021-1 Aircraft EETCs until such time as American issues additional equipment notes with respect to the remaining 2021-1 Aircraft to the pass-through trusts, which will purchase such additional equipment notes with the escrowed funds. These escrowed funds are not guaranteed by American and are not reported as debt on its condensed consolidated balance sheets because the proceeds held by the depositary for the benefit of the holders of the 2021-1 Aircraft EETCs are not American’s assets.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September 30, 2022,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2021-1 Aircraft EETCs</w:t>
            </w:r>
          </w:p>
        </w:tc>
      </w:tr>
      <w:tr>
        <w:trPr>
          <w:trHeight w:val="210"/>
        </w:trPr>
        <w:tc>
          <w:tcPr>
            <w:tcW w:w="762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7"/>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8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48"/>
        </w:trPr>
        <w:tc>
          <w:tcPr>
            <w:tcW w:w="762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$133 million</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$34 million</w:t>
            </w:r>
          </w:p>
        </w:tc>
      </w:tr>
      <w:tr>
        <w:trPr>
          <w:trHeight w:val="26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3.95%</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July 2034</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2021, American had approximately $17.1 billion of gross federal net operating losses (NOLs) and $2.4 billion of other carryforwards available to reduce future federal taxable income, of which $7.3 billion will expire beginning in 2024 if unused and $12.2 billion can be carried forward indefinitely. American is a member of AAG’s consolidated federal and certain state income tax returns. American also had approximately $6.0 billion of NOL carryforwards to reduce future state taxable income at December 31, 2021, which will expire in taxable years 2021 through 2041 if unused.</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presently has a $24 million valuation allowance on certain net deferred tax assets related to state NOL carryforwards. There can be no assurance that an additional valuation allowance on American's net deferred tax assets will not be required. Such valuation allowance could be material.</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August 16, 2022, the Inflation Reduction Act (the IRA) was signed into law in the U.S. Among other changes, the IRA introduced a corporate minimum tax on certain corporations with average adjusted financial statement income over a three-tax year period in excess of $1.0 billion and an excise tax on certain stock repurchases by certain covered corporations for taxable years beginning after December 31, 2022 and several tax incentives to promote clean energy. Based on American's current analysis and pending future guidance to be issued by Treasury, American does not believe these provisions will have a material impact on its consolidated financial statements.</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three and nine months ended September 30, 2022, American recorded an income tax provision of $180 million and an income tax benefit of $115 million,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6540" w:hanging="252"/>
        <w:spacing w:after="0" w:line="364" w:lineRule="auto"/>
        <w:tabs>
          <w:tab w:leader="none" w:pos="217"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primarily utilize broker quotes in a non-active market for valuation of these securities. No changes in valuation techniques or inputs occurred during the nine months ended September 30,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rPr>
              <w:t>Fair Value Measurements as of September 30, 2022</w:t>
            </w:r>
          </w:p>
        </w:tc>
        <w:tc>
          <w:tcPr>
            <w:tcW w:w="106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John F. Kennedy International Airport.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American's equity investments in China Southern Airlines, Vertical and GOL. These investments are reflected in other assets on the condensed consolidated balance sheets.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47"/>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20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30,935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32,999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An important part of American's strategy to expand its network has been to initiate or expand its commercial relationships with other airlines, such as by entering into global alliances, joint business and codeshare relationships, and, in certain instances, by making an equity investment in another airline or other companies.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GOL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2022, American completed its definitive investment agreement with GOL and invested $200 million in 22.2 million of newly issued preferred shares, representing a 5.3% economic interest in GOL. The total consideration of $200 million has been allocated as follows based on relative fair values: $81 million to the preferred shares and $119 million to the indefinite-lived intangible asset derived from the related commercial agreements. The ownership interest is accounted for at fair value based on GOL’s stock price and mark-to-market adjustments are recorded to nonoperating other income, net on the condensed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in the condensed consolidated statements of operations.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first quarter of 2021, American remeasured its retiree medical and other postretirement benefits to account for enhanced healthcare benefits provided to eligible team members who opted into voluntary early retirement programs offered as a result of reductions to its operation due to the COVID-19 pandemic. For the nine months ended September 30, 2021, American recognized a $139 million special charge for these enhanced healthcare benefits and increased its postretirement benefits obligation by $139 million.</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March 11, 2021, the ARP was enacted, which included funding relief provisions benefiting single employer qualified retirement benefit pension plans such as those sponsored by American. Based on the ARP provisions applicable to its pension plans, American will have no additional funding requirements until 2023.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Retiree</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Medical and</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Postretirement</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Investments</w:t>
            </w:r>
          </w:p>
        </w:tc>
        <w:tc>
          <w:tcPr>
            <w:tcW w:w="140" w:type="dxa"/>
            <w:vAlign w:val="bottom"/>
          </w:tcPr>
          <w:p>
            <w:pPr>
              <w:spacing w:after="0"/>
              <w:rPr>
                <w:sz w:val="16"/>
                <w:szCs w:val="16"/>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22" w:right="33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Amounts reclassified from AOCI</w:t>
            </w:r>
          </w:p>
        </w:tc>
        <w:tc>
          <w:tcPr>
            <w:tcW w:w="920" w:type="dxa"/>
            <w:vAlign w:val="bottom"/>
            <w:tcBorders>
              <w:bottom w:val="single" w:sz="8" w:color="auto"/>
            </w:tcBorders>
          </w:tcPr>
          <w:p>
            <w:pPr>
              <w:spacing w:after="0"/>
              <w:rPr>
                <w:sz w:val="17"/>
                <w:szCs w:val="17"/>
                <w:color w:val="auto"/>
              </w:rPr>
            </w:pPr>
          </w:p>
        </w:tc>
      </w:tr>
      <w:tr>
        <w:trPr>
          <w:trHeight w:val="161"/>
        </w:trPr>
        <w:tc>
          <w:tcPr>
            <w:tcW w:w="3840" w:type="dxa"/>
            <w:vAlign w:val="bottom"/>
          </w:tcPr>
          <w:p>
            <w:pPr>
              <w:spacing w:after="0"/>
              <w:rPr>
                <w:sz w:val="13"/>
                <w:szCs w:val="13"/>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40" w:type="dxa"/>
            <w:vAlign w:val="bottom"/>
          </w:tcPr>
          <w:p>
            <w:pPr>
              <w:spacing w:after="0"/>
              <w:rPr>
                <w:sz w:val="16"/>
                <w:szCs w:val="16"/>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4"/>
        </w:trPr>
        <w:tc>
          <w:tcPr>
            <w:tcW w:w="38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ind w:right="520" w:hanging="19"/>
        <w:spacing w:after="0" w:line="245"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380" w:space="620"/>
            <w:col w:w="2240"/>
          </w:cols>
          <w:pgMar w:left="320" w:top="122" w:right="339" w:bottom="1440" w:gutter="0" w:footer="0" w:header="0"/>
          <w:type w:val="continuous"/>
        </w:sectPr>
      </w:pPr>
    </w:p>
    <w:p>
      <w:pPr>
        <w:ind w:left="20"/>
        <w:spacing w:after="0" w:line="236" w:lineRule="auto"/>
        <w:rPr>
          <w:sz w:val="20"/>
          <w:szCs w:val="20"/>
          <w:color w:val="auto"/>
        </w:rPr>
      </w:pPr>
      <w:r>
        <w:rPr>
          <w:rFonts w:ascii="Arial" w:cs="Arial" w:eastAsia="Arial" w:hAnsi="Arial"/>
          <w:sz w:val="18"/>
          <w:szCs w:val="18"/>
          <w:color w:val="auto"/>
        </w:rPr>
        <w:t>Amortization of pension, retiree medical and</w:t>
      </w:r>
    </w:p>
    <w:p>
      <w:pPr>
        <w:ind w:left="180"/>
        <w:spacing w:after="0"/>
        <w:rPr>
          <w:sz w:val="20"/>
          <w:szCs w:val="20"/>
          <w:color w:val="auto"/>
        </w:rPr>
      </w:pPr>
      <w:r>
        <w:rPr>
          <w:rFonts w:ascii="Arial" w:cs="Arial" w:eastAsia="Arial" w:hAnsi="Arial"/>
          <w:sz w:val="18"/>
          <w:szCs w:val="18"/>
          <w:color w:val="auto"/>
        </w:rPr>
        <w:t>other postretirement benefits: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6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840" w:type="dxa"/>
            <w:vAlign w:val="bottom"/>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840" w:type="dxa"/>
            <w:vAlign w:val="bottom"/>
          </w:tcPr>
          <w:p>
            <w:pPr>
              <w:spacing w:after="0"/>
              <w:rPr>
                <w:sz w:val="19"/>
                <w:szCs w:val="19"/>
                <w:color w:val="auto"/>
              </w:rPr>
            </w:pPr>
          </w:p>
        </w:tc>
      </w:tr>
      <w:tr>
        <w:trPr>
          <w:trHeight w:val="21"/>
        </w:trPr>
        <w:tc>
          <w:tcPr>
            <w:tcW w:w="3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Substantially all of American's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for the three months ended September 30, 2022 and 2021 include $68 million and $65 million of depreciation and amortization, respectively, and $1 million of aircraft rent. Regional expenses for the nine months ended September 30, 2022 and 2021 include $201 million and $197 million of depreciation and amortization, respectively, and $4 million and $5 million of aircraft rent, respectively.</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September 30, 2022 and 2021, American recognized $152 million and $ 125 million, respectively, of expense under its capacity purchase agreement with Republic Airways Inc. (Republic). During the nine months ended September 30, 2022 and 2021, American recognized $462 million and $343 million, respectively, of expense under its capacity purchase agreement with Republic. American holds a 25% equity interest in Republic Airways Holdings Inc., the parent company of Republic.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75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AAG</w:t>
            </w:r>
            <w:r>
              <w:rPr>
                <w:rFonts w:ascii="Arial" w:cs="Arial" w:eastAsia="Arial" w:hAnsi="Arial"/>
                <w:sz w:val="10"/>
                <w:szCs w:val="10"/>
                <w:color w:val="auto"/>
              </w:rPr>
              <w:t xml:space="preserve">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97"/>
              </w:rPr>
              <w:t>8,589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7,613</w:t>
            </w:r>
          </w:p>
        </w:tc>
      </w:tr>
      <w:tr>
        <w:trPr>
          <w:trHeight w:val="229"/>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55"/>
              <w:spacing w:after="0"/>
              <w:rPr>
                <w:sz w:val="20"/>
                <w:szCs w:val="20"/>
                <w:color w:val="auto"/>
              </w:rPr>
            </w:pPr>
            <w:r>
              <w:rPr>
                <w:rFonts w:ascii="Arial" w:cs="Arial" w:eastAsia="Arial" w:hAnsi="Arial"/>
                <w:sz w:val="18"/>
                <w:szCs w:val="18"/>
                <w:color w:val="auto"/>
                <w:w w:val="98"/>
              </w:rPr>
              <w:t>(2,114)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(2,066)</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97"/>
              </w:rPr>
              <w:t>6,475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5,547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financing transactions.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On March 25, 2022, the U.S. District Court for the Southern District of New York entered judgment affirming the Bankruptcy Court's decision. Plaintiffs have appealed that decision to the United States Court of Appeals for the Second Circuit, and filed their opening brief on August 3, 2022. American believes this lawsuit is without merit and intends to continue to vigorously defend against it, including against any further appeals by plaintiffs.</w:t>
      </w:r>
    </w:p>
    <w:p>
      <w:pPr>
        <w:spacing w:after="0" w:line="1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arrangement (NEA). The parties are currently presenting their respective cases in a bench trial that commenced on September 27, 2022. American believes this complaint is without merit and is defending against it vigorously.</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 On September 30, 2022, the DOT issued a further statement referencing the prior Clarification Notice and, among other things, indicating its intention to continue working with the DOJ in its efforts to resolve the ongoing proceedings regarding the Northeast Alliance.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2021 (the 2021 Form 10-K). The information contained herein is not a comprehensive discussion and analysis of the financial condition and results of operations of AAG and American, but rather updates disclosures made in the 2021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and rapid recovery in demand for air travel which continued into the third quarter of 2022. The continued impact of the COVID-19 pandemic, including any increases in infection rates, new variants and renewed governmental action to slow the spread of COVID-19 cannot be estimated. We will continue to match our forward capacity with observed booking trends for future travel and make further adjustments to our capacity as needed.</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Liquidity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September 30, 2022, we had $14.3 billion in total available liquidity, consisting of $11.2 billion in unrestricted cash and short-term investments, $2.8 billion in undrawn capacity under revolving credit facilities and a total of $220 million in undrawn short-term revolving and other facilities.</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During the first nine months of 2022, we completed the following financing transactions (see Note 5 to AAG’s Condensed Consolidated Financial Statements in Part I, Item 1A for further information):</w:t>
      </w:r>
    </w:p>
    <w:p>
      <w:pPr>
        <w:spacing w:after="0" w:line="99" w:lineRule="exact"/>
        <w:rPr>
          <w:sz w:val="20"/>
          <w:szCs w:val="20"/>
          <w:color w:val="auto"/>
        </w:rPr>
      </w:pPr>
    </w:p>
    <w:p>
      <w:pPr>
        <w:ind w:left="660" w:hanging="40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received $699 million in proceeds from enhanced equipment trust certificates (EETCs);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repurchased $349 million of unsecured notes on the open market.</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covenants requiring us to meet certain loan to value, collateral coverage and/or peak debt service coverage ratios.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Given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Third Quarter 2022 Results</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8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3"/>
              <w:spacing w:after="0" w:line="121" w:lineRule="exact"/>
              <w:rPr>
                <w:sz w:val="20"/>
                <w:szCs w:val="20"/>
                <w:color w:val="auto"/>
              </w:rPr>
            </w:pPr>
            <w:r>
              <w:rPr>
                <w:rFonts w:ascii="Arial" w:cs="Arial" w:eastAsia="Arial" w:hAnsi="Arial"/>
                <w:sz w:val="13"/>
                <w:szCs w:val="13"/>
                <w:b w:val="1"/>
                <w:bCs w:val="1"/>
                <w:color w:val="auto"/>
              </w:rPr>
              <w:t>Increase</w:t>
            </w:r>
          </w:p>
        </w:tc>
        <w:tc>
          <w:tcPr>
            <w:tcW w:w="1260" w:type="dxa"/>
            <w:vAlign w:val="bottom"/>
          </w:tcPr>
          <w:p>
            <w:pPr>
              <w:jc w:val="center"/>
              <w:ind w:left="36"/>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6"/>
              <w:spacing w:after="0" w:line="197" w:lineRule="exact"/>
              <w:rPr>
                <w:sz w:val="20"/>
                <w:szCs w:val="20"/>
                <w:color w:val="auto"/>
              </w:rPr>
            </w:pPr>
            <w:r>
              <w:rPr>
                <w:rFonts w:ascii="Arial" w:cs="Arial" w:eastAsia="Arial" w:hAnsi="Arial"/>
                <w:sz w:val="14"/>
                <w:szCs w:val="14"/>
                <w:b w:val="1"/>
                <w:bCs w:val="1"/>
                <w:color w:val="auto"/>
                <w:w w:val="99"/>
              </w:rPr>
              <w:t xml:space="preserve">(Decrease) </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2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5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4,493</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60" w:type="dxa"/>
            <w:vAlign w:val="bottom"/>
            <w:shd w:val="clear" w:color="auto" w:fill="CCEEFF"/>
          </w:tcPr>
          <w:p>
            <w:pPr>
              <w:jc w:val="right"/>
              <w:ind w:right="196"/>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1260" w:type="dxa"/>
            <w:vAlign w:val="bottom"/>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5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260" w:type="dxa"/>
            <w:vAlign w:val="bottom"/>
            <w:tcBorders>
              <w:bottom w:val="single" w:sz="8" w:color="CCEEFF"/>
            </w:tcBorders>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26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340" w:hanging="332"/>
        <w:spacing w:after="0" w:line="231" w:lineRule="auto"/>
        <w:tabs>
          <w:tab w:leader="none" w:pos="33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Fluctuations may not be meaningful due to the volatility caused by the COVID-19 pandemic.</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and Net Income</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Pre-tax income and net income were $658 million and $483 million, respectively, in the third quarter of 2022. This compares to third quarter 2021 pre-tax income and net income of $206 million and $ 169 million, respectively. The quarter-over-quarter improvement in our pre-tax income on a GAAP basis was driven by a significant recovery in demand for air travel and a 12.2% increase in capacity as compared to the third quarter of 2021, resulting in higher passenger revenue, offset in part by higher aircraft fuel and related taxes, due to an increase in the average price per gallon of aircraft fuel, and other increases in operating expenses. The third quarter of 2021 also included the recognition of $1.0 billion of net pre-tax special credits principally related to PSP Financial Assistance. See Note 2 to AAG's Condensed Consolidated Financial Statement in Part I, Item 1A for further information on net special items.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Excluding the effects of pre-tax net special items, pre-tax income was $640 million in the third quarter of 2022 and pre-tax loss was $833 million in the third quarter of 2021. The quarter-over-quarter improvement in our pre-tax income excluding pre-tax net special items was primarily due to higher passenger revenue, offset in part by higher aircraft fuel and related taxes and other increases in operating expenses, as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third quarter of 2022, we reported total operating revenues of $13.5 billion, an increase of $4.5 billion, or 50.1%, as compared to the third quarter of 2021. Passenger revenue was $12.4 billion in the third quarter of 2022, an increase of $4.4 billion, or 55.8%, as compared to the third quarter of 2021. The increase in passenger revenue in the third quarter of 2022 was due to a 28.0% increase in passenger yield and a 21.7% increase in revenue passenger miles (RPMs), driven by a significant recovery in demand for air travel domestically and in the Atlantic and Latin America regions, resulting in an 85.3% load factor in the third quarter of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decreased $53 million, or 15.9%, in the third quarter of 2022 from the third quarter of 2021 primarily due to a 10.3% decrease in cargo yield and a 6.2% decrease in cargo ton miles as a result of lower demand and increased global air freight capacity.</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$107 million, or 15.8%, as compared to the third quarter of 2021, driven primarily by higher revenue associated with our loyalty program. During the three months ended September 30, 2022 and 2021, cash payments from co-branded credit card and other partners were $1.0 billion and $835 million, respectively.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total revenue per available seat mile (TRASM) was 19.63 cents in the third quarter of 2022, a 33.8% increase as compared to 14.68 cents in the third quarter of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expense was $3.8 billion in the third quarter of 2022, which was $1.9 billion, or 97.1%, higher as compared to the third quarter of 2021. This increase was primarily driven by a 79.9% increase in the average price per gallon of aircraft fuel including related taxes to $3.73 in the third quarter of 2022 from $2.07 in the third quarter of 2021 and a 9.5% increase in gallons of fuel consumed due to increased capacity.</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September 30,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onset of the COVID-19 pandemic resulted in a very rapid deterioration in general economic conditions, and the subsequent rapid economic expansion resulted in significant inflationary pressures, including on the cost of fuel.</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2022 third quarter total operating cost per available seat mile (CASM) was 18.28 cents, an increase of 33.4%, from 13.70 cents in the third quarter of 2021. This increase in CASM was primarily driven by higher aircraft fuel and related taxes in the third quarter of 2022, as described above, and the recognition of $1.1 billion of operating net special credits in the third quarter of 2021 principally related to PSP Financial Assistance.</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2022 third quarter CASM excluding net special items and fuel was 12.61 cents, an increase of 3.0%, from 12.24 cents in the third quarter of 2021.</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a reconciliation of CASM to CASM excluding net special items and fuel, see below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2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20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20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20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5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Income (Loss) Excluding Net Special Items:</w:t>
            </w: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29"/>
        </w:trPr>
        <w:tc>
          <w:tcPr>
            <w:tcW w:w="58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Operating special items,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(4,435)</w:t>
            </w:r>
          </w:p>
        </w:tc>
      </w:tr>
      <w:tr>
        <w:trPr>
          <w:trHeight w:val="230"/>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w:t>
            </w: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-1336675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-1336675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jc w:val="center"/>
        <w:ind w:left="5520" w:right="600" w:hanging="5512"/>
        <w:spacing w:after="0" w:line="721" w:lineRule="auto"/>
        <w:tabs>
          <w:tab w:leader="none" w:pos="322"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fuel and net special items allows management an additional tool to understand and analyze our non-fuel costs and core operating performance. Amounts may not recalculate due to rounding.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20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20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2021</w:t>
            </w:r>
          </w:p>
        </w:tc>
      </w:tr>
      <w:tr>
        <w:trPr>
          <w:trHeight w:val="210"/>
        </w:trPr>
        <w:tc>
          <w:tcPr>
            <w:tcW w:w="5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20,734</w:t>
            </w:r>
          </w:p>
        </w:tc>
      </w:tr>
      <w:tr>
        <w:trPr>
          <w:trHeight w:val="229"/>
        </w:trPr>
        <w:tc>
          <w:tcPr>
            <w:tcW w:w="58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880" w:type="dxa"/>
            <w:vAlign w:val="bottom"/>
            <w:gridSpan w:val="2"/>
            <w:shd w:val="clear" w:color="auto" w:fill="CCEEFF"/>
          </w:tcPr>
          <w:p>
            <w:pPr>
              <w:jc w:val="center"/>
              <w:ind w:right="2180"/>
              <w:spacing w:after="0"/>
              <w:rPr>
                <w:sz w:val="20"/>
                <w:szCs w:val="20"/>
                <w:color w:val="auto"/>
              </w:rPr>
            </w:pPr>
            <w:r>
              <w:rPr>
                <w:rFonts w:ascii="Arial" w:cs="Arial" w:eastAsia="Arial" w:hAnsi="Arial"/>
                <w:sz w:val="18"/>
                <w:szCs w:val="18"/>
                <w:color w:val="auto"/>
                <w:w w:val="99"/>
              </w:rPr>
              <w:t>Mainline operating special items,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30"/>
        </w:trPr>
        <w:tc>
          <w:tcPr>
            <w:tcW w:w="5880" w:type="dxa"/>
            <w:vAlign w:val="bottom"/>
            <w:gridSpan w:val="2"/>
          </w:tcPr>
          <w:p>
            <w:pPr>
              <w:jc w:val="center"/>
              <w:ind w:right="2140"/>
              <w:spacing w:after="0"/>
              <w:rPr>
                <w:sz w:val="20"/>
                <w:szCs w:val="20"/>
                <w:color w:val="auto"/>
              </w:rPr>
            </w:pPr>
            <w:r>
              <w:rPr>
                <w:rFonts w:ascii="Arial" w:cs="Arial" w:eastAsia="Arial" w:hAnsi="Arial"/>
                <w:sz w:val="18"/>
                <w:szCs w:val="18"/>
                <w:color w:val="auto"/>
                <w:w w:val="99"/>
              </w:rPr>
              <w:t>Regional operating special items,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20,573</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194,264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153,431</w:t>
            </w:r>
          </w:p>
        </w:tc>
      </w:tr>
      <w:tr>
        <w:trPr>
          <w:trHeight w:val="20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w:t>
            </w:r>
          </w:p>
        </w:tc>
      </w:tr>
      <w:tr>
        <w:trPr>
          <w:trHeight w:val="229"/>
        </w:trPr>
        <w:tc>
          <w:tcPr>
            <w:tcW w:w="58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5880" w:type="dxa"/>
            <w:vAlign w:val="bottom"/>
            <w:gridSpan w:val="2"/>
            <w:shd w:val="clear" w:color="auto" w:fill="CCEEFF"/>
          </w:tcPr>
          <w:p>
            <w:pPr>
              <w:jc w:val="center"/>
              <w:ind w:right="2220"/>
              <w:spacing w:after="0"/>
              <w:rPr>
                <w:sz w:val="20"/>
                <w:szCs w:val="20"/>
                <w:color w:val="auto"/>
              </w:rPr>
            </w:pPr>
            <w:r>
              <w:rPr>
                <w:rFonts w:ascii="Arial" w:cs="Arial" w:eastAsia="Arial" w:hAnsi="Arial"/>
                <w:sz w:val="18"/>
                <w:szCs w:val="18"/>
                <w:color w:val="auto"/>
                <w:w w:val="99"/>
              </w:rPr>
              <w:t>Regional operating special items, net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-2622550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ind w:left="5520" w:right="600" w:hanging="5512"/>
        <w:spacing w:after="0" w:line="721" w:lineRule="auto"/>
        <w:tabs>
          <w:tab w:leader="none" w:pos="322"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29"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table below sets forth selected operating data for the three and nine months ended September 30, 2022 and 2021. Amounts may not recalculate due to rounding.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0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Increase</w:t>
            </w: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24"/>
        </w:trPr>
        <w:tc>
          <w:tcPr>
            <w:tcW w:w="4760" w:type="dxa"/>
            <w:vAlign w:val="bottom"/>
            <w:tcBorders>
              <w:top w:val="single" w:sz="8" w:color="CCEEFF"/>
            </w:tcBorders>
            <w:shd w:val="clear" w:color="auto" w:fill="CCEEFF"/>
          </w:tcPr>
          <w:p>
            <w:pPr>
              <w:ind w:left="180"/>
              <w:spacing w:after="0" w:line="224"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160,305</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42.4%</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68,567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61,111</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194,264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153,431</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26.6%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6.6pts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9.1pts</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96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16.55</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15.71</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28.8%</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44.9%</w:t>
            </w:r>
          </w:p>
        </w:tc>
        <w:tc>
          <w:tcPr>
            <w:tcW w:w="0" w:type="dxa"/>
            <w:vAlign w:val="bottom"/>
          </w:tcPr>
          <w:p>
            <w:pPr>
              <w:spacing w:after="0"/>
              <w:rPr>
                <w:sz w:val="1"/>
                <w:szCs w:val="1"/>
                <w:color w:val="auto"/>
              </w:rPr>
            </w:pPr>
          </w:p>
        </w:tc>
      </w:tr>
      <w:tr>
        <w:trPr>
          <w:trHeight w:val="229"/>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96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13.33</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38.2%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9.5%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22.1%</w:t>
            </w:r>
          </w:p>
        </w:tc>
        <w:tc>
          <w:tcPr>
            <w:tcW w:w="0" w:type="dxa"/>
            <w:vAlign w:val="bottom"/>
          </w:tcPr>
          <w:p>
            <w:pPr>
              <w:spacing w:after="0"/>
              <w:rPr>
                <w:sz w:val="1"/>
                <w:szCs w:val="1"/>
                <w:color w:val="auto"/>
              </w:rPr>
            </w:pPr>
          </w:p>
        </w:tc>
      </w:tr>
      <w:tr>
        <w:trPr>
          <w:trHeight w:val="184"/>
        </w:trPr>
        <w:tc>
          <w:tcPr>
            <w:tcW w:w="4760" w:type="dxa"/>
            <w:vAlign w:val="bottom"/>
          </w:tcPr>
          <w:p>
            <w:pPr>
              <w:ind w:left="180"/>
              <w:spacing w:after="0" w:line="183" w:lineRule="exact"/>
              <w:rPr>
                <w:sz w:val="20"/>
                <w:szCs w:val="20"/>
                <w:color w:val="auto"/>
              </w:rPr>
            </w:pPr>
            <w:r>
              <w:rPr>
                <w:rFonts w:ascii="Arial" w:cs="Arial" w:eastAsia="Arial" w:hAnsi="Arial"/>
                <w:sz w:val="18"/>
                <w:szCs w:val="18"/>
                <w:color w:val="auto"/>
              </w:rPr>
              <w:t>Average aircraft fuel price including related taxes (dollars</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11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116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7"/>
              </w:rPr>
              <w:t>84.8%</w:t>
            </w:r>
          </w:p>
        </w:tc>
        <w:tc>
          <w:tcPr>
            <w:tcW w:w="0" w:type="dxa"/>
            <w:vAlign w:val="bottom"/>
          </w:tcPr>
          <w:p>
            <w:pPr>
              <w:spacing w:after="0"/>
              <w:rPr>
                <w:sz w:val="1"/>
                <w:szCs w:val="1"/>
                <w:color w:val="auto"/>
              </w:rPr>
            </w:pPr>
          </w:p>
        </w:tc>
      </w:tr>
      <w:tr>
        <w:trPr>
          <w:trHeight w:val="235"/>
        </w:trPr>
        <w:tc>
          <w:tcPr>
            <w:tcW w:w="4760" w:type="dxa"/>
            <w:vAlign w:val="bottom"/>
          </w:tcPr>
          <w:p>
            <w:pPr>
              <w:ind w:left="360"/>
              <w:spacing w:after="0"/>
              <w:rPr>
                <w:sz w:val="20"/>
                <w:szCs w:val="20"/>
                <w:color w:val="auto"/>
              </w:rPr>
            </w:pPr>
            <w:r>
              <w:rPr>
                <w:rFonts w:ascii="Arial" w:cs="Arial" w:eastAsia="Arial" w:hAnsi="Arial"/>
                <w:sz w:val="18"/>
                <w:szCs w:val="18"/>
                <w:color w:val="auto"/>
              </w:rPr>
              <w:t>per gallon)</w:t>
            </w: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35.5%</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9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3.3%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119,800</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8.3%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119,800</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14 mainline aircraft and 53 regional aircraft that are in temporary storage at September 30, 2022 as follows: 14 Boeing 737-800, 30 Embraer 145, 13 Bombardier CRJ 700, five Bombardier CRJ 900 and five Embraer 170.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3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7"/>
            <w:vMerge w:val="restart"/>
          </w:tcPr>
          <w:p>
            <w:pPr>
              <w:ind w:left="2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4"/>
          </w:tcPr>
          <w:p>
            <w:pPr>
              <w:jc w:val="center"/>
              <w:ind w:right="380"/>
              <w:spacing w:after="0" w:line="118"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1000" w:type="dxa"/>
            <w:vAlign w:val="bottom"/>
            <w:gridSpan w:val="2"/>
          </w:tcPr>
          <w:p>
            <w:pPr>
              <w:jc w:val="center"/>
              <w:ind w:right="30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(Decrease)</w:t>
            </w:r>
          </w:p>
        </w:tc>
        <w:tc>
          <w:tcPr>
            <w:tcW w:w="112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12,396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7,957</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3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Cargo</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9"/>
                <w:szCs w:val="19"/>
                <w:color w:val="auto"/>
              </w:rPr>
            </w:pPr>
          </w:p>
        </w:tc>
        <w:tc>
          <w:tcPr>
            <w:tcW w:w="1120" w:type="dxa"/>
            <w:vAlign w:val="bottom"/>
            <w:gridSpan w:val="3"/>
          </w:tcPr>
          <w:p>
            <w:pPr>
              <w:jc w:val="right"/>
              <w:ind w:right="388"/>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13,462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380" w:type="dxa"/>
            <w:vAlign w:val="bottom"/>
          </w:tcPr>
          <w:p>
            <w:pPr>
              <w:spacing w:after="0"/>
              <w:rPr>
                <w:sz w:val="19"/>
                <w:szCs w:val="19"/>
                <w:color w:val="auto"/>
              </w:rPr>
            </w:pPr>
          </w:p>
        </w:tc>
        <w:tc>
          <w:tcPr>
            <w:tcW w:w="1120" w:type="dxa"/>
            <w:vAlign w:val="bottom"/>
            <w:gridSpan w:val="3"/>
          </w:tcPr>
          <w:p>
            <w:pPr>
              <w:jc w:val="right"/>
              <w:ind w:right="448"/>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534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9180" w:type="dxa"/>
            <w:vAlign w:val="bottom"/>
            <w:gridSpan w:val="15"/>
          </w:tcPr>
          <w:p>
            <w:pPr>
              <w:ind w:left="26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11"/>
          </w:tcPr>
          <w:p>
            <w:pPr>
              <w:jc w:val="right"/>
              <w:ind w:right="988"/>
              <w:spacing w:after="0"/>
              <w:rPr>
                <w:sz w:val="20"/>
                <w:szCs w:val="20"/>
                <w:color w:val="auto"/>
              </w:rPr>
            </w:pPr>
            <w:r>
              <w:rPr>
                <w:rFonts w:ascii="Arial" w:cs="Arial" w:eastAsia="Arial" w:hAnsi="Arial"/>
                <w:sz w:val="14"/>
                <w:szCs w:val="14"/>
                <w:b w:val="1"/>
                <w:bCs w:val="1"/>
                <w:color w:val="auto"/>
              </w:rPr>
              <w:t>vs. Three Months Ended September 30, 2021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7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7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Load</w:t>
            </w:r>
          </w:p>
        </w:tc>
        <w:tc>
          <w:tcPr>
            <w:tcW w:w="940" w:type="dxa"/>
            <w:vAlign w:val="bottom"/>
            <w:gridSpan w:val="2"/>
          </w:tcPr>
          <w:p>
            <w:pPr>
              <w:jc w:val="center"/>
              <w:ind w:left="35"/>
              <w:spacing w:after="0" w:line="142" w:lineRule="exact"/>
              <w:rPr>
                <w:sz w:val="20"/>
                <w:szCs w:val="20"/>
                <w:color w:val="auto"/>
              </w:rPr>
            </w:pPr>
            <w:r>
              <w:rPr>
                <w:rFonts w:ascii="Arial" w:cs="Arial" w:eastAsia="Arial" w:hAnsi="Arial"/>
                <w:sz w:val="14"/>
                <w:szCs w:val="14"/>
                <w:b w:val="1"/>
                <w:bCs w:val="1"/>
                <w:color w:val="auto"/>
              </w:rPr>
              <w:t>Passenger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Factor</w:t>
            </w:r>
          </w:p>
        </w:tc>
        <w:tc>
          <w:tcPr>
            <w:tcW w:w="9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12,396</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6.6pts</w:t>
            </w:r>
          </w:p>
        </w:tc>
        <w:tc>
          <w:tcPr>
            <w:tcW w:w="94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7"/>
              </w:rPr>
              <w:t>28.0%</w:t>
            </w:r>
          </w:p>
        </w:tc>
        <w:tc>
          <w:tcPr>
            <w:tcW w:w="11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-1910715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-1910715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-1910715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$4.4 billion, or 55.8%, in the third quarter of 2022 from the third quarter of 2021 primarily due to a 28.0% increase in passenger yield and a 21.7% increase in RPMs, driven by a significant recovery in demand for air travel domestically and in the Atlantic and Latin America regions, resulting in an 85.3% load factor in the third quarter of 2022.</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decreased $53 million, or 15.9%, in the third quarter of 2022 from the third quarter of 2021 primarily due to a 10.3% decrease in cargo yield and a 6.2% decrease in cargo ton miles as a result of lower demand and increased global air freight capacity.</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revenue increased $107 million, or 15.8%, as compared to the third quarter of 2021, driven primarily by higher revenue associated with our loyalty program.</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Total operating revenues in the third quarter of 2022 increased $4.5 billion, or 50.1%, from the third quarter of 2021 driven principally by the increase in passenger revenue as described above. Our TRASM increased 33.8% to 19.63 cents in the third quarter of 2022 from 14.68 cents in the third quarter of 2021.</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97.1</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12.1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32.3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25.1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55.7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4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6"/>
              </w:rPr>
              <w:t>22.9</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6"/>
              </w:rPr>
              <w:t>49.7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4"/>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-2339340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-2339340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-2339340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expenses increased $4.2 billion, or 49.7%, in the third quarter of 2022 from the third quarter of 2021 driven by higher aircraft fuel and related taxes and other expenses as a result of an increase in the average price per gallon of aircraft fuel and increased capacity. The third quarter of 2021 total operating expenses also included $1.1 billion of net operating special credits principally related to the PSP Financial Assistance. See further discussion of operating special items, net below.</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$1.9 billion, or 97.1%, in the third quarter of 2022 from the third quarter of 2021 primarily due to a 79.9% increase in the average price per gallon of aircraft fuel including related taxes to $3.73 in the third quarter of 2022 from $2.07 in the third quarter of 2021 and a 9.5% increase in gallons of fuel consumed due to increased capacity.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$366 million, or 12.1%, in the third quarter of 2022 from the third quarter of 2021 primarily due to an 8.7% increase in mainline full-time equivalent employees subsequent to the third quarter of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increased $287 million, or 32.3%, in the third quarter of 2022 from the third quarter of 2021 primarily due to pay rate increases and retention bonuses offered at our wholly-owned regional carriers as well as contractual rate increases with our third-party regional carriers. The third quarter of 2021 also included the recognition of $128 million of PSP Financial Assistance as a regional operating special credit.</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$137 million, or 25.1%, in the third quarter of 2022 from the third quarter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increased $177 million, or 55.7%, in the third quarter of 2022 from the third quarter of 2021 primarily due to higher credit card fees and commission expense driven by the overall increase in passenger revenues.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expenses increased $253 million, or 22.9%, in the third quarter of 2022 from the third quarter of 2021 primarily as a result of increased capacity and expenses associated with improving our product offerings, customer experience and operational reliability.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Three Months Ended September 30,</w:t>
            </w:r>
          </w:p>
        </w:tc>
      </w:tr>
      <w:tr>
        <w:trPr>
          <w:trHeight w:val="196"/>
        </w:trPr>
        <w:tc>
          <w:tcPr>
            <w:tcW w:w="776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r>
      <w:tr>
        <w:trPr>
          <w:trHeight w:val="231"/>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70"/>
        </w:trPr>
        <w:tc>
          <w:tcPr>
            <w:tcW w:w="7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(2)</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-1824990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(Treasury) pursuant to the payroll support program established under the PSP Extension Law (PSP2) and the American Rescue Plan Act of 2021 (ARP) (PSP3).</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paid in the fourth quarter of 2021 to eligible captains at our wholly-owned regional airlines included on the pilot seniority list as of September 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60" w:type="dxa"/>
            <w:vAlign w:val="bottom"/>
            <w:gridSpan w:val="3"/>
            <w:vMerge w:val="restart"/>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6"/>
              </w:rPr>
              <w:t>91.1</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w w:val="97"/>
              </w:rPr>
              <w:t>(30.0)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-762635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-762635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Interest income increased in the third quarter of 2022 compared to the third quarter of 2021 primarily as a result of higher returns on our short-term investments.</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third quarter of 2022, other nonoperating income, net primarily included $103 million of non-service related pension and other postretirement benefit plan income and $57 million of net special credits for mark-to-market net unrealized gains principally associated with our equity investments in Vertical Aerospace Ltd. (Vertical), China Southern Airlines Company Limited (China Southern Airlines) and GOL Linhas Aéreas Inteligentes S.A. (GOL).</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third quarter of 2021, other nonoperating income, net included $80 million of non-service related pension and other postretirement benefit plan income.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third quarter of 2022, we recorded an income tax provision of $175 million. Substantially all of our income or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4"/>
          </w:tcPr>
          <w:p>
            <w:pPr>
              <w:jc w:val="center"/>
              <w:ind w:right="400"/>
              <w:spacing w:after="0" w:line="118" w:lineRule="exact"/>
              <w:rPr>
                <w:sz w:val="20"/>
                <w:szCs w:val="20"/>
                <w:color w:val="auto"/>
              </w:rPr>
            </w:pPr>
            <w:r>
              <w:rPr>
                <w:rFonts w:ascii="Arial" w:cs="Arial" w:eastAsia="Arial" w:hAnsi="Arial"/>
                <w:sz w:val="13"/>
                <w:szCs w:val="13"/>
                <w:b w:val="1"/>
                <w:bCs w:val="1"/>
                <w:color w:val="auto"/>
              </w:rPr>
              <w:t>Increase</w:t>
            </w:r>
          </w:p>
        </w:tc>
        <w:tc>
          <w:tcPr>
            <w:tcW w:w="80" w:type="dxa"/>
            <w:vAlign w:val="bottom"/>
          </w:tcPr>
          <w:p>
            <w:pPr>
              <w:spacing w:after="0"/>
              <w:rPr>
                <w:sz w:val="10"/>
                <w:szCs w:val="10"/>
                <w:color w:val="auto"/>
              </w:rPr>
            </w:pPr>
          </w:p>
        </w:tc>
        <w:tc>
          <w:tcPr>
            <w:tcW w:w="1000" w:type="dxa"/>
            <w:vAlign w:val="bottom"/>
            <w:gridSpan w:val="2"/>
          </w:tcPr>
          <w:p>
            <w:pPr>
              <w:jc w:val="center"/>
              <w:ind w:right="30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rPr>
              <w:t>(Decrease)</w:t>
            </w:r>
          </w:p>
        </w:tc>
        <w:tc>
          <w:tcPr>
            <w:tcW w:w="108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10"/>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32,438</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17,682</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14,756</w:t>
            </w:r>
          </w:p>
        </w:tc>
        <w:tc>
          <w:tcPr>
            <w:tcW w:w="4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center"/>
              <w:ind w:right="228"/>
              <w:spacing w:after="0"/>
              <w:rPr>
                <w:sz w:val="20"/>
                <w:szCs w:val="20"/>
                <w:color w:val="auto"/>
              </w:rPr>
            </w:pPr>
            <w:r>
              <w:rPr>
                <w:rFonts w:ascii="Arial" w:cs="Arial" w:eastAsia="Arial" w:hAnsi="Arial"/>
                <w:sz w:val="18"/>
                <w:szCs w:val="18"/>
                <w:color w:val="auto"/>
                <w:w w:val="96"/>
              </w:rPr>
              <w:t>83.5</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Cargo</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1080" w:type="dxa"/>
            <w:vAlign w:val="bottom"/>
            <w:gridSpan w:val="3"/>
          </w:tcPr>
          <w:p>
            <w:pPr>
              <w:jc w:val="center"/>
              <w:ind w:right="22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center"/>
              <w:ind w:right="228"/>
              <w:spacing w:after="0"/>
              <w:rPr>
                <w:sz w:val="20"/>
                <w:szCs w:val="20"/>
                <w:color w:val="auto"/>
              </w:rPr>
            </w:pPr>
            <w:r>
              <w:rPr>
                <w:rFonts w:ascii="Arial" w:cs="Arial" w:eastAsia="Arial" w:hAnsi="Arial"/>
                <w:sz w:val="18"/>
                <w:szCs w:val="18"/>
                <w:color w:val="auto"/>
                <w:w w:val="96"/>
              </w:rPr>
              <w:t>31.9</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35,783</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20,455</w:t>
            </w: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15,328</w:t>
            </w:r>
          </w:p>
        </w:tc>
        <w:tc>
          <w:tcPr>
            <w:tcW w:w="400" w:type="dxa"/>
            <w:vAlign w:val="bottom"/>
          </w:tcPr>
          <w:p>
            <w:pPr>
              <w:spacing w:after="0"/>
              <w:rPr>
                <w:sz w:val="19"/>
                <w:szCs w:val="19"/>
                <w:color w:val="auto"/>
              </w:rPr>
            </w:pPr>
          </w:p>
        </w:tc>
        <w:tc>
          <w:tcPr>
            <w:tcW w:w="1080" w:type="dxa"/>
            <w:vAlign w:val="bottom"/>
            <w:gridSpan w:val="3"/>
          </w:tcPr>
          <w:p>
            <w:pPr>
              <w:jc w:val="center"/>
              <w:ind w:right="228"/>
              <w:spacing w:after="0"/>
              <w:rPr>
                <w:sz w:val="20"/>
                <w:szCs w:val="20"/>
                <w:color w:val="auto"/>
              </w:rPr>
            </w:pPr>
            <w:r>
              <w:rPr>
                <w:rFonts w:ascii="Arial" w:cs="Arial" w:eastAsia="Arial" w:hAnsi="Arial"/>
                <w:sz w:val="18"/>
                <w:szCs w:val="18"/>
                <w:color w:val="auto"/>
                <w:w w:val="96"/>
              </w:rPr>
              <w:t>74.9</w:t>
            </w:r>
          </w:p>
        </w:tc>
        <w:tc>
          <w:tcPr>
            <w:tcW w:w="0" w:type="dxa"/>
            <w:vAlign w:val="bottom"/>
          </w:tcPr>
          <w:p>
            <w:pPr>
              <w:spacing w:after="0"/>
              <w:rPr>
                <w:sz w:val="1"/>
                <w:szCs w:val="1"/>
                <w:color w:val="auto"/>
              </w:rPr>
            </w:pPr>
          </w:p>
        </w:tc>
      </w:tr>
      <w:tr>
        <w:trPr>
          <w:trHeight w:val="21"/>
        </w:trPr>
        <w:tc>
          <w:tcPr>
            <w:tcW w:w="5400" w:type="dxa"/>
            <w:vAlign w:val="bottom"/>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9060" w:type="dxa"/>
            <w:vAlign w:val="bottom"/>
            <w:gridSpan w:val="15"/>
          </w:tcPr>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vs. Nine Months Ended September 30, 2021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
              <w:spacing w:after="0" w:line="142" w:lineRule="exact"/>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700" w:type="dxa"/>
            <w:vAlign w:val="bottom"/>
          </w:tcPr>
          <w:p>
            <w:pPr>
              <w:jc w:val="center"/>
              <w:ind w:right="205"/>
              <w:spacing w:after="0" w:line="142" w:lineRule="exact"/>
              <w:rPr>
                <w:sz w:val="20"/>
                <w:szCs w:val="20"/>
                <w:color w:val="auto"/>
              </w:rPr>
            </w:pPr>
            <w:r>
              <w:rPr>
                <w:rFonts w:ascii="Arial" w:cs="Arial" w:eastAsia="Arial" w:hAnsi="Arial"/>
                <w:sz w:val="14"/>
                <w:szCs w:val="14"/>
                <w:b w:val="1"/>
                <w:bCs w:val="1"/>
                <w:color w:val="auto"/>
              </w:rPr>
              <w:t>Load</w:t>
            </w:r>
          </w:p>
        </w:tc>
        <w:tc>
          <w:tcPr>
            <w:tcW w:w="120" w:type="dxa"/>
            <w:vAlign w:val="bottom"/>
          </w:tcPr>
          <w:p>
            <w:pPr>
              <w:spacing w:after="0"/>
              <w:rPr>
                <w:sz w:val="12"/>
                <w:szCs w:val="12"/>
                <w:color w:val="auto"/>
              </w:rPr>
            </w:pPr>
          </w:p>
        </w:tc>
        <w:tc>
          <w:tcPr>
            <w:tcW w:w="980" w:type="dxa"/>
            <w:vAlign w:val="bottom"/>
            <w:gridSpan w:val="2"/>
          </w:tcPr>
          <w:p>
            <w:pPr>
              <w:jc w:val="center"/>
              <w:ind w:left="8"/>
              <w:spacing w:after="0" w:line="142" w:lineRule="exact"/>
              <w:rPr>
                <w:sz w:val="20"/>
                <w:szCs w:val="20"/>
                <w:color w:val="auto"/>
              </w:rPr>
            </w:pPr>
            <w:r>
              <w:rPr>
                <w:rFonts w:ascii="Arial" w:cs="Arial" w:eastAsia="Arial" w:hAnsi="Arial"/>
                <w:sz w:val="14"/>
                <w:szCs w:val="14"/>
                <w:b w:val="1"/>
                <w:bCs w:val="1"/>
                <w:color w:val="auto"/>
              </w:rPr>
              <w:t>Passenger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00" w:type="dxa"/>
            <w:vAlign w:val="bottom"/>
            <w:gridSpan w:val="2"/>
          </w:tcPr>
          <w:p>
            <w:pPr>
              <w:jc w:val="center"/>
              <w:ind w:right="85"/>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9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right="105"/>
              <w:spacing w:after="0"/>
              <w:rPr>
                <w:sz w:val="20"/>
                <w:szCs w:val="20"/>
                <w:color w:val="auto"/>
              </w:rPr>
            </w:pPr>
            <w:r>
              <w:rPr>
                <w:rFonts w:ascii="Arial" w:cs="Arial" w:eastAsia="Arial" w:hAnsi="Arial"/>
                <w:sz w:val="18"/>
                <w:szCs w:val="18"/>
                <w:color w:val="auto"/>
              </w:rPr>
              <w:t>9.1pts</w:t>
            </w:r>
          </w:p>
        </w:tc>
        <w:tc>
          <w:tcPr>
            <w:tcW w:w="110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7"/>
              </w:rPr>
              <w:t>28.8%</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-1910715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-1910715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-1910715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Passenger revenue increased $14.8 billion, or 83.5%, in the first nine months of 2022 from the first nine months of 2021 primarily due to a 42.4% increase in RPMs, driven by a significant recovery in demand for air travel domestically and in the Atlantic and Latin America regions, resulting in an 82.5% load factor in the first nine months of 2022, and a 28.8% increase in passenger yield.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Other operating revenue increased $575 million, or 31.9%, in the first nine months of 2022 from the first nine months of 2021, driven primarily by higher revenue associated with our loyalty program.</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Total operating revenues in the first nine months of 2022 increased $15.3 billion, or 74.9%, from the first nine months of 2021 driven principally by the increase in passenger revenue as described above. Our TRASM increased 38.2% to 18.42 cents in the first nine months of 2022 from 13.33 cents in the first nine months of 2021.</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1,162</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13.5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53.5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40.9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78.7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6"/>
              </w:rPr>
              <w:t>45.1</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14,824</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6"/>
              </w:rPr>
              <w:t>71.5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Total operating expenses increased $14.8 billion, or 71.5%, in the first nine months of 2022 from the first nine months of 2021 driven by higher aircraft fuel and related taxes and other expenses as a result of an increase in the average price per gallon of aircraft fuel and increased capacity. The first nine months of 2021 total operating expenses also included $4.4 billion of net operating special credits principally related to the PSP Financial Assistance. See further discussion of operating special items, net below.</w:t>
      </w:r>
    </w:p>
    <w:p>
      <w:pPr>
        <w:spacing w:after="0" w:line="12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increased $5.8 billion in the first nine months of 2022 from the first nine months of 2021 primarily due to an 84.8% increase in the average price per gallon of aircraft fuel including related taxes to $3.55 in the first nine months of 2022 from $1.92 in the first nine months of 2021 and a 22.1% increase in gallons of fuel consumed due to increased capacity.</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Salaries, wages and benefits increased $ 1.2 billion, or 13.5%, in the first nine months of 2022 from the first nine months of 2021 primarily due to an 8.7% increase in mainline full-time equivalent employees subsequent to the third quarter of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increased $1.2 billion, or 53.5%, in the first nine months of 2022 from the first nine months of 2021 primarily due to pay rate increases and retention bonuses offered at our wholly-owned regional carriers, as well as contractual rate increases with our third-party regional carriers. The first nine months of 2021 also included the recognition of $539 million of PSP Financial Assistance as a regional operating special credit.</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$566 million, or 40.9%, in the first nine months of 2022 from the first nine months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Other rent and landing fees increased $131 million, or 6.8%, in the first nine months of 2022 from the first nine months of 2021 primarily due to an increase in landing fees as a result of increased departures.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Selling expenses increased $586 million, or 78.7%, in the first nine months of 2022 from the first nine months of 2021 primarily due to higher credit card fees and commission expense driven by the overall increase in passenger revenues.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Other operating expenses increased $1.3 billion, or 45.1%, in the first nine months of 2022 from the first nine months of 2021 primarily as a result of increased capacity and expenses associated with improving our product offerings, customer experience and operational reliability.</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7"/>
                <w:szCs w:val="17"/>
                <w:color w:val="auto"/>
              </w:rPr>
            </w:pPr>
          </w:p>
        </w:tc>
      </w:tr>
      <w:tr>
        <w:trPr>
          <w:trHeight w:val="231"/>
        </w:trPr>
        <w:tc>
          <w:tcPr>
            <w:tcW w:w="76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70"/>
        </w:trPr>
        <w:tc>
          <w:tcPr>
            <w:tcW w:w="7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(4)</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-2407920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2769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 established under PSP2 and PSP3.</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related to our voluntary early retirement programs for the nine months ended September 30, 2022 and 2021 were approximately $180 million and $480 million, respectively.</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paid in the fourth quarter of 2021 to eligible captains at our wholly-owned regional airlines included on the pilot seniority list as of September 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vMerge w:val="continue"/>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3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717"/>
              <w:spacing w:after="0"/>
              <w:rPr>
                <w:sz w:val="20"/>
                <w:szCs w:val="20"/>
                <w:color w:val="auto"/>
              </w:rPr>
            </w:pPr>
            <w:r>
              <w:rPr>
                <w:rFonts w:ascii="Arial" w:cs="Arial" w:eastAsia="Arial" w:hAnsi="Arial"/>
                <w:sz w:val="18"/>
                <w:szCs w:val="18"/>
                <w:color w:val="auto"/>
                <w:w w:val="99"/>
              </w:rPr>
              <w:t>94</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left="677"/>
              <w:spacing w:after="0"/>
              <w:rPr>
                <w:sz w:val="20"/>
                <w:szCs w:val="20"/>
                <w:color w:val="auto"/>
              </w:rPr>
            </w:pPr>
            <w:r>
              <w:rPr>
                <w:rFonts w:ascii="Arial" w:cs="Arial" w:eastAsia="Arial" w:hAnsi="Arial"/>
                <w:sz w:val="18"/>
                <w:szCs w:val="18"/>
                <w:color w:val="auto"/>
                <w:w w:val="99"/>
              </w:rPr>
              <w:t>(98)</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17"/>
              <w:spacing w:after="0"/>
              <w:rPr>
                <w:sz w:val="20"/>
                <w:szCs w:val="20"/>
                <w:color w:val="auto"/>
              </w:rPr>
            </w:pPr>
            <w:r>
              <w:rPr>
                <w:rFonts w:ascii="Arial" w:cs="Arial" w:eastAsia="Arial" w:hAnsi="Arial"/>
                <w:sz w:val="18"/>
                <w:szCs w:val="18"/>
                <w:color w:val="auto"/>
                <w:w w:val="99"/>
              </w:rPr>
              <w:t>33</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6"/>
              </w:rPr>
              <w:t>14.1</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717"/>
              <w:spacing w:after="0"/>
              <w:rPr>
                <w:sz w:val="20"/>
                <w:szCs w:val="20"/>
                <w:color w:val="auto"/>
              </w:rPr>
            </w:pPr>
            <w:r>
              <w:rPr>
                <w:rFonts w:ascii="Arial" w:cs="Arial" w:eastAsia="Arial" w:hAnsi="Arial"/>
                <w:sz w:val="18"/>
                <w:szCs w:val="18"/>
                <w:color w:val="auto"/>
                <w:w w:val="99"/>
              </w:rPr>
              <w:t>29</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-762000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Interest income increased in the first nine months of 2022 compared to the first nine months of 2021 primarily as a result of higher returns on our short-term investments.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Interest expense, net increased in the first nine months of 2022 compared to the first nine months of 2021 primarily due to the impact of the AAdvantage Financing issued at the end of the first quarter of 2021, which improved our liquidity position in response to the COVID-19 pandemic.</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nine months of 2022, other nonoperating income, net primarily included $ 315 million of non-service related pension and other postretirement benefit plan income, offset in part by $34 million of net special charges principally for mark-to-market net unrealized losses associated with our equity investments in GOL, Vertical and China Southern Airlines.</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nine months of 2021, other nonoperating income, net included $252 million of non-service related pension and other postretirement benefit plan income, offset in part by $31 million of net special charges principally for non-cash charges associated with debt refinancings and extinguishments.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 the first nine months of 2022, we recorded an income tax benefit of $148 million. Substantially all of our income or loss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right"/>
              <w:ind w:right="376"/>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 (Decrease)</w:t>
            </w:r>
          </w:p>
        </w:tc>
      </w:tr>
      <w:tr>
        <w:trPr>
          <w:trHeight w:val="195"/>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55.8</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540" w:type="dxa"/>
            <w:vAlign w:val="bottom"/>
          </w:tcPr>
          <w:p>
            <w:pPr>
              <w:jc w:val="right"/>
              <w:ind w:right="396"/>
              <w:spacing w:after="0"/>
              <w:rPr>
                <w:sz w:val="20"/>
                <w:szCs w:val="20"/>
                <w:color w:val="auto"/>
              </w:rPr>
            </w:pPr>
            <w:r>
              <w:rPr>
                <w:rFonts w:ascii="Arial" w:cs="Arial" w:eastAsia="Arial" w:hAnsi="Arial"/>
                <w:sz w:val="18"/>
                <w:szCs w:val="18"/>
                <w:color w:val="auto"/>
              </w:rPr>
              <w:t>(15.9)</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15.7</w:t>
            </w: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540" w:type="dxa"/>
            <w:vAlign w:val="bottom"/>
          </w:tcPr>
          <w:p>
            <w:pPr>
              <w:jc w:val="right"/>
              <w:ind w:right="456"/>
              <w:spacing w:after="0"/>
              <w:rPr>
                <w:sz w:val="20"/>
                <w:szCs w:val="20"/>
                <w:color w:val="auto"/>
              </w:rPr>
            </w:pPr>
            <w:r>
              <w:rPr>
                <w:rFonts w:ascii="Arial" w:cs="Arial" w:eastAsia="Arial" w:hAnsi="Arial"/>
                <w:sz w:val="18"/>
                <w:szCs w:val="18"/>
                <w:color w:val="auto"/>
              </w:rPr>
              <w:t>50.1</w:t>
            </w: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-762000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$4.4 billion, or 55.8%, in the third quarter of 2022 from the third quarter of 2021 primarily due to an increase in passenger yield and an increase in RPMs, driven by a significant recovery in demand for air travel domestically and in the Atlantic and Latin America regions, resulting in an increased load factor in the third quarter of 2022.</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decreased $ 53 million, or 15.9%, in the third quarter of 2022 from the third quarter of 2021 primarily due to a decrease in cargo yield and cargo ton miles as a result of lower demand and increased global air freight capacity.</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revenue increased $107 million, or 15.7%, as compared to the third quarter of 2021, driven primarily by higher revenue associated with American's loyalty program.</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Total operating revenues in the third quarter of 2022 increased $4.5 billion, or 50.1%, from the third quarter of 2021 driven principally by the increase in passenger revenue as described above.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333"/>
              <w:spacing w:after="0" w:line="118" w:lineRule="exact"/>
              <w:rPr>
                <w:sz w:val="20"/>
                <w:szCs w:val="20"/>
                <w:color w:val="auto"/>
              </w:rPr>
            </w:pPr>
            <w:r>
              <w:rPr>
                <w:rFonts w:ascii="Arial" w:cs="Arial" w:eastAsia="Arial" w:hAnsi="Arial"/>
                <w:sz w:val="13"/>
                <w:szCs w:val="13"/>
                <w:b w:val="1"/>
                <w:bCs w:val="1"/>
                <w:color w:val="auto"/>
              </w:rPr>
              <w:t>Increase</w:t>
            </w:r>
          </w:p>
        </w:tc>
        <w:tc>
          <w:tcPr>
            <w:tcW w:w="1540" w:type="dxa"/>
            <w:vAlign w:val="bottom"/>
          </w:tcPr>
          <w:p>
            <w:pPr>
              <w:jc w:val="center"/>
              <w:ind w:left="3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5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expenses increased $4.3 billion, or 51.4%, in the third quarter of 2022 from the third quarter of 2021 driven by higher aircraft fuel and related taxes and other expenses as a result of an increase in the average price per gallon of aircraft fuel and increased capacity. The third quarter of 2021 total operating expenses also included $1.1 billion of net operating special credits principally related to the PSP Financial Assistance. See further discussion of operating special items, net below.</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$1.9 billion, or 97.1%, in the third quarter of 2022 from the third quarter of 2021 primarily due to a 79.9% increase in the average price per gallon of aircraft fuel including related taxes to $3.73 in the third quarter of 2022 from $2.07 in the third quarter of 2021 and a 9.5% increase in gallons of fuel consumed due to increased capacity.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$365 million, or 12.1%, in the third quarter of 2022 from the third quarter of 2021 primarily due to an 8.7% increase in mainline full-time equivalent employees subsequent to the third quarter of 2021.</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$383 million, or 48.5%, in the third quarter of 2022 from the third quarter of 2021 primarily due to contractual rate increases with American's third-party regional carriers. The third quarter of 2021 also included the recognition of $128 million of PSP Financial Assistance as a regional operating special credit.</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$137 million, or 25.1%, in the third quarter of 2022 from the third quarter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increased $177 million, or 55.7%, in the third quarter of 2022 from the third quarter of 2021 primarily due to higher credit card fees and commission expense driven by the overall increase in passenger revenues.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expenses increased $254 million, or 22.9%, in the third quarter of 2022 from the third quarter of 2021 primarily as a result of increased capacity and expenses associated with improving American's product offerings, customer experience and operational reliability.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Three Months Ended September 30,</w:t>
            </w:r>
          </w:p>
        </w:tc>
      </w:tr>
      <w:tr>
        <w:trPr>
          <w:trHeight w:val="196"/>
        </w:trPr>
        <w:tc>
          <w:tcPr>
            <w:tcW w:w="776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r>
      <w:tr>
        <w:trPr>
          <w:trHeight w:val="231"/>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70"/>
        </w:trPr>
        <w:tc>
          <w:tcPr>
            <w:tcW w:w="7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-1534160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 established under PSP2 and PSP3.</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gridSpan w:val="3"/>
            <w:vMerge w:val="restart"/>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97"/>
              <w:spacing w:after="0" w:line="118" w:lineRule="exact"/>
              <w:rPr>
                <w:sz w:val="20"/>
                <w:szCs w:val="20"/>
                <w:color w:val="auto"/>
              </w:rPr>
            </w:pPr>
            <w:r>
              <w:rPr>
                <w:rFonts w:ascii="Arial" w:cs="Arial" w:eastAsia="Arial" w:hAnsi="Arial"/>
                <w:sz w:val="13"/>
                <w:szCs w:val="13"/>
                <w:b w:val="1"/>
                <w:bCs w:val="1"/>
                <w:color w:val="auto"/>
              </w:rPr>
              <w:t>Increase</w:t>
            </w:r>
          </w:p>
        </w:tc>
        <w:tc>
          <w:tcPr>
            <w:tcW w:w="1500" w:type="dxa"/>
            <w:vAlign w:val="bottom"/>
          </w:tcPr>
          <w:p>
            <w:pPr>
              <w:jc w:val="center"/>
              <w:ind w:left="3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50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500" w:type="dxa"/>
            <w:vAlign w:val="bottom"/>
          </w:tcPr>
          <w:p>
            <w:pPr>
              <w:jc w:val="right"/>
              <w:ind w:right="438"/>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50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500" w:type="dxa"/>
            <w:vAlign w:val="bottom"/>
          </w:tcPr>
          <w:p>
            <w:pPr>
              <w:jc w:val="right"/>
              <w:ind w:right="378"/>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-788035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-788035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-788035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Interest income increased in the third quarter of 2022 compared to the third quarter of 2021 primarily as a result of higher returns on American's short-term investments.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third quarter of 2022, other nonoperating income, net primarily included $103 million of non-service related pension and other postretirement benefit plan income and $ 57 million of net special credits for mark-to-market net unrealized gains principally associated with American's equity investments in Vertical, China Southern Airlines and GOL.</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third quarter of 2021, other nonoperating income, net included $80 million of non-service related pension and other postretirement benefit plan income.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third quarter of 2022, American recorded an income tax provision of $180 million. Substantially all of American’s income or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6"/>
              </w:rPr>
              <w:t>83.5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6"/>
              </w:rPr>
              <w:t>31.7</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w w:val="96"/>
              </w:rPr>
              <w:t>74.9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-762635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-762635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Passenger revenue increased $ 14.8 billion, or 83.5%, in the first nine months of 2022 from the first nine months of 2021 primarily due to an increase in RPMs, driven by a significant recovery in demand for air travel domestically and in the Atlantic and Latin America regions, resulting in an increased load factor in the first nine months of 2022, and an increase in passenger yield.</w:t>
      </w:r>
    </w:p>
    <w:p>
      <w:pPr>
        <w:spacing w:after="0" w:line="117"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Other operating revenue increased $571 million, or 31.7%, in the first nine months of 2022 from the first nine months of 2021, driven primarily by higher revenue associated with American's loyalty program.</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Total operating revenues in the first nine months of 2022 increased $15.3 billion, or 74.9%, from the first nine months of 2021 driven principally by the increase in passenger revenue as described above.</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333"/>
              <w:spacing w:after="0" w:line="122" w:lineRule="exact"/>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center"/>
              <w:ind w:left="34"/>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1,161</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6.8</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15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Total operating expenses increased $14.9 billion, or 72.1%, in the first nine months of 2022 from the first nine months of 2021 driven by higher aircraft fuel and related taxes and other expenses as a result of an increase in the average price per gallon of aircraft fuel and increased capacity. The first nine months of 2021 total operating expenses also included $4.5 billion of net operating special credits principally related to the PSP Financial Assistance. See further discussion of operating special items, net below.</w:t>
      </w:r>
    </w:p>
    <w:p>
      <w:pPr>
        <w:spacing w:after="0" w:line="12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increased $5.8 billion in the first nine months of 2022 from the first nine months of 2021 primarily due to an 84.8% increase in the average price per gallon of aircraft fuel including related taxes to $3.55 in the first nine months of 2022 from $1.92 in the first nine months of 2021 and a 22.1% increase in gallons of fuel consumed due to increased capacity.</w:t>
      </w:r>
    </w:p>
    <w:p>
      <w:pPr>
        <w:spacing w:after="0" w:line="117"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Salaries, wages and benefits increased $1.2 billion, or 13.5%, in the first nine months of 2022 from the first nine months of 2021 primarily due to an 8.7% increase in mainline full-time equivalent employees subsequent to the third quarter of 2021.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Regional expenses increased $1.2 billion, or 58.4%, in the first nine months of 2022 from the first nine months of 2021 primarily due to contractual rate increases with American's third-party regional carriers. The first nine months of 2021 also included the recognition of $539 million of PSP Financial Assistance as a regional operating special credit.</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Maintenance, materials and repairs increased $566 million, or 40.9%, in the first nine months of 2022 from the first nine months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Other rent and landing fees increased $131 million, or 6.8%, in the first nine months of 2022 from the first nine months of 2021 primarily due to an increase in landing fees as a result of increased departures.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Selling expenses increased $586 million, or 78.7%, in the first nine months of 2022 from the first nine months of 2021 primarily due to higher credit card fees and commission expense driven by the overall increase in passenger revenues.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Other operating expenses increased $1.3 billion, or 45.1%, in the first nine months of 2022 from the first nine months of 2021 primarily as a result of increased capacity and expenses associated with improving American's product offerings, customer experience and operational reliability.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7"/>
                <w:szCs w:val="17"/>
                <w:color w:val="auto"/>
              </w:rPr>
            </w:pPr>
          </w:p>
        </w:tc>
      </w:tr>
      <w:tr>
        <w:trPr>
          <w:trHeight w:val="231"/>
        </w:trPr>
        <w:tc>
          <w:tcPr>
            <w:tcW w:w="76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70"/>
        </w:trPr>
        <w:tc>
          <w:tcPr>
            <w:tcW w:w="7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-1971040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nine months ended September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 established under PSP2 and PSP3.</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related to American's voluntary early retirement programs for the nine months ended September 30, 2022 and 2021 were approximately $180 million and $480 million,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gridSpan w:val="3"/>
            <w:vMerge w:val="restart"/>
          </w:tcPr>
          <w:p>
            <w:pPr>
              <w:jc w:val="center"/>
              <w:ind w:left="538"/>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vMerge w:val="continue"/>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right"/>
              <w:ind w:right="31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w w:val="96"/>
              </w:rPr>
              <w:t>10.5</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6"/>
              </w:rPr>
              <w:t>14.6</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-762000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Interest income increased in the first nine months of 2022 compared to the first nine months of 2021 primarily as a result of higher returns on American's short-term investments.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Interest expense, net increased in the first nine months of 2022 compared to the first nine months of 2021 primarily due to the impact of the AAdvantage Financing issued at the end of the first quarter of 2021, which improved American's liquidity position in response to the COVID-19 pandemic.</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nine months of 2022, other nonoperating income, net primarily included $ 314 million of non-service related pension and other postretirement benefit plan income, offset in part by $32 million of net special charges principally for mark-to-market net unrealized losses associated with American's equity investments in GOL, Vertical and China Southern Airlines.</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nine months of 2021, other nonoperating income, net included $251 million of non-service related pension and other postretirement benefit plan income, offset in part by $31 million of net special charges principally for non-cash charges associated with debt refinancings and extinguishments.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 the first nine months of 2022, American recorded an income tax benefit of $115 million. Substantially all of American’s income or loss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September 30, 2022, AAG had $14.3 billion in total available liquidity and $953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96"/>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Given the actions we have taken in response to the COVID-19 pandemic and our assumptions about its future impact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contractual restrictions and other factors. The amounts involved may be material. For further information regarding our debt repurchases during the first nine months of 2022, see Note 5 to AAG's Condensed Consolidated Financial Statements in Part I, Item 1A.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net cash provided by operating activities was $ 2.3 billion and $1.9 billion for the first nine months of 2022 and 2021, respectively, a $427 million period-over-period increase. In the first nine months of 2021, we received cash proceeds of approximately $4.7 billion associated with the PSP Financial Assistance. Excluding the PSP Financial Assistance, our operating cash flows increased $ 5.1 billion compared to the first nine months of 2021 primarily due to higher profitability. In addition, during the first nine months of 2022, we made approximately $180 million in cash payments associated with our voluntary early retirement programs. Excluding the enhanced healthcare benefits provided to eligible team members, we estimate cash payments under these programs to be approximately $20 million in the remainder of 2022 and approximately $20 million in 2023.</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$916 million and $7.7 billion for the first nine months of 2022 and 2021,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investing activities in the first nine months of 2022 included $1.9 billion of capital expenditures, which primarily related to the purchase of 17 Airbus A321neo aircraft and 12 spare engines, and the purchase of $205 million of equity investments, principally related to GOL. Additionally, we incurred $274 million related to airport construction projects, net of reimbursements, principally in connection with the renovation and expansion of Terminal 8 at John F. Kennedy International Airport (JFK) and the modernization of Terminals 4 and 5 at Los Angeles International Airport (LAX). These cash outflows were offset in part by $1.3 billion in net sales of short-term investments.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principal investing activities in the first nine months of 2021 included $7.6 billion in net purchases of short-term investments as well as a $330 million increase in restricted short-term investments primarily related to collateral for the AAdvantage Financing. Additionally, we incurred $ 110 million related to airport construction projects, net of reimbursements, principally in connection with the renovation and expansion of Terminal 8 at JFK and the modernization of Terminals 4 and 5 at LAX. These cash outflows were offset in part by $181 million of proceeds from the sale of property and equipment principally related to our retired fleet and $168 million of proceeds primarily from aircraft sale-leaseback transactions. Additionally, aircraft purchase deposit returns of $874 million offset our capital expenditures for the first nine months of 2021, which expenditures were principally related to the harmonization of interior configurations across our mainline fleet and the purchase of two Airbus A321neo aircraft.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net cash used in financing activities was $1.3 billion for the first nine months of 2022 as compared to net cash provided by financing activities of $5.8 billion for the first nine months of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principal financing activities in the first nine months of 2022 included $2.0 billion in repayments of debt and finance lease obligations, consisting of $1.7 billion of scheduled debt repayments including the repayment of $401 million in connection with the maturity of our 5.000% unsecured notes, and the repurchase of $349 million of unsecured notes on the open market. These cash outflows were offset in part by $699 million of long-term debt proceeds from the issuance of equipment notes related to the 2021-1 Aircraft EETCs.</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principal financing activities in the first nine months of 2021 included $12.1 billion in proceeds from the issuance of debt, including approximately $10.0 billion associated with the AAdvantage Financing, $1.0 billion in aggregate principal amount under the PSP2 Promissory Note, $946 million in aggregate principal amount under the PSP3 Promissory Note and the $150 million issuance of special facility revenue bonds related to JFK. We also received $460 million in net proceeds from the issuance of equity pursuant to an at-the-market offering. These cash inflows were offset in part by $6.6 billion in debt repayments, including prepayments totaling $ 2.8 billion for our revolving credit facilities, $950 million for the April 2016 Spare Parts Term Loan Facility, $550 million of outstanding loans under the Treasury Loan Agreement and $2.3 billion in scheduled debt repayments. In addition, we had $176 million of deferred financing cost cash outflows.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net cash provided by operating activities was $1.5 billion and $4.4 billion for the first nine months of 2022 and 2021, respectively, a $2.9 billion period-over-period decrease. American had a $2.8 billion net decrease in intercompany cash receipts principally from AAG's financing transactions. Additionally, in the first nine months of 2021, American received cash proceeds of approximately $4.2 billion associated with the PSP Financial Assistance. Excluding the PSP Financial Assistance and the decrease in AAG's financing transactions, American's operating cash flows increased $4.1 billion compared to the first nine months of 2021 primarily due to higher profitability. Also, during the first nine months of 2022, American made approximately $180 million in cash payments associated with its voluntary early retirement programs. Excluding the enhanced healthcare benefits provided to eligible team members, American estimates cash payments under these programs to be approximately $20 million in the remainder of 2022 and approximately $20 million in 2023.</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$874 million and $7.7 billion for the first nine months of 2022 and 2021,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investing activities in the first nine months of 2022 included $1.8 billion of capital expenditures, which primarily related to the purchase of 17 Airbus A321neo aircraft and 12 spare engines, and the purchase of $205 million of equity investments, principally related to GOL. Additionally, American incurred $274 million related to airport construction projects, net of reimbursements, principally in connection with the renovation and expansion of Terminal 8 at JFK and the modernization of Terminals 4 and 5 at LAX. These cash outflows were offset in part by $1.3 billion in net sales of short-term investments.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principal investing activities in the first nine months of 2021 included $ 7.6 billion in net purchases of short-term investments as well as a $330 million increase in restricted short-term investments primarily related to collateral for the AAdvantage Financing. Additionally, American incurred $110 million related to airport construction projects, net of reimbursements, principally in connection with the renovation and expansion of Terminal 8 at JFK and the modernization of Terminals 4 and 5 at LAX. These cash outflows were offset in part by $181 million of proceeds from the sale of property and equipment principally related to American's retired fleet and $168 million of proceeds primarily from aircraft sale-leaseback transactions. Additionally, aircraft purchase deposit returns of $874 million offset American's capital expenditures for the first nine months of 2021, which expenditures were principally related to the harmonization of interior configurations across its mainline fleet and the purchase of two Airbus A321neo aircraft.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American’s net cash used in financing activities was $570 million for the first nine months of 2022 as compared to net cash provided by financing activities of $3.3 billion for the first nine months of 2021.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principal financing activities in the first nine months of 2022 included $1.3 billion in repayments of debt and finance lease obligations, offset in part by $699 million of long-term debt proceeds from the issuance of equipment notes related to the 2021-1 Aircraft EETCs.</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principal financing activities in the first nine months of 2021 included $10.1 billion in proceeds from the issuance of debt, including approximately $10.0 billion associated with the AAdvantage Financing and the $150 million issuance of special facility revenue bonds related to JFK. These cash inflows were offset in part by $6.6 billion in debt repayments, including prepayments totaling $2.8 billion for American's revolving credit facilities, $950 million for the April 2016 Spare Parts Term Loan Facility, $550 million of outstanding loans under the Treasury Loan Agreement and $2.3 billion in scheduled debt repayments. In addition, American had $174 million of deferred financing cost cash outflows.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September 30, 2022, AAG had $36.6 billion in long-term debt, including current maturities of $2.6 billion. As of September 30, 2022, American had $31.3 billion in long-term debt, including current maturities of $2.6 billion. All material changes in our significant indebtedness since our 2021 Form 10-K are discussed in Note 5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September 30, 2022, we had definitive purchase agreements for the acquisition of the following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Remainder</w:t>
            </w: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2027 and</w:t>
            </w: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2022</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27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2680" w:type="dxa"/>
            <w:vAlign w:val="bottom"/>
            <w:tcBorders>
              <w:bottom w:val="single" w:sz="8" w:color="CCEEFF"/>
            </w:tcBorders>
            <w:gridSpan w:val="2"/>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737 MAX Family</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0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as described in footnote (d)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table below. Actual delivery dates are subject to change, which could be material, based on various potential factors including production delays by the manufacturer and regulatory concerns.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agreements for 52 spare engines to be delivered in 2022 and beyond.</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currently have financing commitments in place for all aircraft on order and scheduled to be delivered in 2022 and 2023, except for 14 Boeing 737 MAX Family aircraft scheduled to be delivered in 2023. Our ability to draw on the financing commitments we have in place is subject to (1) the satisfaction of various terms and conditions, including in some cases, on our acquisition of the aircraft by a certain date and</w:t>
      </w:r>
    </w:p>
    <w:p>
      <w:pPr>
        <w:spacing w:after="0" w:line="1" w:lineRule="exact"/>
        <w:rPr>
          <w:sz w:val="20"/>
          <w:szCs w:val="20"/>
          <w:color w:val="auto"/>
        </w:rPr>
      </w:pPr>
    </w:p>
    <w:p>
      <w:pPr>
        <w:jc w:val="both"/>
        <w:ind w:firstLine="8"/>
        <w:spacing w:after="0" w:line="258" w:lineRule="auto"/>
        <w:tabs>
          <w:tab w:leader="none" w:pos="3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performance by the counterparty providing such financing commitments of its obligations thereunder. We do not have financing commitments in place for any of the aircraft scheduled to be delivered in 2024 and beyond, except for five Boeing 787 Family aircraft scheduled to be delivered in 2024.</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2021 Form 10-K.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September 30, 2022 (in millions). The table does not include commitments that are contingent on events or other factors that are uncertain or unknown at this time and is subject to other conventions as set forth in the applicable accompanying footnotes.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Remainder</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2027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2022</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31,313</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87,888</w:t>
            </w: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$378 million and $23 million of unamortized debt discount, premium and issuance costs as of September 30, 2022 for American and AAG Parent, respectively. For additional information, see Note 5 and Note 4 to AAG’s and American’s Condensed Consolidated Financial Statements in Part I, Items 1A and 1B,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September 30, 2022.</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2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$9.4 billion of future principal payments and $1.4 billion of future interest payments as of September 30, 2022, related to EETCs associated with mortgage financings of certain aircraft and spare engines.</w:t>
      </w:r>
    </w:p>
    <w:p>
      <w:pPr>
        <w:spacing w:after="0" w:line="140" w:lineRule="exact"/>
        <w:rPr>
          <w:rFonts w:ascii="Arial" w:cs="Arial" w:eastAsia="Arial" w:hAnsi="Arial"/>
          <w:sz w:val="23"/>
          <w:szCs w:val="23"/>
          <w:color w:val="auto"/>
          <w:vertAlign w:val="superscript"/>
        </w:rPr>
      </w:pPr>
    </w:p>
    <w:p>
      <w:pPr>
        <w:jc w:val="both"/>
        <w:ind w:left="340" w:hanging="332"/>
        <w:spacing w:after="0" w:line="246"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from the table above, potentially materially, based on various potential factors including production delays by the manufacturer and regulatory concerns. Additionally, the amounts in the table exclude five and four Boeing 787-8 aircraft to be delivered in 2022 and 2023, respectively, as well as five Boeing 787-9 aircraft to be delivered in 2024, in each case, for which we have obtained committed lease financing. This financing is reflected in the operating lease commitments line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40" w:hanging="332"/>
        <w:spacing w:after="0"/>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29"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2021 and is based on estimated payments through 2031.</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construction projects and information technology support and excludes obligations under certain fuel offtake agreements subject to material contingencies, such as the construction of a production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light of our significant cash needs, in particular during periods in which we incur operating losses (such as during the COVID-19 pandemic), as well as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impact of the COVID-19 pandemic),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2021 Form 10-K.</w:t>
      </w:r>
    </w:p>
    <w:p>
      <w:pPr>
        <w:spacing w:after="0" w:line="180" w:lineRule="exact"/>
        <w:rPr>
          <w:sz w:val="20"/>
          <w:szCs w:val="20"/>
          <w:color w:val="auto"/>
        </w:rPr>
      </w:pPr>
    </w:p>
    <w:p>
      <w:pPr>
        <w:ind w:right="4240"/>
        <w:spacing w:after="0" w:line="344"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2021 Form 10-K except as updated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6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September 30,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2022 forecasted fuel consumption, we estimate that a one cent per gallon increase in the price of aircraft fuel would increase our 2022 annual fuel expense by approximately $40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British pound sterling, various Latin American currencies, primarily the Brazilian real, Canadian dollar and Chinese yuan. We do not currently have a foreign currency hedge program.</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September 30, 2022 variable-rate debt and short-term investments balances, annual interest expense on variable rate debt would increase by approximately $140 million and annual interest income on short-term investments would increase by approximately $110 million.</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the London interbank offered rate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secured overnight financing rate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in the future pursue amendments to our LIBOR-based debt transactions to provide for a transition mechanism or other reference rate in anticipation of LIBOR’s discontinuation, but we may not be able to reach agreement with our lenders on any such amendments. As of September 30, 2022, we had $10.5 billion of borrowings linked to LIBOR. The replacement of LIBOR with a comparable or successor rate could cause the amount of interest payable on our long-term debt to be different or higher than expected.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September 30, 2022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September 30, 2022 at the reasonable assurance level.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the quarter ended September 30, 2022, there have been no changes in AAG’s or American’s internal control over financial reporting that have materially affected, or are reasonably likely to materially affect, AAG’s and American’s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September 30, 2022.</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11 to each of AAG and American's Condensed Consolidated Financial Statements in Part I, Item 1A and Part I, Item 1B, respectively,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2" w:lineRule="exact"/>
        <w:rPr>
          <w:sz w:val="20"/>
          <w:szCs w:val="20"/>
          <w:color w:val="auto"/>
        </w:rPr>
      </w:pPr>
    </w:p>
    <w:p>
      <w:pPr>
        <w:jc w:val="both"/>
        <w:ind w:left="260"/>
        <w:spacing w:after="0" w:line="261" w:lineRule="auto"/>
        <w:rPr>
          <w:sz w:val="20"/>
          <w:szCs w:val="20"/>
          <w:color w:val="auto"/>
        </w:rPr>
      </w:pPr>
      <w:r>
        <w:rPr>
          <w:rFonts w:ascii="Arial" w:cs="Arial" w:eastAsia="Arial" w:hAnsi="Arial"/>
          <w:sz w:val="18"/>
          <w:szCs w:val="18"/>
          <w:b w:val="1"/>
          <w:bCs w:val="1"/>
          <w:i w:val="1"/>
          <w:iCs w:val="1"/>
          <w:color w:val="auto"/>
        </w:rPr>
        <w:t>The outbreak and global spread of COVID-19 and government-imposed measures to prevent or reduce its spread have resulted in significant volatility in demand for air travel, the impacts of which have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3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have resulted in significant volatility in demand for air travel, which has adversely affected our business, operations and financial condition to an unprecedented extent. Measures implemented during the pandemic—such as travel restrictions, including testing regimes, “stay at home” and quarantine orders, limitations on public gatherings, cancellation of public events and many others—initially resulted in a precipitous decline in demand for both domestic and international business and leisure travel. In response to this material deterioration in demand, we took a number of aggressive actions to ameliorate our business, operations and financial condition. We focused on reducing our capacity, making structural changes to our fleet, reducing costs including implementing voluntary leave and early retirement programs, preserving cash and improving our overall liquidity position. We reduced our system-wide capacity and, while we have increased capacity to match a subsequent recovery in demand for air travel, we will continue to monitor conditions and to proactively evaluate and adjust our schedule to match demand. Additionally, we retired certain mainline and regional aircraft types earlier than planned, which we expect will allow us to be more efficient by reducing the number of sub-fleets we operate, and we also placed a significant number of aircraft into temporary storage. We moved quickly to attempt to better align our costs with our reduced schedule and implemented other cost-saving initiatives (including reductions in maintenance expense, marketing expense, event and training expense, airport facilities expense, salaries and benefits expense, and other volume-related expense reductions, including fuel). While cases have declined globally and many governments have loosened or lifted COVID-related travel restrictions, the duration and severity of the pandemic and its aftereffects remain uncertain, and there can be no assurance that any of the mitigating actions we have taken will suffice to sustain our business and operations through this pandemic.</w:t>
      </w:r>
    </w:p>
    <w:p>
      <w:pPr>
        <w:spacing w:after="0" w:line="13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taken and may take additional actions to improve our financial position, including measures to improve liquidity, such as obtaining financial assistance under the CARES Act, the PSP Extension Law and the American Rescue Plan Act of 2021 (ARP). In 2020, we received approximately $6.0 billion in financial assistance from Treasury through PSP1 established under the CARES Act, and in 2021, we received approximately $3.5 billion in financial assistance from Treasury through PSP2 established under the PSP Extension Law and $3.3 billion in financial assistance from Treasury through PSP3 established under the ARP.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the requirement that certain levels of commercial air service be maintained; and restrictions on the payment of certain executive compensation until April 1, 2023. Additionally, under PSP1, PSP2 and PSP3, we and certain of our subsidiaries are subject to substantial and continuing reporting obligations. The substance and duration of these restrictions may materially affect our operations, and we may not be successful in managing these impacts.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may pursue additional financing through, among other things,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measures we have taken to reduce our expenditures and to improve our liquidity in response to the COVID-19 pandemic, and any other strategic actions that we may be required to take in the future as a result of any resurgence or prolongation of the pandemic may not be effective in offsetting decreased demand, and we may not be permitted to take certain strategic actions that we believe are beneficial if such strategic actions are in contravention of the requirements under the CARES Act, the PSP Extension Law or the ARP, which could result in a material adverse effect on our business, operating results and financial condition.</w:t>
      </w:r>
    </w:p>
    <w:p>
      <w:pPr>
        <w:spacing w:after="0" w:line="1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full extent of the ongoing impact of the COVID -19 pandemic on our longer-term operational and financial performance will depend on future developments, many of which are outside our control, including the effectiveness of the mitigation strategies discussed above; the duration and spread of COVID-19, including recurrence of the pandemic or the emergence of novel variants, and related travel advisories, restrictions and testing regimes; the supply of effective vaccines and boosters, and the success of efforts to deploy them; the impact of the COVID-19 pandemic on overall long-term demand for air travel; the impact on demand and capacity which could result from government mandates on air service (including, for instance, requirements for passengers to wear face coverings while traveling or have their temperature checked or have administered COVID-19 tests and other checks prior to or after entering an airport or boarding an airplane, or which would limit the number of seats that can be occupied on an aircraft to allow for social distancing or prohibit flights to certain locations); the impact of COVID-19 on our employees’ ability to work because they are quarantined or sickened as a result of exposure to COVID-19 or if they are subject to additional governmental COVID-19 curfews or "stay at home" health orders or similar restrictions; the impact of federal vaccine mandates, including the willingness of our employees to comply with such mandates and potential conflict with actions by certain states that are in conflict with the federal mandate; the impact of the COVID-19 pandemic on the financial health and operations of our business partners and future governmental actions, all of which are highly uncertain and cannot be predicted. Despite recalling previously furloughed frontline team members and continuously hiring new employees, airlines have experienced, and may continue to experience, periodic staffing shortages which may result in flight cancellations and other operational disruptions. The emergence of novel variants, such as the fast-spreading omicron variant in late 2021, could result in a significant rise in global cases, which could lead to higher than normal employee absences. Continued volatility in demand for travel, coupled with the unpredictability of the ongoing pandemic, presents challenges in building and flying our schedule, in particular during peak travel periods.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3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COVID-19 pandemic has also caused significant disruption in global supply chains and staffing shortages, which have affected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Following a faster than expected return of demand for air travel as COVID-19 cases declined worldwide and governments lifted travel restrictions, suppliers and many of the airports we serve have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also dependent upon effective COVID-19 vaccines, including an efficient distribution and sufficient supply, and significant uptake by the general public in order to normalize economic conditions and the airline industry and to realize our financial and growth plans and business strategy. The failure of a vaccine or any subsequently developed vaccine booster, including to the extent it is not effective against any new COVID-19 variants, significant unplanned adverse reactions to the vaccine, politicization or general public distrust of vaccines could prolong the pandemic and have an adverse effect on our business, financial condition and results of operations. Additionally, in September 2021, the Biden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Administration issued an executive order mandating a COVID-19 vaccination requirement for federal contractors. Due to a number of our agreements, American is classified as a government contractor. Consistent with this executive order and guidance from the Safer Federal Workforce Task Force responsible for implementing the order, we announced that the federal vaccine mandate would require all of American’s U.S.-based team members and certain international crew members to be vaccinated or be exempt due to an accommodation for a medical disability or sincerely held religious belief. Lawsuits have been filed in multiple jurisdictions challenging the order, and several courts have issued injunctions against the government's enforcement of the mandate. Two U.S. Courts of Appeal have issued rulings upholding the lower courts’ injunctions; however, in one of these cases, the Eleventh Circuit Court of Appeals narrowed the nationwide stay of enforcement of the executive order issued by the U.S. District Court for the Southern District of Georgia, holding that the stay of enforcement only applies to the parties and states involved in that particular dispute. Following the Eleventh Circuit ruling, the U.S. government may seek to enforce the executive order in states where American operates that are not subject to an injunction. Given the uncertainty of its viability in the courts, the timing of implementation and availability of accommodations, we are still unable to predict the ultimate impact of this federal vaccination requirement on our business should the federal government move to reinstate and enforce it. Moreover, we may be subject to state and local vaccine mandates and other COVID-19-related requirements governing airports where we operate. While the Occupational Health and Safety Administration (OSHA) has withdrawn its overarching COVID-19 Emergency Temporary Standard, the U.S. Supreme Court has acknowledged that OSHA may potentially issue a revised COVID-19 standard targeted to high-risk occupations or workplaces, which could impact our regional carriers and other service providers.</w:t>
      </w:r>
    </w:p>
    <w:p>
      <w:pPr>
        <w:spacing w:after="0" w:line="14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COVID-19 pandemic continues to evolve, and its ultimate impact remains highly uncertain and subject to change. Even once the pandemic subsides, demand for certain types of air travel may remain weak for a prolonged period due to, among other things, adverse changes in business travel patterns or perceived or actual economic factors such as declines in income levels and/or loss of wealth resulting from the impact of the COVID-19 pandemic. 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 Accordingly, we cannot predict the ultimate impact of the COVID-19 pandemic or its after-effects on our business, financial condition and results of operations. Additionally, the COVID-19 pandemic has necessitated changes in business practices which may persist. For example, businesses and other travelers may continue to forego air travel in favor of remote or flexible working policies and communication alternatives such as videoconferencing. In addition, to the extent businesses continue to permit air travel during the COVID-19 pandemic, they are more likely to require the purchase of less expensive tickets to reduce costs, thereby potentially impacting our average revenue per available seat mile. See also </w:t>
      </w:r>
      <w:r>
        <w:rPr>
          <w:rFonts w:ascii="Arial" w:cs="Arial" w:eastAsia="Arial" w:hAnsi="Arial"/>
          <w:sz w:val="18"/>
          <w:szCs w:val="18"/>
          <w:i w:val="1"/>
          <w:iCs w:val="1"/>
          <w:color w:val="auto"/>
        </w:rPr>
        <w:t>“The outbreak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spread of COVID-19 and government-imposed measures to prevent or reduce its spread have resulted in significant volatility in demand for air travel, the impacts of which have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September 30, 2022, our planned aggregate expenditures for aircraft purchase commitments and certain engines on a consolidated basis for the remainder of 2022 through 2026 would be approximately $11.8 billion. We may also require financing to refinance maturing obligations and to provide liquidity to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in response to the impact of the COVID-19 pandemic; our non-investment grade credit rating; volatile or otherwise unfavorable market conditions; the availability of assets to use as collateral for loans or other indebtedness, which has been reduced significantly as a result of certain financing transactions we have undertaken since the beginning of 2020 and may be further reduced; and the effect the COVID-19 pandemic has had on the global economy generally and the air transportation industry in particular.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24"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2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bear interest at floating rates, which could subject us to volatility in interest rates and make servicing our debt more expensive;</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 collateral coverage ratios and peak debt service coverage ratios;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60" w:right="20" w:hanging="656"/>
        <w:spacing w:after="0" w:line="287" w:lineRule="auto"/>
        <w:tabs>
          <w:tab w:leader="none" w:pos="19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98" w:lineRule="exact"/>
        <w:rPr>
          <w:rFonts w:ascii="Arial" w:cs="Arial" w:eastAsia="Arial" w:hAnsi="Arial"/>
          <w:sz w:val="18"/>
          <w:szCs w:val="18"/>
          <w:color w:val="auto"/>
        </w:rPr>
      </w:pPr>
    </w:p>
    <w:p>
      <w:pPr>
        <w:ind w:left="1940" w:hanging="636"/>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in response to the travel restrictions, decreased demand and other effects of the COVID-19 pandemic on our business, we obtained a significant amount of additional financing from a variety of sources and given continued uncertainty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and restrictions on the payment of certain executive compensation until April 1, 2023. Additionally, under PSP1, PSP2 and PSP3,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obligations discussed above, including those imposed as a result of the CARES Act, the PSP Extension Law, the ARP and any additional financings we may be required to undertake as a result of the impact of the COVID-19 pandemic, could also impact our ability to obtain additional financing, if needed, and our flexibility in the conduct of our business, and could materially adversely affect our liquidity, results of operations and financial condition.</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3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in the future pursue amendments to our LIBOR-based debt transactions to provide for a transition mechanism or other reference rate in anticipation of LIBOR’s discontinuation, but we may not be able to reach agreement with our lenders on any such amendments. As of September 30, 2022, we had $10.5 billion of borrowings linked to LIBOR. The replacement of LIBOR with a comparable or successor rate could cause the amount of interest payable on our long-term debt to be different or higher than expected.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On March 11, 2021, the ARP was enacted, which included funding relief provisions benefiting single employer qualified retirement benefit pension plans such as those sponsored by American. Based on the ARP provisions applicable to our pension plans, we will have no additional funding requirements until 2023. We also have significant obligations for retiree medical and other postretirement benefits.</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11"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of the COVID-19 pandemic on demand for air travel and, in turn, capacity, we experienced a prolonged increase in demand from consumers for refunds on their tickets, and we cannot assure that we will not experience periods of elevated refund demand in the future. A material increase in requests for refunds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counterparties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12"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Among other things, the CARES Act, the PSP Extension Law and the ARP impose significant restrictions on executive compensation, which will remain in place until April 1, 2023. Such restrictions, over time, will likely result in lower executive compensation in the airline industry than is prevailing in other industries, creating increasing retention challenges in the case of executives presented with alternative, non-airline opportunities. In addition, competition for skilled personnel has intensified and may continue to intensify if overall industry capacity continues to increase and/or we were to incur attrition at levels higher than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historically. Any inability to attract, develop and retain significant numbers of qualified management and other personnel would have a material adverse effect on our business, results of operations and financial condition.</w:t>
      </w:r>
    </w:p>
    <w:p>
      <w:pPr>
        <w:spacing w:after="0" w:line="18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3"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99" w:lineRule="exact"/>
        <w:rPr>
          <w:sz w:val="20"/>
          <w:szCs w:val="20"/>
          <w:color w:val="auto"/>
        </w:rPr>
      </w:pPr>
    </w:p>
    <w:p>
      <w:pPr>
        <w:ind w:left="1300" w:right="20" w:hanging="644"/>
        <w:spacing w:after="0" w:line="28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occurrence of wars, terrorist attacks and political instability;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including the ongoing COVID-19 pandemic; and</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addition to the effects of the ongoing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outbreak and global spread of COVID-19 and government-imposed measures to prevent or reduce its spread have resulted in significant volatility in demand for air travel, the impacts of which have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w:t>
      </w:r>
      <w:r>
        <w:rPr>
          <w:rFonts w:ascii="Arial" w:cs="Arial" w:eastAsia="Arial" w:hAnsi="Arial"/>
          <w:sz w:val="18"/>
          <w:szCs w:val="18"/>
          <w:i w:val="1"/>
          <w:iCs w:val="1"/>
          <w:color w:val="auto"/>
        </w:rPr>
        <w:t xml:space="preserve"> </w:t>
      </w:r>
      <w:r>
        <w:rPr>
          <w:rFonts w:ascii="Arial" w:cs="Arial" w:eastAsia="Arial" w:hAnsi="Arial"/>
          <w:sz w:val="18"/>
          <w:szCs w:val="18"/>
          <w:color w:val="auto"/>
        </w:rPr>
        <w:t>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As of December 31, 2021, approximately 86% of our employees were represented for collective bargaining purposes by labor unions, and 45% were covered by CBAs that are currently amendable or that will become amendable within one year. For the dates that the CBAs with our major work groups become amendable under the RLA, see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in our 2021 Form 10-K.</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in our 2021 Form 10-K.</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Currently, we believe our labor costs are generally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05"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pandemic, these third-party operators have experienced difficulties in recruiting and retaining sufficient personnel to operate significantly increased schedules, and have in some instances been required to offer significant increases in pay and other benefits to recruit and retain pilots and other personnel. We expect the disruption to services resulting from the COVID-19 pandemic and subsequent rapid return of demand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3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in particular airline travel, and these negative perceptions could continue even after the pandemic subsides. Actual or perceived risk of infection on our flights has had, and may continue to have, a material adverse effect on the public's perception of us, which has harmed, and may continue to harm, our reputation and business. We have taken various measures to reassure our team members and the traveling public of the safety of air travel, and we expect that we will continue to incur COVID-19 related costs as we sanitize aircraft, implement additional hygiene-related protocols and take other actions to limit the threat of infection among our employees and passengers. However, we cannot assure that these or any other actions we might take in response to the COVID-19 pandemic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If our employees feel unsafe or believe that we are not doing enough to prevent and prosecute these incidents, we could experience higher rates of employee absence and we may suffer reputational harm which could make it more difficult to attract and retain employees, and which could in turn negatively affect our business, financial condition and results of operations.</w:t>
      </w:r>
    </w:p>
    <w:p>
      <w:pPr>
        <w:spacing w:after="0" w:line="216"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news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9"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loyalty program, charging separately for services that had previously been included within the price of a ticket,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 demand for air travel recovers, assuming this change remains 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 brand perceptions, reputational harm or regulatory scrutiny,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 to each of AAG and American's Condensed Consolidated Financial Statements in Part I, Item 1A and Part I, Item 1B, respectively.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As of December 31, 2021, we had approximately $17.2 billion of gross federal NOLs and $3.0 billion of other carryforwards available to reduce future federal taxable income, of which $6.9 billion will expire beginning in 2024 if unused and $13.3 billion can be carried forward indefinitely. We also had approximately $6.0 billion of NOL carryforwards to reduce future state taxable income at December 31, 2021, which will expire in taxable years 2021 through 2041 if unused. Our NOL carryforwards are subject to adjustment on audit by the Internal Revenue Service and the respective state taxing authorities. Additionally, due to the COVID-19 pandemic and other economic factors, the NOL carryforwards may expire before we can generate sufficient taxable income to use them.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ability to use our NOLs and other carryforwards will depend on the amount of taxable income generated in future periods. We presently have a $34 million valuation allowance on certain net deferred tax assets related to state NOL carryforwards. If our financial results continue to be adversely impacted by the COVID-19 pandemic, there can be no assurance that an additional valuation allowance on our net deferred tax assets will not be required. Such valuation allowance could be material.</w:t>
      </w:r>
    </w:p>
    <w:p>
      <w:pPr>
        <w:spacing w:after="0" w:line="12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experienced an ownership change 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$5.4 billion of unlimited NOLs still remaining at December 31, 2021)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the warrants (and common stock issuable upon exercise thereof) we issued to Treasury did not and will not result in an "ownership change" for purposes of Section 382. This exception does not apply for companies issuing warrants, stock options, common or preferred stock or other equity pursuant to PSP1, PSP2 and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Benefits Preservation Plan) in order to preserve our ability to use our NOLs and certain other tax attributes to reduce potential future income tax obligations. The Tax Benefits Preservation Plan was subsequently ratified by our stockholders at the 2022 Annual Meeting of Stockholders of AAG. The Tax Benefits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August 16, 2022, the Inflation Reduction Act (the IRA) was signed into law in the U.S. Among other changes, the IRA introduced a corporate minimum tax on certain corporations with average adjusted financial statement income over a three-tax year period in excess of $1.0 billion and an excise tax on certain stock repurchases by certain covered corporations for taxable years beginning after December 31, 2022. The corporate minimum tax and any excise tax imposed on any repurchases of AAG common stock made after December 31, 2022 may adversely affect our financial condition in the future. The U.S. government may enact additional significant changes to the taxation of business entities including, among others, an increase in the corporate income tax rate, significant changes to the taxation of income derived from international operations, and an addition of further limitations on the deductibility of business interest. We are currently unable to predict whether such additional changes will occur. If such changes are enacted or implemented, we are currently unable to predict the ultimate impact on our business and therefore there can be no assurance our business will not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Airline Industry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recently during the COVID-19 pandemic), as airlines under financial stress, or in bankruptcy, may institute pricing or fee structures intended to attract more customers to achieve near term survival at the expense of long-term viability.</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and several new entrants have announced their intention to start up new ultra-low-cost carriers. Many of these new and existing carriers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with the delivery of planned, long-range narrowbody aircraft. The actions of existing or future low-cost carriers, including those described above, could have a material adverse effect on our operations and financial performance.</w:t>
      </w:r>
    </w:p>
    <w:p>
      <w:pPr>
        <w:spacing w:after="0" w:line="1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travel to specific regions as a result of the COVID-19 pandemic and the speed with which demand for travel to these regions returns.</w:t>
      </w:r>
    </w:p>
    <w:p>
      <w:pPr>
        <w:spacing w:after="0" w:line="1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United States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and April 2022, the CMA adopted interim measures that effectively extend the EC commitments until March 2026 in light of the uncertainty and other impacts resulting from the COVID-19 pandemic. The CMA plans to complete its investigation before the scheduled expiration of the interim measures in March 2026. The foregoing arrangements are important aspects of our international network and we are dependent on the performance and continued cooperation of the other airlines party to those arrangements.</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2021, we began implementing key aspects of our marketing relationship with JetBlue. This arrangement includes an alliance agreement with reciprocal codesharing on certain domestic and international routes from New York (JFK, LaGuardia Airport (LGA), and Newark Liberty International Airport) and Boston Logan International Airport, and provides for reciprocal loyalty program benefits. The arrangement does not include JetBlue’s transatlantic flying. Pursuant to federal law, American and JetBlue submitted this proposed alliance arrangement to the DOT for review. After American, JetBlue and the DOT agreed to a series of commitments, the DOT terminated its review of the proposed alliance in January 2021. The commitments include growth commitments to ensure capacity expansion, slot divestitures at JFK and at Ronald Reagan Washington National Airport (DCA) near Washington, D.C. and antitrust compliance measures. Beyond the DOT Agreement, American and JetBlue will also refrain from certain kinds of coordination on certain city pair markets. Upon the DOT’s termination of its review of the proposed alliance, American and JetBlue implemented the proposed alliance subject to these commitments. On September 21, 2021, the United States Department of Justice (DOJ), joined by Attorneys General from six states and the District of Columbia, filed an antitrust complaint against American and JetBlue alleging that American and JetBlue violated U.S. antitrust laws in connection with the Northeast Alliance arrangement (NEA). The parties are currently presenting their respective cases in a bench trial that commenced on September 27, 2022. We believe this complaint is without merit and are defending against it vigorously.</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Notwithstanding the DOT’s termination of its reviews of the NEA and certain other alliances, the DOT maintains authority to conduct investigations under the scope of its existing statutes and regulations, including conduct related to this alliance. On September 21, 2021, the DOT published a Clarification Notice relating to the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 On September 30, 2022,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DOT issued a further statement referencing the prior Clarification Notice and, among other things, indicating its intention to continue working with the DOJ in its efforts to resolve the ongoing proceedings regarding the Northeast Alliance.</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Other mergers and other forms of airline partnerships, including antitrust immunity grants, may take place and may not involve us as a participant.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antitrust immunity grants,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Agreements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may also be impacted by competition regulations affecting certain of our major commercial partners, including our co-branded credit card partners. For example, there has been bipartisan legislation proposed in Congress called the Credit Card Competition Act designed to increase credit card transaction routing options for merchants which, if enacted, could result in a reduction of the fees levied on credit card transactions. If this legislation were successful, it could fundamentally alter our agreements with co-branded credit card partners and the benefits we provide to our consumers through the co-branded credit cards issued by these partners.</w:t>
      </w:r>
    </w:p>
    <w:p>
      <w:pPr>
        <w:spacing w:after="0" w:line="208"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including with Alaska Airlines Group, Inc. and Qatar Airways Company Q.C.S.C., and, in certain instances, including China Southern Airlines, GOL and our previously announced proposed investment in JetSMART, by making a significant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COVID-19 pandemic and subsequent economic recovery, the industry experienced significant volatility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00"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$0.37 per gallon to a high of approximately $4.40 per gallon during the period from January 1, 2019 to September 30, 2022. In particular, fuel prices rose substantially in 2021, and significant price increases continued into 2022.</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September 30, 2022,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1"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Federal Aviation Administration (FAA), the Transportation Security Administration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remained in place for over a year and was not lifted in the United States until November 2020), or otherwise caused substantial disruption and resulted in material costs to us and lost revenues. The recent telecom industry roll-out of 5G technology, and concerns regarding its possible interference with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aircraft navigation systems, also resulted in regulatory uncertainty and the potential for operational impacts, including possible suspension of service to certain airports or the operation of certain aircraft. See </w:t>
      </w:r>
      <w:r>
        <w:rPr>
          <w:rFonts w:ascii="Arial" w:cs="Arial" w:eastAsia="Arial" w:hAnsi="Arial"/>
          <w:sz w:val="18"/>
          <w:szCs w:val="18"/>
          <w:i w:val="1"/>
          <w:iCs w:val="1"/>
          <w:color w:val="auto"/>
        </w:rPr>
        <w:t>"We rely heavily on technology and automated systems to operate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and any failure of these technologies or systems could harm our business, results of operations and financial condition." </w:t>
      </w:r>
      <w:r>
        <w:rPr>
          <w:rFonts w:ascii="Arial" w:cs="Arial" w:eastAsia="Arial" w:hAnsi="Arial"/>
          <w:sz w:val="18"/>
          <w:szCs w:val="18"/>
          <w:color w:val="auto"/>
        </w:rPr>
        <w:t>The FAA</w:t>
      </w:r>
      <w:r>
        <w:rPr>
          <w:rFonts w:ascii="Arial" w:cs="Arial" w:eastAsia="Arial" w:hAnsi="Arial"/>
          <w:sz w:val="18"/>
          <w:szCs w:val="18"/>
          <w:i w:val="1"/>
          <w:iCs w:val="1"/>
          <w:color w:val="auto"/>
        </w:rPr>
        <w:t xml:space="preserve"> </w:t>
      </w:r>
      <w:r>
        <w:rPr>
          <w:rFonts w:ascii="Arial" w:cs="Arial" w:eastAsia="Arial" w:hAnsi="Arial"/>
          <w:sz w:val="18"/>
          <w:szCs w:val="18"/>
          <w:color w:val="auto"/>
        </w:rPr>
        <w:t>also exercises comprehensive regulatory authority over nearly all technical aspects of our operations. Our failure to comply with such requirements has in the past and may in the future result in fines and other enforcement actions by the FAA or other regulators. The FAA recently issued a final rule implementing flight attendant duty and rest periods, which will impact our scheduling flexibility. In the future, any new regulatory requirements, particularly requirements that limit our ability to operate or price our products, could have a material adverse effect on us and the industry.</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many aspects of our customer's journey, including at the time of ticket purchase, at the airport, and onboard the aircraft. DOT requires multiple disclosures of airline fares, taxes and baggage fees and is further changing these requirements to increase the number of disclosures and the time at which they must be disclosed. DOT also recently issued a proposed rule mandating refunds in certain circumstances, such as a global pandemic. Finally, DOT will be proposing and implementing a number of new disability regulations that will impact us, including rules for accessible lavatories on single-aisle aircraft, wheelchair damage and prompt wheelchair assistance.</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2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airlines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brought by flight attendants and certain other work groups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 Additionally, in September 2021, the Biden Administration issued an executive order mandating a COVID-19 vaccination requirement for federal contractors. Due to a number of our agreements, American is classified as a government contractor. Consistent with this executive order and guidance from the Safer Federal Workforce Task Force responsible for implementing the order, we announced that the federal vaccine mandate would require all of American’s U.S.-based team members and certain international crew members to be vaccinated or be exempt due to an accommodation for a medical disability or sincerely held religious belief. Lawsuits have been filed in multiple jurisdictions challenging the order, and several courts have issued injunctions against the government’s enforcement of the mandate. Two U.S. Courts of Appeal have issued rulings upholding the lower courts’ injunctions; however, in one of these cases, the Eleventh Circuit Court of Appeals narrowed the nationwide stay of enforcement of the executive order issued by the U.S. District Court for the Southern District of Georgia, holding that the stay of enforcement only applies to the parties and states involved in that particular dispute. Following the Eleventh Circuit ruling, the U.S. government may seek to enforce the executive order in states where American operates that are not subject to an injunction. Given the uncertainty of its viability in the courts, the timing of implementation and availability of accommodations, we are still unable to predict the ultimate impact of this federal vaccination requirement on our business should the federal government move to reinstate and enforce it. Moreover, we may be subject to state and local vaccine mandates and other COVID-19-related requirements governing airports where we operate. While OSHA has withdrawn its overarching COVID-19 Emergency Temporary Standard, the U.S. Supreme Court has acknowledged that OSHA may potentially issue a revised COVID-19 standard targeted to high-risk occupations or workplaces, which could impact our regional carriers and other service providers.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9" w:lineRule="exact"/>
        <w:rPr>
          <w:sz w:val="20"/>
          <w:szCs w:val="20"/>
          <w:color w:val="auto"/>
        </w:rPr>
      </w:pPr>
    </w:p>
    <w:p>
      <w:pPr>
        <w:ind w:left="1300" w:hanging="644"/>
        <w:spacing w:after="0" w:line="28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8" w:lineRule="exact"/>
        <w:rPr>
          <w:rFonts w:ascii="Arial" w:cs="Arial" w:eastAsia="Arial" w:hAnsi="Arial"/>
          <w:sz w:val="18"/>
          <w:szCs w:val="18"/>
          <w:color w:val="auto"/>
        </w:rPr>
      </w:pPr>
    </w:p>
    <w:p>
      <w:pPr>
        <w:jc w:val="both"/>
        <w:ind w:left="1300" w:right="20" w:hanging="644"/>
        <w:spacing w:after="0" w:line="268"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 (including our arrangements with JetBlue);</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to date and may in the future have the effect of reducing demand for air travel in the markets where such requirements are imposed.</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4"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have severely impacted the demand for international travel and have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We can provide no assurance as to when such restrictions will be eased or lifted, when demand for international travel will return to pre-COVID-19 pandemic levels, if at all, or whether certain international destinations we previously served will be economical in the future.</w:t>
      </w:r>
    </w:p>
    <w:p>
      <w:pPr>
        <w:spacing w:after="0" w:line="12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 In particular, in October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The USTR subsequently imposed tariffs of up to 15% on certain imports from the EU, including on certain Airbus aircraft that we previously contracted to purchase and certain imported aircraft parts. In June 2021, the United States, the EU and the UK announced agreements to suspend the imposition of these tariffs, contingent upon each party remaining satisfied that subsidies do not arise.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However, if and to the extent any of these tariffs are reimposed on us without any available means for us to mitigate or pass on the burden of these tariffs to Airbus, the effective cost of new Airbus aircraft required to implement our fleet plan would increase.</w:t>
      </w:r>
    </w:p>
    <w:p>
      <w:pPr>
        <w:spacing w:after="0" w:line="9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This could materially adversely affect our business, results of operations and financial condition.</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Brexit has also led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joint business. We continue to fully cooperate with the CMA and, in September 2020 and April 2022, the CMA adopted interim measures that effectively extend the EC commitments until March 2026 in light of the uncertainty and other impacts resulting from the COVID-19 pandemic. The CMA plans to complete its investigation before the interim measures are scheduled to expire in March 2026.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136"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3"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0"/>
        <w:spacing w:after="0" w:line="295"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jc w:val="both"/>
        <w:ind w:firstLine="243"/>
        <w:spacing w:after="0" w:line="233"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(ICAO) has adopted rules, including those pertaining to the Carbon Offsetting and Reduction Scheme for International Aviation (CORSIA), which will require American to address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Item 1. Business – Domestic and Global Regulatory Landscape – Environmental Matters in our 2021 Form 10-K.</w:t>
      </w:r>
    </w:p>
    <w:p>
      <w:pPr>
        <w:spacing w:after="0" w:line="141"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because it is difficult to estimate the return of demand for international air travel during and in the recovery from the COVID-19 pandemic. There is also significant uncertainty with respect to the future supply and price of carbon offset credits and sustainable or lower carbon aircraft fuels that could allow us to reduce our emissions of CO</w:t>
      </w:r>
      <w:r>
        <w:rPr>
          <w:rFonts w:ascii="Arial" w:cs="Arial" w:eastAsia="Arial" w:hAnsi="Arial"/>
          <w:sz w:val="23"/>
          <w:szCs w:val="23"/>
          <w:color w:val="auto"/>
          <w:vertAlign w:val="subscript"/>
        </w:rPr>
        <w:t>2</w:t>
      </w:r>
      <w:r>
        <w:rPr>
          <w:rFonts w:ascii="Arial" w:cs="Arial" w:eastAsia="Arial" w:hAnsi="Arial"/>
          <w:sz w:val="18"/>
          <w:szCs w:val="18"/>
          <w:color w:val="auto"/>
        </w:rPr>
        <w:t>. In addition, we will not directly control our CORSIA compliance costs through 2029 because those obligations are based on the growth in emissions of the global aviation sector and begin to incorporate a factor for individual airline operator emissions growth beginning in 2030.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For example, in June 2022, the European Parliament and European Council adopted their respective positions on a set of measures to reform the EU Emissions Trading System (ETS) as part of the EU's "Fit for 55" program, an initiative published by the EC in July 2021. To the extent that the EC's initial proposals are adopted, these measures would expand the scope of the EU ETS to include emissions from all flights departing from an airport located in the European Economic Area (EEA); currently the EU ETS applies only to emissions from intra-EEA flights. These proposals, if enacted in the form proposed by the EC, may lead to increased expense related to the emissions of our flights departing from EEA airports.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will not rewrite the existing aircraft engine GHG emissions standards but will press for ambitious new aircraft GHG emission standards at international negotiations organized by the ICAO in late 2022. The development of new aircraft GHG emissions standards cannot be predicted at this time.</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EC has proposed the creation of a sustainable aviation fuel (SAF) blending mandate for aviation fuel suppliers set at 2% beginning in 2025 and rising to 63% by 2050, among other requirements. Individual EU member states have been developing their own requirements including, for example, a 1% SAF mandate in France that came into force on January 1, 2022. Whether these regulations will be finalized and the potential effects on our business are uncertain at this time.</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so-called “forever chemicals,” most notably per- and polyfluoroalkyl, substances (PFAS). Products containing PFAS have been used in manufacturing, industrial, and consumer applications over many decades, including those related to aviation. We may incur costs in connection with obligations to transition away from the usage of PFAS-containing products, to dispose of PFAS-containing waste or to remediate any PFAS contamination.</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airspace and airports we utilize.</w:t>
      </w:r>
    </w:p>
    <w:p>
      <w:pPr>
        <w:spacing w:after="0" w:line="21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3"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Large numbers of pilots in the industry accepted early retirement during the COVID-19 pandemic or are approaching the FAA’s mandatory retirement age of 65. Our pilots and other employees are subject to rigorous certification standards,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These and other factors have contributed to a significant shortage of qualified, entry-level pilots, shortages of experienced pilots trained and ready for duty, and increased compensation costs, particularly for our regional subsidiaries and our other regional partners who are being required by market conditions to pay significantly increased wages and large signing and other bonuses to their pilots in an attempt to achieve desired staffing levels. The foregoing factors have also led to increased competition from large, mainline carriers attempting to meet their hiring needs and significant proposed increases in mainline pilot compensation. We believe that this industry-wide pilot shortage is becoming an increasing problem for airlines in the United States. Our regional airline subsidiaries and other regional partners have recently been unable to hire adequate numbers of pilots to meet their needs, resulting in a reduction in the number of flights offered, disruptions, increased compensation expense and costs of operations, financial difficulties and other adverse effects, and these circumstances may become more severe in the future and thereby cause a material adverse effect on our business.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2021, all of our mainline aircraft were manufactured by either Airbus or Boeing and all of our regional aircraft were manufactured by either Bombardier or Embraer. Further, our supplier base continues to consolidate as evidenced by the acquisition of Rockwell Collins by United Technologies and the transactions involving Airbus and Bombardier and Mitsubishi and Bombardier.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certify or operate our aircraft, even temporarily. For instance, in March 2019, the FAA ordered the grounding of all Boeing 737 MAX Family aircraft, which remained in place for over a year and was not lifted in the United States until November 2020, and in April 2021, we removed from operations, pending ongoing inspection and investigation, a subset of our Boeing 737 MAX Family aircraft after receipt of notice from Boeing of a potential electrical power system issue relating to those aircraft. More recently, Boeing has been unable to deliver 787 aircraft that we have on order due to regulatory concerns raised by the FAA, as a result of which we have been forced, on more than one occasion, to significantly reduce our previously scheduled long-haul flying and suspend or delay our service to certain long-haul markets. The limited number of these suppliers may also result in reduced competition and potentially higher prices than if the supplier base was less concentrated.</w:t>
      </w:r>
    </w:p>
    <w:p>
      <w:pPr>
        <w:spacing w:after="0" w:line="212"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and which caused us to be unable to take delivery of the Boeing 737 MAX Family aircraft we had on order from Boeing. More recently, Boeing has been unable to deliver 787 aircraft that we have on order due to regulatory concerns raised by the FAA, as a result of which we have been forced, on more than one occasion, to significantly reduce our previously scheduled long-haul flying and suspend or delay our service to certain long-haul markets. Repeated or prolonged delays in the production, delivery or induction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new aircraft could require us to scale back our growth plans, reduce frequencies or forgo service entirely to certain markets, which could adversely affect our business, financial condition and results of operations.</w:t>
      </w:r>
    </w:p>
    <w:p>
      <w:pPr>
        <w:spacing w:after="0" w:line="18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3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January 18, 2022, major U.S. telecommunications companies agreed to delay the implementation of 5G near airports until July 5, 2022 while working with the FAA to develop long-term mitigations to support safe aviation operations. While the telecommunications industry agreed to delay the activation of 5G transmitters in close proximity to airports, it did move forward with the activation of a vast majority of 5G transmitters away from airports, and we expect that companies will continue expanding their 5G networks over the next several years. As a result, the FAA has taken precautionary steps to mitigate any remaining interference risks, which have resulted in minimal impacts to our operations, particularly in low-visibility conditions at certain airports and with our regional carriers. While we are working closely with the FAA and other aviation industry participants to develop a long-term strategy that permits the full implementation of the 5G spectrum without disruption to safe aviation operations, any new restrictions imposed to mitigate interference risks would require us to adjust our operating procedures and could impact our ability to operate certain aircraft or to serve certain markets. On June 17, 2022, the FAA announced that major U.S. telecommunications companies have agreed to continue to keep 5G mitigations beyond July 5, 2022, but simultaneously announced their expectation that the U.S. mainline commercial fleet to have radio altimeter retrofits or other enhancements in place by July 2023. We have made clear our commitment to updating our aircraft as soon as possible and expect our Airbus A320 mainline and Embraer regional fleets to have their updates completed by the end of the year. Our most pressing concern moving forward is having certified solutions in place for the rest of our impacted fleet, both mainline and regional. For each fleet type, we need the FAA to certify a solution, the aircraft manufacturer to issue a service bulletin, the radio altimeter manufacturer to produce the solution, and for the solution to be delivered to us with enough time to install it on our aircraft in advance of July 2023.</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equipment and 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2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However, like any global enterprise operating in today’s digital business environment, we have experienced cybersecurity incidents and data breaches. The threat of cybersecurity incidents continues to increase as the frequency, intensity and sophistication of attacks and intrusions increase around the world. We and our business partners have been the target of cybersecurity attacks and data breaches in the past and expect that we will continue to be in the future. For example, in March 2021, a sub-set of AAdvantage members as well as members of several other major airline loyalty programs received a notification about a security incident involving a limited amount of loyalty data held by a service provider. As another example, in July 2022, a minor phishing incident resulted in certain employee email accounts being accessed and acquired without authorization that contained personal information about a very limited number of individuals, including travelers (following which we notified the individuals). We react and respond to these cybersecurity attacks in accordance with the applicable legal requirements, our own approved cybersecurity protocols, as well as our commercial partners’ standards, but we cannot ensure that our responses will be sufficient to prevent or mitigate the potential adverse impacts of these incidents, which may be material.</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General Data Protection Regulation, commonly referred to as GDPR, came into effect, which imposes a host of data privacy and security requirements, imposing significant costs on us and carrying substantial penalties for non-compliance.</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2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Significant cybersecurity incidents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 In addition, we use third-party service providers to help us deliver services to customers. These service providers may store personal information, credit card information and/or other confidential information. Such information may be the target of unauthorized access or subject to security breaches as a result of third-party action, employee error, malfeasance or otherwise. Any of these could (a) result in the loss of information, litigation, indemnity obligations, damage to our reputation and other liability, or (b) have a material adverse effect on our business, financial condition and results of operations.</w:t>
      </w:r>
    </w:p>
    <w:p>
      <w:pPr>
        <w:spacing w:after="0" w:line="1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data is secured, such as how personal data is collected, used for marketing purposes, and shared with third parties, also increases the risk on our business in the event of a significant violation. Accordingly, failure to appropriately address data privacy and cybersecurity issues could result in material financial and other liabilities and cause significant reputational harm to our company.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In addition, our agreements with GDSs and other distribution channels are subject to periodic renegotiation, and our efforts to control our distribution costs depend on our ability to renew or continue these agreements on favorable terms. We cannot assure that we will be able to renew our distribution agreements on commercially acceptable terms, and any failure to do so could materially increase our costs, thereby adversely impacting our business, financial condition and results of operations.</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7"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Dallas/Fort Worth International Airport, JFK, Chicago O’Hare International Airport (ORD), LAX and LGA.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 -called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continue to be granted, whether they will be granted on the same or similar terms, or whether we ultimately could be at risk of losing valuable operating rights. If we are forced to surrender slots,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3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in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9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hanging="644"/>
        <w:spacing w:after="0" w:line="262"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future share repurchase programs and any future dividend payments that may be declared by our Board of Directors, or any future determination to cease repurchasing stock or paying dividends (which we have suspended for an indefinite period in accordance with the applicable requirements under the CARES Act, the PSP Extension Law and the ARP);</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closing price of our common stock on Nasdaq varied from $15.00 to $25.82 during 2021 and $11.86 to $20.22 during 2022 year-to-date through October 14, 2022. At times during this period, fluctuations in our stock price have been rapid, imposing risks on investors due to the possibility of significant, short-term price volatility. While we believe that this wide range of trading prices is broadly indicative of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do decide to make repurchases of or pay dividends on our common stock, we cannot guarantee that we will continue to do so or that our capital deployment program will enhance long-term stockholder value.</w:t>
      </w:r>
    </w:p>
    <w:p>
      <w:pPr>
        <w:spacing w:after="0" w:line="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Following the expiration of these restrictions,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and other relevant factors. Our repurchase of AAG common stock may be limited, suspended or discontinued at any time at our discretion and without prior notice.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financial assistance provided under PSP1, PSP2 and PSP3, we agreed not to pay dividends on AAG common stock through September 30, 2022. Following the expiration of these restrictions,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Under the recently enacted IRA, we may become subject to an excise tax on the fair market value of AAG common stock repurchased after December 31, 2022, which may adversely affect our financial condition. Although our share repurchase programs are intended to enhance long-term stockholder value, there is no assurance that they will do so.</w:t>
      </w:r>
    </w:p>
    <w:p>
      <w:pPr>
        <w:spacing w:after="0" w:line="210"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 and specify an exclusive forum for certain stockholder disputes.</w:t>
      </w:r>
    </w:p>
    <w:p>
      <w:pPr>
        <w:spacing w:after="0" w:line="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Exchange Act, which is filed as Exhibit 4.1 in our 2021 Form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of 1933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17"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right="20" w:hanging="644"/>
        <w:spacing w:after="0" w:line="28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6"/>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 xml:space="preserve">Supplemental Agreement No. 25, dated as of July 1, </w:t>
      </w:r>
      <w:r>
        <w:rPr>
          <w:rFonts w:ascii="Arial" w:cs="Arial" w:eastAsia="Arial" w:hAnsi="Arial"/>
          <w:sz w:val="18"/>
          <w:szCs w:val="18"/>
          <w:color w:val="0000FF"/>
        </w:rPr>
        <w:t>2022, to Purchase Agreement No. 03735 dated as of February 1, 2013,</w:t>
      </w:r>
      <w:r>
        <w:rPr>
          <w:rFonts w:ascii="Arial" w:cs="Arial" w:eastAsia="Arial" w:hAnsi="Arial"/>
          <w:sz w:val="18"/>
          <w:szCs w:val="18"/>
          <w:u w:val="single" w:color="auto"/>
          <w:color w:val="0000FF"/>
        </w:rPr>
        <w:t xml:space="preserve"> between American Airlines, Inc. and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-167005</wp:posOffset>
            </wp:positionV>
            <wp:extent cx="37763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776345" cy="8890"/>
                    </a:xfrm>
                    <a:prstGeom prst="rect">
                      <a:avLst/>
                    </a:prstGeom>
                    <a:noFill/>
                  </pic:spPr>
                </pic:pic>
              </a:graphicData>
            </a:graphic>
          </wp:anchor>
        </w:drawing>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Supplemental Agreement No. 26, dated as of August 1, 2022, to Purchase Agreement No. 03735 dated as of February 1, 2013, between American Airlines, Inc. and the Boeing Company.*</w:t>
      </w:r>
    </w:p>
    <w:p>
      <w:pPr>
        <w:ind w:left="2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AAG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AAG Chief Financial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0000FF"/>
        </w:rPr>
        <w:t>Certification of American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0000FF"/>
        </w:rPr>
        <w:t>Certification of American Chief Financial Officer pursuant to Rule 13a-14(a).</w:t>
      </w:r>
    </w:p>
    <w:p>
      <w:pPr>
        <w:spacing w:after="0" w:line="50" w:lineRule="exact"/>
        <w:rPr>
          <w:sz w:val="20"/>
          <w:szCs w:val="20"/>
          <w:color w:val="auto"/>
        </w:rPr>
      </w:pP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93" w:lineRule="exact"/>
        <w:rPr>
          <w:sz w:val="20"/>
          <w:szCs w:val="20"/>
          <w:color w:val="auto"/>
        </w:rPr>
      </w:pPr>
    </w:p>
    <w:p>
      <w:pPr>
        <w:ind w:right="20" w:firstLine="8"/>
        <w:spacing w:after="0" w:line="287" w:lineRule="auto"/>
        <w:tabs>
          <w:tab w:leader="none" w:pos="1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because it (i) is not material and (ii) would be competitively harmful if publicly disclosed.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20,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Chair, Chief Financial Officer and</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American Eagle</w:t>
      </w:r>
    </w:p>
    <w:p>
      <w:pPr>
        <w:spacing w:after="0" w:line="3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25"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20,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Chair, Chief Financial Officer and</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American Eagle</w:t>
      </w:r>
    </w:p>
    <w:p>
      <w:pPr>
        <w:spacing w:after="0" w:line="3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1" w:right="339" w:bottom="1440" w:gutter="0" w:footer="0" w:header="0"/>
        </w:sectPr>
      </w:pPr>
    </w:p>
    <w:bookmarkStart w:id="102" w:name="page103"/>
    <w:bookmarkEnd w:id="102"/>
    <w:p>
      <w:pPr>
        <w:ind w:left="1024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282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0575" cy="282575"/>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92"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25</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SUPPLEMENTAL AGREEMENT No. 25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25</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July _</w:t>
      </w:r>
      <w:r>
        <w:rPr>
          <w:rFonts w:ascii="Arial" w:cs="Arial" w:eastAsia="Arial" w:hAnsi="Arial"/>
          <w:sz w:val="22"/>
          <w:szCs w:val="22"/>
          <w:u w:val="single" w:color="auto"/>
          <w:color w:val="auto"/>
        </w:rPr>
        <w:t>1st</w:t>
      </w:r>
      <w:r>
        <w:rPr>
          <w:rFonts w:ascii="Arial" w:cs="Arial" w:eastAsia="Arial" w:hAnsi="Arial"/>
          <w:sz w:val="22"/>
          <w:szCs w:val="22"/>
          <w:color w:val="auto"/>
        </w:rPr>
        <w:t>__,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3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6" w:lineRule="exact"/>
        <w:rPr>
          <w:sz w:val="20"/>
          <w:szCs w:val="20"/>
          <w:color w:val="auto"/>
        </w:rPr>
      </w:pPr>
    </w:p>
    <w:p>
      <w:pPr>
        <w:jc w:val="both"/>
        <w:ind w:firstLine="264"/>
        <w:spacing w:after="0" w:line="220" w:lineRule="auto"/>
        <w:rPr>
          <w:sz w:val="20"/>
          <w:szCs w:val="20"/>
          <w:color w:val="auto"/>
        </w:rPr>
      </w:pPr>
      <w:r>
        <w:rPr>
          <w:rFonts w:ascii="Arial" w:cs="Arial" w:eastAsia="Arial" w:hAnsi="Arial"/>
          <w:sz w:val="22"/>
          <w:szCs w:val="22"/>
          <w:color w:val="auto"/>
        </w:rPr>
        <w:t>WHEREAS, in [****] to the [****] Aircraft that Customer had previously [****] as set forth in Table 1R12, 1-2, 1-3R6, and 1-4R3 to the Purchase Agreement, Customer [****] with the execution of this SA-25, [****] in Attachment A(R7) to Letter Agreement No. AAL-PA-03735-LA-1106651R7 entitled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2"/>
          <w:szCs w:val="22"/>
          <w:b w:val="1"/>
          <w:bCs w:val="1"/>
          <w:color w:val="auto"/>
        </w:rPr>
        <w:t>Letter Agreement</w:t>
      </w:r>
      <w:r>
        <w:rPr>
          <w:rFonts w:ascii="Arial" w:cs="Arial" w:eastAsia="Arial" w:hAnsi="Arial"/>
          <w:sz w:val="22"/>
          <w:szCs w:val="22"/>
          <w:color w:val="auto"/>
        </w:rPr>
        <w:t>) with [****], pursuant to the terms and conditions of the [****] Letter Agreement.</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4"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SA-24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SA-25 in the footer to reflect changes made to the Purchase Agreement by this SA-25. Such new Table of Contents is hereby incorporated into the Purchase Agreement in replacement of its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SA-25,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1" w:right="339" w:bottom="1440" w:gutter="0" w:footer="0" w:header="0"/>
        </w:sectPr>
      </w:pPr>
    </w:p>
    <w:bookmarkStart w:id="103" w:name="page104"/>
    <w:bookmarkEnd w:id="103"/>
    <w:p>
      <w:pPr>
        <w:spacing w:after="0" w:line="334" w:lineRule="exact"/>
        <w:rPr>
          <w:sz w:val="20"/>
          <w:szCs w:val="20"/>
          <w:color w:val="auto"/>
        </w:rPr>
      </w:pPr>
    </w:p>
    <w:p>
      <w:pPr>
        <w:ind w:left="713" w:hanging="632"/>
        <w:spacing w:after="0"/>
        <w:tabs>
          <w:tab w:leader="none" w:pos="713"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17" w:lineRule="auto"/>
        <w:rPr>
          <w:sz w:val="20"/>
          <w:szCs w:val="20"/>
          <w:color w:val="auto"/>
        </w:rPr>
      </w:pPr>
      <w:r>
        <w:rPr>
          <w:rFonts w:ascii="Arial" w:cs="Arial" w:eastAsia="Arial" w:hAnsi="Arial"/>
          <w:sz w:val="22"/>
          <w:szCs w:val="22"/>
          <w:u w:val="single" w:color="auto"/>
          <w:color w:val="auto"/>
        </w:rPr>
        <w:t>Table 1-4R3</w:t>
      </w:r>
      <w:r>
        <w:rPr>
          <w:rFonts w:ascii="Arial" w:cs="Arial" w:eastAsia="Arial" w:hAnsi="Arial"/>
          <w:sz w:val="22"/>
          <w:szCs w:val="22"/>
          <w:color w:val="auto"/>
        </w:rPr>
        <w:t>. Table 1-4R3 entitled “</w:t>
      </w:r>
      <w:r>
        <w:rPr>
          <w:rFonts w:ascii="Arial" w:cs="Arial" w:eastAsia="Arial" w:hAnsi="Arial"/>
          <w:sz w:val="22"/>
          <w:szCs w:val="22"/>
          <w:u w:val="single" w:color="auto"/>
          <w:color w:val="auto"/>
        </w:rPr>
        <w:t>737-8 [****] Aircraft Delivery, Description, Price and Advance Payments</w:t>
      </w:r>
      <w:r>
        <w:rPr>
          <w:rFonts w:ascii="Arial" w:cs="Arial" w:eastAsia="Arial" w:hAnsi="Arial"/>
          <w:sz w:val="22"/>
          <w:szCs w:val="22"/>
          <w:color w:val="auto"/>
        </w:rPr>
        <w:t>” is hereby deleted in its entirety and replaced with Table 1-4R4 entitled “</w:t>
      </w:r>
      <w:r>
        <w:rPr>
          <w:rFonts w:ascii="Arial" w:cs="Arial" w:eastAsia="Arial" w:hAnsi="Arial"/>
          <w:sz w:val="22"/>
          <w:szCs w:val="22"/>
          <w:u w:val="single" w:color="auto"/>
          <w:color w:val="auto"/>
        </w:rPr>
        <w:t>737-8 [****] Aircraft Delivery, Description, Price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Advance Payments</w:t>
      </w:r>
      <w:r>
        <w:rPr>
          <w:rFonts w:ascii="Arial" w:cs="Arial" w:eastAsia="Arial" w:hAnsi="Arial"/>
          <w:sz w:val="22"/>
          <w:szCs w:val="22"/>
          <w:color w:val="auto"/>
        </w:rPr>
        <w:t>” (attached hereto) referencing SA-25 in the footer is hereby incorporated into the Purchase Agreement in replacement of Table 1-4R3. For avoidance of doubt, the only difference between Table 1-4R3 and Table 1-4R4 is the [****] in the Purchase Agreement, resulting in Table 1-4R4.</w:t>
      </w:r>
    </w:p>
    <w:p>
      <w:pPr>
        <w:spacing w:after="0" w:line="152" w:lineRule="exact"/>
        <w:rPr>
          <w:sz w:val="20"/>
          <w:szCs w:val="20"/>
          <w:color w:val="auto"/>
        </w:rPr>
      </w:pPr>
    </w:p>
    <w:p>
      <w:pPr>
        <w:ind w:left="773" w:hanging="692"/>
        <w:spacing w:after="0"/>
        <w:tabs>
          <w:tab w:leader="none" w:pos="773"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3.1 Letter Agreement No. AAL-PA-03735-LA-1106651R7 (including Attachment A(R7) entitled [****] is hereby deleted in its entirety and replaced with Letter Agreement No. AAL-PA-03735-LA-1106651R8 (including Attachment A(R8) (attached hereto) entitled [****] ([****]) referencing SA-25 in the footer. The [****] is hereby incorporated into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-443230</wp:posOffset>
            </wp:positionV>
            <wp:extent cx="381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5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 xml:space="preserve">3.2 In addition to the [****], the parties agree that [****] Letter Agreement No. AAL-PA-03735-LA-1106652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will be [****], or such [****], to [****].</w:t>
      </w:r>
    </w:p>
    <w:p>
      <w:pPr>
        <w:spacing w:after="0" w:line="286" w:lineRule="exact"/>
        <w:rPr>
          <w:sz w:val="20"/>
          <w:szCs w:val="20"/>
          <w:color w:val="auto"/>
        </w:rPr>
      </w:pPr>
    </w:p>
    <w:p>
      <w:pPr>
        <w:ind w:left="713" w:hanging="713"/>
        <w:spacing w:after="0"/>
        <w:tabs>
          <w:tab w:leader="none" w:pos="713"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73" w:firstLine="648"/>
        <w:spacing w:after="0" w:line="236" w:lineRule="auto"/>
        <w:rPr>
          <w:sz w:val="20"/>
          <w:szCs w:val="20"/>
          <w:color w:val="auto"/>
        </w:rPr>
      </w:pPr>
      <w:r>
        <w:rPr>
          <w:rFonts w:ascii="Arial" w:cs="Arial" w:eastAsia="Arial" w:hAnsi="Arial"/>
          <w:sz w:val="22"/>
          <w:szCs w:val="22"/>
          <w:color w:val="auto"/>
        </w:rPr>
        <w:t>4.1 [****] for the [****], [****] ([****]) ([****] specified in Table 1-4R4 to the Purchase Agreement for the [****] are [****] per [****] of the[****] and as specified in the [****] upon execution of this SA-25.</w:t>
      </w:r>
    </w:p>
    <w:p>
      <w:pPr>
        <w:spacing w:after="0" w:line="178" w:lineRule="exact"/>
        <w:rPr>
          <w:sz w:val="20"/>
          <w:szCs w:val="20"/>
          <w:color w:val="auto"/>
        </w:rPr>
      </w:pPr>
    </w:p>
    <w:p>
      <w:pPr>
        <w:ind w:left="713" w:hanging="713"/>
        <w:spacing w:after="0"/>
        <w:tabs>
          <w:tab w:leader="none" w:pos="713"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1-4R4, and the Revised Option Aircraft Letter Agreement. All other terms and conditions of the Purchase Agreement remain unchanged and are in full force and effect.</w:t>
      </w:r>
    </w:p>
    <w:p>
      <w:pPr>
        <w:spacing w:after="0" w:line="14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5.2 The following references in the Purchase Agreement and any supplemental agreements and associated letter agreements are deemed to refer to “Table 1R12, Table 1-2, Table 1-3R6, and Table 1-4R4”:</w:t>
      </w:r>
    </w:p>
    <w:p>
      <w:pPr>
        <w:spacing w:after="0" w:line="133" w:lineRule="exact"/>
        <w:rPr>
          <w:sz w:val="20"/>
          <w:szCs w:val="20"/>
          <w:color w:val="auto"/>
        </w:rPr>
      </w:pPr>
    </w:p>
    <w:p>
      <w:pPr>
        <w:ind w:left="1373" w:hanging="320"/>
        <w:spacing w:after="0"/>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 or “Table 1R2” or “Table 1R3”, or “Table1R4 and Table 1-2”,</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1R5 and Table 1-2”,</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1R6, Table 1-2, and Table 1-3”,</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1R7, Table 1-2, and Table 1-3R1”,</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1R8, Table 1-2, and Table 1-3R2”,</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1R9, Table 1-2, and Table 1-3R3”,</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1R10, Table 1-2, and Table 1-3R4”,</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1R11, Table 1-2, and Table 1-3R5”,</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and Table 1-3R6”,</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1-4R1”</w:t>
      </w:r>
    </w:p>
    <w:p>
      <w:pPr>
        <w:ind w:left="1373" w:hanging="320"/>
        <w:spacing w:after="0" w:line="204" w:lineRule="auto"/>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1-4R2”</w:t>
      </w:r>
    </w:p>
    <w:p>
      <w:pPr>
        <w:ind w:left="1373" w:hanging="320"/>
        <w:spacing w:after="0"/>
        <w:tabs>
          <w:tab w:leader="none" w:pos="1373"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SA-25,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440" w:right="339" w:bottom="1440" w:gutter="0" w:footer="0" w:header="0"/>
        </w:sectPr>
      </w:pPr>
    </w:p>
    <w:bookmarkStart w:id="104" w:name="page105"/>
    <w:bookmarkEnd w:id="104"/>
    <w:p>
      <w:pPr>
        <w:spacing w:after="0" w:line="1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spacing w:after="0" w:line="207" w:lineRule="auto"/>
        <w:rPr>
          <w:sz w:val="20"/>
          <w:szCs w:val="20"/>
          <w:color w:val="auto"/>
        </w:rPr>
      </w:pPr>
      <w:r>
        <w:rPr>
          <w:rFonts w:ascii="Arial" w:cs="Arial" w:eastAsia="Arial" w:hAnsi="Arial"/>
          <w:sz w:val="21"/>
          <w:szCs w:val="21"/>
          <w:color w:val="auto"/>
        </w:rPr>
        <w:t>“Table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 Letter Agreement AAL-PA-LA-1106650R4 entitled “[****]” is deemed to only refer to Table 1R12 and the references to</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Table 1R5 in the Slide Letter Agreement remain references to Table 1R5.</w:t>
      </w:r>
    </w:p>
    <w:p>
      <w:pPr>
        <w:spacing w:after="0" w:line="18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1R6”, “Table 1R7”, “Table 1R8”, “Table 1R9”, “Table 1R10” or “Table 1R11” (where no corresponding reference to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either Table 1-2 or Table 1-3 is made) are deemed to refer to only “Table 1R12”.</w:t>
      </w:r>
    </w:p>
    <w:p>
      <w:pPr>
        <w:spacing w:after="0" w:line="15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Additionally, for the avoidance of doubt, references in the Purchase Agreement and any supplemental agreements and associated letter agreements to “Table 1-2” (where no corresponding reference to Table 1R4 or Table 1R5 is made)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remain references to “Table 1-2”.</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345"/>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22"/>
                <w:szCs w:val="22"/>
                <w:color w:val="auto"/>
              </w:rPr>
              <w:t>1106651R7</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1106651R8</w:t>
            </w:r>
          </w:p>
        </w:tc>
      </w:tr>
      <w:tr>
        <w:trPr>
          <w:trHeight w:val="81"/>
        </w:trPr>
        <w:tc>
          <w:tcPr>
            <w:tcW w:w="4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81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40" w:type="dxa"/>
            <w:vAlign w:val="bottom"/>
            <w:gridSpan w:val="4"/>
          </w:tcPr>
          <w:p>
            <w:pPr>
              <w:ind w:left="2340"/>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SA-25, Page 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204" w:lineRule="auto"/>
        <w:rPr>
          <w:sz w:val="20"/>
          <w:szCs w:val="20"/>
          <w:color w:val="auto"/>
        </w:rPr>
      </w:pPr>
      <w:r>
        <w:rPr>
          <w:rFonts w:ascii="Arial" w:cs="Arial" w:eastAsia="Arial" w:hAnsi="Arial"/>
          <w:sz w:val="22"/>
          <w:szCs w:val="22"/>
          <w:color w:val="auto"/>
        </w:rPr>
        <w:t>SA-25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370"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83"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1R12</w:t>
      </w:r>
    </w:p>
    <w:p>
      <w:pPr>
        <w:jc w:val="center"/>
        <w:ind w:left="56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1-3R6</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1-4R4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AR1</w:t>
      </w:r>
    </w:p>
    <w:p>
      <w:pPr>
        <w:ind w:left="1000"/>
        <w:spacing w:after="0"/>
        <w:rPr>
          <w:sz w:val="20"/>
          <w:szCs w:val="20"/>
          <w:color w:val="auto"/>
        </w:rPr>
      </w:pPr>
      <w:r>
        <w:rPr>
          <w:rFonts w:ascii="Arial" w:cs="Arial" w:eastAsia="Arial" w:hAnsi="Arial"/>
          <w:sz w:val="22"/>
          <w:szCs w:val="22"/>
          <w:color w:val="auto"/>
        </w:rPr>
        <w:t>A2</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29"/>
        </w:trPr>
        <w:tc>
          <w:tcPr>
            <w:tcW w:w="754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r>
      <w:tr>
        <w:trPr>
          <w:trHeight w:val="440"/>
        </w:trPr>
        <w:tc>
          <w:tcPr>
            <w:tcW w:w="754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r>
      <w:tr>
        <w:trPr>
          <w:trHeight w:val="716"/>
        </w:trPr>
        <w:tc>
          <w:tcPr>
            <w:tcW w:w="754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r>
      <w:tr>
        <w:trPr>
          <w:trHeight w:val="215"/>
        </w:trPr>
        <w:tc>
          <w:tcPr>
            <w:tcW w:w="7540" w:type="dxa"/>
            <w:vAlign w:val="bottom"/>
          </w:tcPr>
          <w:p>
            <w:pPr>
              <w:spacing w:after="0" w:line="216" w:lineRule="exact"/>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18"/>
                <w:szCs w:val="18"/>
                <w:color w:val="auto"/>
              </w:rPr>
              <w:t>[****]</w:t>
            </w:r>
            <w:r>
              <w:rPr>
                <w:rFonts w:ascii="Arial" w:cs="Arial" w:eastAsia="Arial" w:hAnsi="Arial"/>
                <w:sz w:val="22"/>
                <w:szCs w:val="22"/>
                <w:b w:val="1"/>
                <w:bCs w:val="1"/>
                <w:color w:val="auto"/>
              </w:rPr>
              <w:t xml:space="preserve"> Aircraft Delivery, Description, Price, and Advance</w:t>
            </w:r>
          </w:p>
        </w:tc>
        <w:tc>
          <w:tcPr>
            <w:tcW w:w="960" w:type="dxa"/>
            <w:vAlign w:val="bottom"/>
          </w:tcPr>
          <w:p>
            <w:pPr>
              <w:spacing w:after="0"/>
              <w:rPr>
                <w:sz w:val="18"/>
                <w:szCs w:val="18"/>
                <w:color w:val="auto"/>
              </w:rPr>
            </w:pPr>
          </w:p>
        </w:tc>
      </w:tr>
      <w:tr>
        <w:trPr>
          <w:trHeight w:val="323"/>
        </w:trPr>
        <w:tc>
          <w:tcPr>
            <w:tcW w:w="754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25</w:t>
            </w:r>
          </w:p>
        </w:tc>
      </w:tr>
      <w:tr>
        <w:trPr>
          <w:trHeight w:val="623"/>
        </w:trPr>
        <w:tc>
          <w:tcPr>
            <w:tcW w:w="7540" w:type="dxa"/>
            <w:vAlign w:val="bottom"/>
          </w:tcPr>
          <w:p>
            <w:pPr>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83"/>
        </w:trPr>
        <w:tc>
          <w:tcPr>
            <w:tcW w:w="7540" w:type="dxa"/>
            <w:vAlign w:val="bottom"/>
          </w:tcPr>
          <w:p>
            <w:pPr>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r>
    </w:tbl>
    <w:p>
      <w:pPr>
        <w:spacing w:after="0" w:line="68" w:lineRule="exact"/>
        <w:rPr>
          <w:sz w:val="20"/>
          <w:szCs w:val="20"/>
          <w:color w:val="auto"/>
        </w:rPr>
      </w:pPr>
    </w:p>
    <w:p>
      <w:pPr>
        <w:ind w:right="3600"/>
        <w:spacing w:after="0" w:line="408" w:lineRule="auto"/>
        <w:rPr>
          <w:sz w:val="20"/>
          <w:szCs w:val="20"/>
          <w:color w:val="auto"/>
        </w:rPr>
      </w:pPr>
      <w:r>
        <w:rPr>
          <w:rFonts w:ascii="Arial" w:cs="Arial" w:eastAsia="Arial" w:hAnsi="Arial"/>
          <w:sz w:val="22"/>
          <w:szCs w:val="22"/>
          <w:color w:val="auto"/>
        </w:rPr>
        <w:t>Aircraft Delivery Requirements and Responsibilities Definitions</w:t>
      </w:r>
    </w:p>
    <w:p>
      <w:pPr>
        <w:spacing w:after="0" w:line="2" w:lineRule="exact"/>
        <w:rPr>
          <w:sz w:val="20"/>
          <w:szCs w:val="20"/>
          <w:color w:val="auto"/>
        </w:rPr>
      </w:pPr>
    </w:p>
    <w:p>
      <w:pPr>
        <w:sectPr>
          <w:pgSz w:w="11900" w:h="16838" w:orient="portrait"/>
          <w:cols w:equalWidth="0" w:num="2">
            <w:col w:w="1680" w:space="720"/>
            <w:col w:w="8500"/>
          </w:cols>
          <w:pgMar w:left="400" w:top="1440" w:right="599" w:bottom="632" w:gutter="0" w:footer="0" w:header="0"/>
        </w:sect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AE1.</w:t>
            </w:r>
          </w:p>
        </w:tc>
        <w:tc>
          <w:tcPr>
            <w:tcW w:w="592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960" w:type="dxa"/>
            <w:vAlign w:val="bottom"/>
          </w:tcPr>
          <w:p>
            <w:pPr>
              <w:jc w:val="center"/>
              <w:ind w:left="172"/>
              <w:spacing w:after="0"/>
              <w:rPr>
                <w:sz w:val="20"/>
                <w:szCs w:val="20"/>
                <w:color w:val="auto"/>
              </w:rPr>
            </w:pPr>
            <w:r>
              <w:rPr>
                <w:rFonts w:ascii="Arial" w:cs="Arial" w:eastAsia="Arial" w:hAnsi="Arial"/>
                <w:sz w:val="22"/>
                <w:szCs w:val="22"/>
                <w:color w:val="auto"/>
                <w:w w:val="98"/>
              </w:rPr>
              <w:t>BFE1.</w:t>
            </w:r>
          </w:p>
        </w:tc>
        <w:tc>
          <w:tcPr>
            <w:tcW w:w="5920" w:type="dxa"/>
            <w:vAlign w:val="bottom"/>
            <w:gridSpan w:val="2"/>
            <w:vMerge w:val="restart"/>
          </w:tcPr>
          <w:p>
            <w:pPr>
              <w:ind w:left="440"/>
              <w:spacing w:after="0"/>
              <w:rPr>
                <w:sz w:val="20"/>
                <w:szCs w:val="20"/>
                <w:color w:val="auto"/>
              </w:rPr>
            </w:pPr>
            <w:r>
              <w:rPr>
                <w:rFonts w:ascii="Arial" w:cs="Arial" w:eastAsia="Arial" w:hAnsi="Arial"/>
                <w:sz w:val="22"/>
                <w:szCs w:val="22"/>
                <w:color w:val="auto"/>
              </w:rPr>
              <w:t>BFE Variables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920" w:type="dxa"/>
            <w:vAlign w:val="bottom"/>
            <w:gridSpan w:val="2"/>
            <w:vMerge w:val="continue"/>
          </w:tcPr>
          <w:p>
            <w:pPr>
              <w:spacing w:after="0"/>
              <w:rPr>
                <w:sz w:val="7"/>
                <w:szCs w:val="7"/>
                <w:color w:val="auto"/>
              </w:rPr>
            </w:pPr>
          </w:p>
        </w:tc>
        <w:tc>
          <w:tcPr>
            <w:tcW w:w="2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CS1R1.</w:t>
            </w:r>
          </w:p>
        </w:tc>
        <w:tc>
          <w:tcPr>
            <w:tcW w:w="5920" w:type="dxa"/>
            <w:vAlign w:val="bottom"/>
            <w:gridSpan w:val="2"/>
            <w:vMerge w:val="restart"/>
          </w:tcPr>
          <w:p>
            <w:pPr>
              <w:ind w:left="440"/>
              <w:spacing w:after="0"/>
              <w:rPr>
                <w:sz w:val="20"/>
                <w:szCs w:val="20"/>
                <w:color w:val="auto"/>
              </w:rPr>
            </w:pPr>
            <w:r>
              <w:rPr>
                <w:rFonts w:ascii="Arial" w:cs="Arial" w:eastAsia="Arial" w:hAnsi="Arial"/>
                <w:sz w:val="22"/>
                <w:szCs w:val="22"/>
                <w:color w:val="auto"/>
              </w:rPr>
              <w:t>Customer Support Variables</w:t>
            </w:r>
          </w:p>
        </w:tc>
        <w:tc>
          <w:tcPr>
            <w:tcW w:w="2660" w:type="dxa"/>
            <w:vAlign w:val="bottom"/>
            <w:vMerge w:val="restart"/>
          </w:tcPr>
          <w:p>
            <w:pPr>
              <w:jc w:val="center"/>
              <w:ind w:left="2312"/>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920" w:type="dxa"/>
            <w:vAlign w:val="bottom"/>
            <w:gridSpan w:val="2"/>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7"/>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EE1.</w:t>
            </w:r>
          </w:p>
        </w:tc>
        <w:tc>
          <w:tcPr>
            <w:tcW w:w="592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SLP1.</w:t>
            </w:r>
          </w:p>
        </w:tc>
        <w:tc>
          <w:tcPr>
            <w:tcW w:w="592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LETTER AGREEMENTS</w:t>
            </w:r>
          </w:p>
        </w:tc>
        <w:tc>
          <w:tcPr>
            <w:tcW w:w="5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960" w:type="dxa"/>
            <w:vAlign w:val="bottom"/>
          </w:tcPr>
          <w:p>
            <w:pPr>
              <w:spacing w:after="0"/>
              <w:rPr>
                <w:sz w:val="20"/>
                <w:szCs w:val="20"/>
                <w:color w:val="auto"/>
              </w:rPr>
            </w:pPr>
            <w:r>
              <w:rPr>
                <w:rFonts w:ascii="Arial" w:cs="Arial" w:eastAsia="Arial" w:hAnsi="Arial"/>
                <w:sz w:val="22"/>
                <w:szCs w:val="22"/>
                <w:color w:val="auto"/>
              </w:rPr>
              <w:t>LA-1106648R1</w:t>
            </w:r>
          </w:p>
        </w:tc>
        <w:tc>
          <w:tcPr>
            <w:tcW w:w="5920" w:type="dxa"/>
            <w:vAlign w:val="bottom"/>
            <w:gridSpan w:val="2"/>
          </w:tcPr>
          <w:p>
            <w:pPr>
              <w:ind w:left="440"/>
              <w:spacing w:after="0"/>
              <w:rPr>
                <w:sz w:val="20"/>
                <w:szCs w:val="20"/>
                <w:color w:val="auto"/>
              </w:rPr>
            </w:pPr>
            <w:r>
              <w:rPr>
                <w:rFonts w:ascii="Arial" w:cs="Arial" w:eastAsia="Arial" w:hAnsi="Arial"/>
                <w:sz w:val="22"/>
                <w:szCs w:val="22"/>
                <w:color w:val="auto"/>
              </w:rPr>
              <w:t>Special Matters</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22"/>
                <w:szCs w:val="22"/>
                <w:color w:val="auto"/>
              </w:rPr>
              <w:t>LA-1106649</w:t>
            </w:r>
          </w:p>
        </w:tc>
        <w:tc>
          <w:tcPr>
            <w:tcW w:w="592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22"/>
                <w:szCs w:val="22"/>
                <w:color w:val="auto"/>
              </w:rPr>
              <w:t>LA-1106650R6</w:t>
            </w:r>
          </w:p>
        </w:tc>
        <w:tc>
          <w:tcPr>
            <w:tcW w:w="592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22</w:t>
            </w:r>
          </w:p>
        </w:tc>
        <w:tc>
          <w:tcPr>
            <w:tcW w:w="0" w:type="dxa"/>
            <w:vAlign w:val="bottom"/>
          </w:tcPr>
          <w:p>
            <w:pPr>
              <w:spacing w:after="0"/>
              <w:rPr>
                <w:sz w:val="1"/>
                <w:szCs w:val="1"/>
                <w:color w:val="auto"/>
              </w:rPr>
            </w:pPr>
          </w:p>
        </w:tc>
      </w:tr>
      <w:tr>
        <w:trPr>
          <w:trHeight w:val="444"/>
        </w:trPr>
        <w:tc>
          <w:tcPr>
            <w:tcW w:w="1960" w:type="dxa"/>
            <w:vAlign w:val="bottom"/>
          </w:tcPr>
          <w:p>
            <w:pPr>
              <w:spacing w:after="0"/>
              <w:rPr>
                <w:sz w:val="20"/>
                <w:szCs w:val="20"/>
                <w:color w:val="auto"/>
              </w:rPr>
            </w:pPr>
            <w:r>
              <w:rPr>
                <w:rFonts w:ascii="Arial" w:cs="Arial" w:eastAsia="Arial" w:hAnsi="Arial"/>
                <w:sz w:val="22"/>
                <w:szCs w:val="22"/>
                <w:b w:val="1"/>
                <w:bCs w:val="1"/>
                <w:color w:val="auto"/>
              </w:rPr>
              <w:t>LA-1106651R8</w:t>
            </w:r>
          </w:p>
        </w:tc>
        <w:tc>
          <w:tcPr>
            <w:tcW w:w="5920" w:type="dxa"/>
            <w:vAlign w:val="bottom"/>
            <w:gridSpan w:val="2"/>
          </w:tcPr>
          <w:p>
            <w:pPr>
              <w:ind w:left="440"/>
              <w:spacing w:after="0"/>
              <w:rPr>
                <w:sz w:val="20"/>
                <w:szCs w:val="20"/>
                <w:color w:val="auto"/>
              </w:rPr>
            </w:pPr>
            <w:r>
              <w:rPr>
                <w:rFonts w:ascii="Arial" w:cs="Arial" w:eastAsia="Arial" w:hAnsi="Arial"/>
                <w:sz w:val="19"/>
                <w:szCs w:val="19"/>
                <w:b w:val="1"/>
                <w:bCs w:val="1"/>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b w:val="1"/>
                <w:bCs w:val="1"/>
                <w:color w:val="auto"/>
                <w:w w:val="97"/>
              </w:rPr>
              <w:t>25</w:t>
            </w:r>
          </w:p>
        </w:tc>
        <w:tc>
          <w:tcPr>
            <w:tcW w:w="0" w:type="dxa"/>
            <w:vAlign w:val="bottom"/>
          </w:tcPr>
          <w:p>
            <w:pPr>
              <w:spacing w:after="0"/>
              <w:rPr>
                <w:sz w:val="1"/>
                <w:szCs w:val="1"/>
                <w:color w:val="auto"/>
              </w:rPr>
            </w:pPr>
          </w:p>
        </w:tc>
      </w:tr>
      <w:tr>
        <w:trPr>
          <w:trHeight w:val="420"/>
        </w:trPr>
        <w:tc>
          <w:tcPr>
            <w:tcW w:w="1960" w:type="dxa"/>
            <w:vAlign w:val="bottom"/>
          </w:tcPr>
          <w:p>
            <w:pPr>
              <w:spacing w:after="0"/>
              <w:rPr>
                <w:sz w:val="20"/>
                <w:szCs w:val="20"/>
                <w:color w:val="auto"/>
              </w:rPr>
            </w:pPr>
            <w:r>
              <w:rPr>
                <w:rFonts w:ascii="Arial" w:cs="Arial" w:eastAsia="Arial" w:hAnsi="Arial"/>
                <w:sz w:val="22"/>
                <w:szCs w:val="22"/>
                <w:color w:val="auto"/>
              </w:rPr>
              <w:t>LA-1106652R1</w:t>
            </w:r>
          </w:p>
        </w:tc>
        <w:tc>
          <w:tcPr>
            <w:tcW w:w="5920" w:type="dxa"/>
            <w:vAlign w:val="bottom"/>
            <w:gridSpan w:val="2"/>
          </w:tcPr>
          <w:p>
            <w:pPr>
              <w:ind w:left="440"/>
              <w:spacing w:after="0"/>
              <w:rPr>
                <w:sz w:val="20"/>
                <w:szCs w:val="20"/>
                <w:color w:val="auto"/>
              </w:rPr>
            </w:pPr>
            <w:r>
              <w:rPr>
                <w:rFonts w:ascii="Arial" w:cs="Arial" w:eastAsia="Arial" w:hAnsi="Arial"/>
                <w:sz w:val="22"/>
                <w:szCs w:val="22"/>
                <w:color w:val="auto"/>
              </w:rPr>
              <w:t>Aircraft Model Substitution</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22</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22"/>
                <w:szCs w:val="22"/>
                <w:color w:val="auto"/>
              </w:rPr>
              <w:t>LA-1106654</w:t>
            </w:r>
          </w:p>
        </w:tc>
        <w:tc>
          <w:tcPr>
            <w:tcW w:w="5920" w:type="dxa"/>
            <w:vAlign w:val="bottom"/>
            <w:gridSpan w:val="2"/>
          </w:tcPr>
          <w:p>
            <w:pPr>
              <w:ind w:left="440"/>
              <w:spacing w:after="0"/>
              <w:rPr>
                <w:sz w:val="20"/>
                <w:szCs w:val="20"/>
                <w:color w:val="auto"/>
              </w:rPr>
            </w:pPr>
            <w:r>
              <w:rPr>
                <w:rFonts w:ascii="Arial" w:cs="Arial" w:eastAsia="Arial" w:hAnsi="Arial"/>
                <w:sz w:val="22"/>
                <w:szCs w:val="22"/>
                <w:color w:val="auto"/>
              </w:rPr>
              <w:t>AGTA Terms Revisions for MAX</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SA-25</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440" w:right="599" w:bottom="632" w:gutter="0" w:footer="0" w:header="0"/>
          <w:type w:val="continuous"/>
        </w:sectPr>
      </w:pPr>
    </w:p>
    <w:bookmarkStart w:id="107" w:name="page108"/>
    <w:bookmarkEnd w:id="107"/>
    <w:p>
      <w:pPr>
        <w:jc w:val="right"/>
        <w:ind w:right="1940"/>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72" w:type="dxa"/>
        <w:tblCellMar>
          <w:top w:w="0" w:type="dxa"/>
          <w:left w:w="0" w:type="dxa"/>
          <w:bottom w:w="0" w:type="dxa"/>
          <w:right w:w="0" w:type="dxa"/>
        </w:tblCellMar>
      </w:tblPr>
      <w:tr>
        <w:trPr>
          <w:trHeight w:val="44"/>
        </w:trPr>
        <w:tc>
          <w:tcPr>
            <w:tcW w:w="1160" w:type="dxa"/>
            <w:vAlign w:val="bottom"/>
            <w:vMerge w:val="restart"/>
          </w:tcPr>
          <w:p>
            <w:pPr>
              <w:spacing w:after="0"/>
              <w:rPr>
                <w:sz w:val="20"/>
                <w:szCs w:val="20"/>
                <w:color w:val="auto"/>
              </w:rPr>
            </w:pPr>
            <w:r>
              <w:rPr>
                <w:rFonts w:ascii="Arial" w:cs="Arial" w:eastAsia="Arial" w:hAnsi="Arial"/>
                <w:sz w:val="22"/>
                <w:szCs w:val="22"/>
                <w:color w:val="auto"/>
                <w:strike w:val="1"/>
                <w:w w:val="95"/>
              </w:rPr>
              <w:t>LA-1106655</w:t>
            </w:r>
          </w:p>
        </w:tc>
        <w:tc>
          <w:tcPr>
            <w:tcW w:w="800" w:type="dxa"/>
            <w:vAlign w:val="bottom"/>
          </w:tcPr>
          <w:p>
            <w:pPr>
              <w:spacing w:after="0"/>
              <w:rPr>
                <w:sz w:val="3"/>
                <w:szCs w:val="3"/>
                <w:color w:val="auto"/>
              </w:rPr>
            </w:pPr>
          </w:p>
        </w:tc>
        <w:tc>
          <w:tcPr>
            <w:tcW w:w="2880" w:type="dxa"/>
            <w:vAlign w:val="bottom"/>
            <w:gridSpan w:val="2"/>
            <w:vMerge w:val="restart"/>
          </w:tcPr>
          <w:p>
            <w:pPr>
              <w:ind w:left="440"/>
              <w:spacing w:after="0"/>
              <w:rPr>
                <w:sz w:val="20"/>
                <w:szCs w:val="20"/>
                <w:color w:val="auto"/>
              </w:rPr>
            </w:pPr>
            <w:r>
              <w:rPr>
                <w:rFonts w:ascii="Arial" w:cs="Arial" w:eastAsia="Arial" w:hAnsi="Arial"/>
                <w:sz w:val="22"/>
                <w:szCs w:val="22"/>
                <w:color w:val="auto"/>
                <w:strike w:val="1"/>
                <w:w w:val="97"/>
              </w:rPr>
              <w:t>Open Matters – 737 MAX</w:t>
            </w: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w w:val="96"/>
              </w:rPr>
              <w:t>Withdrawn</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1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3960" w:type="dxa"/>
            <w:vAlign w:val="bottom"/>
            <w:gridSpan w:val="3"/>
          </w:tcPr>
          <w:p>
            <w:pPr>
              <w:ind w:left="440"/>
              <w:spacing w:after="0"/>
              <w:rPr>
                <w:sz w:val="20"/>
                <w:szCs w:val="20"/>
                <w:color w:val="auto"/>
              </w:rPr>
            </w:pPr>
            <w:r>
              <w:rPr>
                <w:rFonts w:ascii="Arial" w:cs="Arial" w:eastAsia="Arial" w:hAnsi="Arial"/>
                <w:sz w:val="22"/>
                <w:szCs w:val="22"/>
                <w:color w:val="auto"/>
                <w:w w:val="99"/>
              </w:rPr>
              <w:t>Most Favored Customer – 737 MAX</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LA-1106663 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LA-1106664 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LA-1106658</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LA-1106659R3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LA-1106660</w:t>
            </w:r>
          </w:p>
        </w:tc>
        <w:tc>
          <w:tcPr>
            <w:tcW w:w="3960" w:type="dxa"/>
            <w:vAlign w:val="bottom"/>
            <w:gridSpan w:val="3"/>
          </w:tcPr>
          <w:p>
            <w:pPr>
              <w:ind w:left="440"/>
              <w:spacing w:after="0"/>
              <w:rPr>
                <w:sz w:val="20"/>
                <w:szCs w:val="20"/>
                <w:color w:val="auto"/>
              </w:rPr>
            </w:pPr>
            <w:r>
              <w:rPr>
                <w:rFonts w:ascii="Arial" w:cs="Arial" w:eastAsia="Arial" w:hAnsi="Arial"/>
                <w:sz w:val="22"/>
                <w:szCs w:val="22"/>
                <w:color w:val="auto"/>
              </w:rPr>
              <w:t>Spare Parts Initial Provisioning</w:t>
            </w:r>
          </w:p>
        </w:tc>
        <w:tc>
          <w:tcPr>
            <w:tcW w:w="0" w:type="dxa"/>
            <w:vAlign w:val="bottom"/>
          </w:tcPr>
          <w:p>
            <w:pPr>
              <w:spacing w:after="0"/>
              <w:rPr>
                <w:sz w:val="1"/>
                <w:szCs w:val="1"/>
                <w:color w:val="auto"/>
              </w:rPr>
            </w:pPr>
          </w:p>
        </w:tc>
      </w:tr>
      <w:tr>
        <w:trPr>
          <w:trHeight w:val="634"/>
        </w:trPr>
        <w:tc>
          <w:tcPr>
            <w:tcW w:w="5920" w:type="dxa"/>
            <w:vAlign w:val="bottom"/>
            <w:gridSpan w:val="5"/>
          </w:tcPr>
          <w:p>
            <w:pPr>
              <w:spacing w:after="0"/>
              <w:rPr>
                <w:sz w:val="20"/>
                <w:szCs w:val="20"/>
                <w:color w:val="auto"/>
              </w:rPr>
            </w:pPr>
            <w:r>
              <w:rPr>
                <w:rFonts w:ascii="Arial" w:cs="Arial" w:eastAsia="Arial" w:hAnsi="Arial"/>
                <w:sz w:val="22"/>
                <w:szCs w:val="22"/>
                <w:b w:val="1"/>
                <w:bCs w:val="1"/>
                <w:color w:val="auto"/>
              </w:rPr>
              <w:t>LETTER AGREEMENTS, continued</w:t>
            </w:r>
          </w:p>
        </w:tc>
        <w:tc>
          <w:tcPr>
            <w:tcW w:w="0" w:type="dxa"/>
            <w:vAlign w:val="bottom"/>
          </w:tcPr>
          <w:p>
            <w:pPr>
              <w:spacing w:after="0"/>
              <w:rPr>
                <w:sz w:val="1"/>
                <w:szCs w:val="1"/>
                <w:color w:val="auto"/>
              </w:rPr>
            </w:pPr>
          </w:p>
        </w:tc>
      </w:tr>
      <w:tr>
        <w:trPr>
          <w:trHeight w:val="520"/>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LA-1106661R2</w:t>
            </w:r>
          </w:p>
        </w:tc>
        <w:tc>
          <w:tcPr>
            <w:tcW w:w="1600" w:type="dxa"/>
            <w:vAlign w:val="bottom"/>
            <w:tcBorders>
              <w:top w:val="single" w:sz="8" w:color="auto"/>
            </w:tcBorders>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LA-1106667</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LA-1106668R1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LA-1106669</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LA-1106670</w:t>
            </w:r>
          </w:p>
        </w:tc>
        <w:tc>
          <w:tcPr>
            <w:tcW w:w="3960" w:type="dxa"/>
            <w:vAlign w:val="bottom"/>
            <w:gridSpan w:val="3"/>
          </w:tcPr>
          <w:p>
            <w:pPr>
              <w:ind w:left="440"/>
              <w:spacing w:after="0"/>
              <w:rPr>
                <w:sz w:val="20"/>
                <w:szCs w:val="20"/>
                <w:color w:val="auto"/>
              </w:rPr>
            </w:pPr>
            <w:r>
              <w:rPr>
                <w:rFonts w:ascii="Arial" w:cs="Arial" w:eastAsia="Arial" w:hAnsi="Arial"/>
                <w:sz w:val="22"/>
                <w:szCs w:val="22"/>
                <w:color w:val="auto"/>
              </w:rPr>
              <w:t>Confidentiality</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LA-1106671R1</w:t>
            </w:r>
          </w:p>
        </w:tc>
        <w:tc>
          <w:tcPr>
            <w:tcW w:w="3960" w:type="dxa"/>
            <w:vAlign w:val="bottom"/>
            <w:gridSpan w:val="3"/>
          </w:tcPr>
          <w:p>
            <w:pPr>
              <w:ind w:left="440"/>
              <w:spacing w:after="0"/>
              <w:rPr>
                <w:sz w:val="20"/>
                <w:szCs w:val="20"/>
                <w:color w:val="auto"/>
              </w:rPr>
            </w:pPr>
            <w:r>
              <w:rPr>
                <w:rFonts w:ascii="Arial" w:cs="Arial" w:eastAsia="Arial" w:hAnsi="Arial"/>
                <w:sz w:val="22"/>
                <w:szCs w:val="22"/>
                <w:color w:val="auto"/>
              </w:rPr>
              <w:t>Miscellaneous Commitments</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LA-1106672</w:t>
            </w:r>
          </w:p>
        </w:tc>
        <w:tc>
          <w:tcPr>
            <w:tcW w:w="3960" w:type="dxa"/>
            <w:vAlign w:val="bottom"/>
            <w:gridSpan w:val="3"/>
          </w:tcPr>
          <w:p>
            <w:pPr>
              <w:ind w:left="440"/>
              <w:spacing w:after="0"/>
              <w:rPr>
                <w:sz w:val="20"/>
                <w:szCs w:val="20"/>
                <w:color w:val="auto"/>
              </w:rPr>
            </w:pPr>
            <w:r>
              <w:rPr>
                <w:rFonts w:ascii="Arial" w:cs="Arial" w:eastAsia="Arial" w:hAnsi="Arial"/>
                <w:sz w:val="22"/>
                <w:szCs w:val="22"/>
                <w:color w:val="auto"/>
              </w:rPr>
              <w:t>Extended Warranty Option</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LA-1106673R1*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LA-1106677</w:t>
            </w:r>
          </w:p>
        </w:tc>
        <w:tc>
          <w:tcPr>
            <w:tcW w:w="3960" w:type="dxa"/>
            <w:vAlign w:val="bottom"/>
            <w:gridSpan w:val="3"/>
          </w:tcPr>
          <w:p>
            <w:pPr>
              <w:ind w:left="440"/>
              <w:spacing w:after="0"/>
              <w:rPr>
                <w:sz w:val="20"/>
                <w:szCs w:val="20"/>
                <w:color w:val="auto"/>
              </w:rPr>
            </w:pPr>
            <w:r>
              <w:rPr>
                <w:rFonts w:ascii="Arial" w:cs="Arial" w:eastAsia="Arial" w:hAnsi="Arial"/>
                <w:sz w:val="22"/>
                <w:szCs w:val="22"/>
                <w:color w:val="auto"/>
              </w:rPr>
              <w:t>Optional Features Comfort Letter</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LA-1600073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LA-1600852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LA-1603773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LA-1605402R1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LA-1700919</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LA-1801206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LA-2002704</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LA-2002743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LA-2003342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LA-2003486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6</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SA</w:t>
      </w:r>
    </w:p>
    <w:p>
      <w:pPr>
        <w:jc w:val="center"/>
        <w:ind w:right="40"/>
        <w:spacing w:after="0"/>
        <w:rPr>
          <w:sz w:val="20"/>
          <w:szCs w:val="20"/>
          <w:color w:val="auto"/>
        </w:rPr>
      </w:pPr>
      <w:r>
        <w:rPr>
          <w:rFonts w:ascii="Arial" w:cs="Arial" w:eastAsia="Arial" w:hAnsi="Arial"/>
          <w:sz w:val="21"/>
          <w:szCs w:val="21"/>
          <w:b w:val="1"/>
          <w:bCs w:val="1"/>
          <w:u w:val="single" w:color="auto"/>
          <w:color w:val="auto"/>
        </w:rPr>
        <w:t>NUMBER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5</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5</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21</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7</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9</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11</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11</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11</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14</w:t>
      </w:r>
    </w:p>
    <w:p>
      <w:pPr>
        <w:spacing w:after="0" w:line="230" w:lineRule="exact"/>
        <w:rPr>
          <w:sz w:val="20"/>
          <w:szCs w:val="20"/>
          <w:color w:val="auto"/>
        </w:rPr>
      </w:pPr>
    </w:p>
    <w:p>
      <w:pPr>
        <w:sectPr>
          <w:pgSz w:w="11900" w:h="16838" w:orient="portrait"/>
          <w:cols w:equalWidth="0" w:num="2">
            <w:col w:w="9292" w:space="720"/>
            <w:col w:w="1000"/>
          </w:cols>
          <w:pgMar w:left="328" w:top="962" w:right="559" w:bottom="0" w:gutter="0" w:footer="0" w:header="0"/>
        </w:sectPr>
      </w:pPr>
    </w:p>
    <w:p>
      <w:pPr>
        <w:spacing w:after="0" w:line="151" w:lineRule="exact"/>
        <w:rPr>
          <w:sz w:val="20"/>
          <w:szCs w:val="20"/>
          <w:color w:val="auto"/>
        </w:rPr>
      </w:pPr>
    </w:p>
    <w:p>
      <w:pPr>
        <w:ind w:left="-8" w:firstLine="8"/>
        <w:spacing w:after="0" w:line="236" w:lineRule="auto"/>
        <w:tabs>
          <w:tab w:leader="none" w:pos="136" w:val="left"/>
        </w:tabs>
        <w:numPr>
          <w:ilvl w:val="0"/>
          <w:numId w:val="57"/>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1012"/>
          </w:cols>
          <w:pgMar w:left="328" w:top="962" w:right="559" w:bottom="0" w:gutter="0" w:footer="0" w:header="0"/>
          <w:type w:val="continuous"/>
        </w:sectPr>
      </w:pPr>
    </w:p>
    <w:bookmarkStart w:id="108" w:name="page109"/>
    <w:bookmarkEnd w:id="108"/>
    <w:p>
      <w:pPr>
        <w:jc w:val="center"/>
        <w:ind w:right="1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SA-25</w:t>
      </w:r>
    </w:p>
    <w:p>
      <w:pPr>
        <w:sectPr>
          <w:pgSz w:w="11900" w:h="16838" w:orient="portrait"/>
          <w:cols w:equalWidth="0" w:num="1">
            <w:col w:w="9019"/>
          </w:cols>
          <w:pgMar w:left="1440" w:top="1298" w:right="1440" w:bottom="1440" w:gutter="0" w:footer="0" w:header="0"/>
        </w:sectPr>
      </w:pPr>
    </w:p>
    <w:p>
      <w:pPr>
        <w:jc w:val="center"/>
        <w:ind w:right="19"/>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9019"/>
          </w:cols>
          <w:pgMar w:left="1440" w:top="1298" w:right="1440" w:bottom="1440" w:gutter="0" w:footer="0" w:header="0"/>
          <w:type w:val="continuous"/>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3429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Table 1-4R4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PA-03735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737-8 [****] Aircraft Delivery, Description, Price and Advance Payments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737-8</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Detail Specification:</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CFMLEAP-</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1B25</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104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Airframe Escalation Data:</w:t>
            </w:r>
          </w:p>
        </w:tc>
        <w:tc>
          <w:tcPr>
            <w:tcW w:w="28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140" w:type="dxa"/>
            <w:vAlign w:val="bottom"/>
            <w:gridSpan w:val="3"/>
            <w:vMerge w:val="continue"/>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104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3"/>
            <w:vMerge w:val="continue"/>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80" w:type="dxa"/>
            <w:vAlign w:val="bottom"/>
          </w:tcPr>
          <w:p>
            <w:pPr>
              <w:spacing w:after="0"/>
              <w:rPr>
                <w:sz w:val="24"/>
                <w:szCs w:val="24"/>
                <w:color w:val="auto"/>
              </w:rPr>
            </w:pPr>
          </w:p>
        </w:tc>
        <w:tc>
          <w:tcPr>
            <w:tcW w:w="4280" w:type="dxa"/>
            <w:vAlign w:val="bottom"/>
            <w:tcBorders>
              <w:right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4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8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 Payment Base</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64"/>
        </w:trPr>
        <w:tc>
          <w:tcPr>
            <w:tcW w:w="104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2160" w:val="left"/>
        </w:tabs>
        <w:rPr>
          <w:sz w:val="20"/>
          <w:szCs w:val="20"/>
          <w:color w:val="auto"/>
        </w:rPr>
      </w:pPr>
      <w:r>
        <w:rPr>
          <w:rFonts w:ascii="Arial" w:cs="Arial" w:eastAsia="Arial" w:hAnsi="Arial"/>
          <w:sz w:val="15"/>
          <w:szCs w:val="15"/>
          <w:color w:val="auto"/>
        </w:rPr>
        <w:t>AAL-PA-03735 118070-1F.txt</w:t>
        <w:tab/>
        <w:t>SA-25</w:t>
      </w:r>
    </w:p>
    <w:p>
      <w:pPr>
        <w:ind w:left="180"/>
        <w:spacing w:after="0" w:line="206" w:lineRule="auto"/>
        <w:rPr>
          <w:sz w:val="20"/>
          <w:szCs w:val="20"/>
          <w:color w:val="auto"/>
        </w:rPr>
      </w:pPr>
      <w:r>
        <w:rPr>
          <w:rFonts w:ascii="Arial" w:cs="Arial" w:eastAsia="Arial" w:hAnsi="Arial"/>
          <w:sz w:val="15"/>
          <w:szCs w:val="15"/>
          <w:color w:val="auto"/>
        </w:rPr>
        <w:t>Page 1</w:t>
      </w:r>
    </w:p>
    <w:p>
      <w:pPr>
        <w:jc w:val="center"/>
        <w:ind w:right="2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60"/>
          </w:cols>
          <w:pgMar w:left="320" w:top="1112" w:right="319" w:bottom="642"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97"/>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38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r>
      <w:tr>
        <w:trPr>
          <w:trHeight w:val="31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Estimate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to Delivery):</w:t>
            </w:r>
          </w:p>
        </w:tc>
        <w:tc>
          <w:tcPr>
            <w:tcW w:w="940" w:type="dxa"/>
            <w:vAlign w:val="bottom"/>
            <w:tcBorders>
              <w:right w:val="single" w:sz="8" w:color="auto"/>
            </w:tcBorders>
          </w:tcPr>
          <w:p>
            <w:pPr>
              <w:spacing w:after="0"/>
              <w:rPr>
                <w:sz w:val="24"/>
                <w:szCs w:val="24"/>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9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5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At</w:t>
            </w:r>
          </w:p>
        </w:tc>
        <w:tc>
          <w:tcPr>
            <w:tcW w:w="8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31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Adv Payment Base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A/P</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9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342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160" w:val="left"/>
        </w:tabs>
        <w:rPr>
          <w:sz w:val="20"/>
          <w:szCs w:val="20"/>
          <w:color w:val="auto"/>
        </w:rPr>
      </w:pPr>
      <w:r>
        <w:rPr>
          <w:rFonts w:ascii="Arial" w:cs="Arial" w:eastAsia="Arial" w:hAnsi="Arial"/>
          <w:sz w:val="15"/>
          <w:szCs w:val="15"/>
          <w:color w:val="auto"/>
        </w:rPr>
        <w:t>AAL-PA-03735 118070-1F.txt</w:t>
        <w:tab/>
        <w:t>SA-25</w:t>
      </w:r>
    </w:p>
    <w:p>
      <w:pPr>
        <w:ind w:left="180"/>
        <w:spacing w:after="0" w:line="206" w:lineRule="auto"/>
        <w:rPr>
          <w:sz w:val="20"/>
          <w:szCs w:val="20"/>
          <w:color w:val="auto"/>
        </w:rPr>
      </w:pPr>
      <w:r>
        <w:rPr>
          <w:rFonts w:ascii="Arial" w:cs="Arial" w:eastAsia="Arial" w:hAnsi="Arial"/>
          <w:sz w:val="15"/>
          <w:szCs w:val="15"/>
          <w:color w:val="auto"/>
        </w:rPr>
        <w:t>Page 2</w:t>
      </w:r>
    </w:p>
    <w:p>
      <w:pPr>
        <w:jc w:val="center"/>
        <w:ind w:right="2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60"/>
          </w:cols>
          <w:pgMar w:left="320" w:top="1192" w:right="319" w:bottom="1440" w:gutter="0" w:footer="0" w:header="0"/>
        </w:sectPr>
      </w:pPr>
    </w:p>
    <w:bookmarkStart w:id="111" w:name="page112"/>
    <w:bookmarkEnd w:id="111"/>
    <w:p>
      <w:pPr>
        <w:ind w:left="286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200025</wp:posOffset>
            </wp:positionV>
            <wp:extent cx="1491615" cy="3429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860"/>
        <w:spacing w:after="0" w:line="216" w:lineRule="auto"/>
        <w:rPr>
          <w:sz w:val="20"/>
          <w:szCs w:val="20"/>
          <w:color w:val="auto"/>
        </w:rPr>
      </w:pPr>
      <w:r>
        <w:rPr>
          <w:rFonts w:ascii="Arial" w:cs="Arial" w:eastAsia="Arial" w:hAnsi="Arial"/>
          <w:sz w:val="13"/>
          <w:szCs w:val="13"/>
          <w:color w:val="808080"/>
        </w:rPr>
        <w:t>P.O. Box 3707</w:t>
      </w:r>
    </w:p>
    <w:p>
      <w:pPr>
        <w:ind w:left="286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R8</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040" w:hanging="384"/>
        <w:spacing w:after="0"/>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Table 1-3R6, and Table 1-4R4 to the Purchase Agreement as of the date of execution of this Letter Agreement, [****] ([****]).</w:t>
      </w:r>
    </w:p>
    <w:p>
      <w:pPr>
        <w:spacing w:after="0" w:line="149" w:lineRule="exact"/>
        <w:rPr>
          <w:sz w:val="20"/>
          <w:szCs w:val="20"/>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The [****] with [****] in calendar year [****] are listed in Attachment A(R8) to this Letter Agreement.</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 with [****]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 xml:space="preserve"> </w:t>
      </w:r>
      <w:r>
        <w:rPr>
          <w:rFonts w:ascii="Arial" w:cs="Arial" w:eastAsia="Arial" w:hAnsi="Arial"/>
          <w:sz w:val="22"/>
          <w:szCs w:val="22"/>
          <w:color w:val="auto"/>
        </w:rPr>
        <w:t>in [****] for each [****] are listed in Attachment A(R8) to this Letter</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No later than [****] to the [****] in each of calendar years [****], Boeing will provide written notice setting forth [****] with a [****] in such calendar year. Such notice will constitute an amendment to Attachment A(R8) to this Letter Agreement.</w:t>
      </w:r>
    </w:p>
    <w:p>
      <w:pPr>
        <w:spacing w:after="0" w:line="152" w:lineRule="exact"/>
        <w:rPr>
          <w:sz w:val="20"/>
          <w:szCs w:val="20"/>
          <w:color w:val="auto"/>
        </w:rPr>
      </w:pPr>
    </w:p>
    <w:p>
      <w:pPr>
        <w:ind w:left="1040" w:hanging="384"/>
        <w:spacing w:after="0"/>
        <w:tabs>
          <w:tab w:leader="none" w:pos="10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R8</w:t>
      </w:r>
      <w:r>
        <w:rPr>
          <w:sz w:val="20"/>
          <w:szCs w:val="20"/>
          <w:color w:val="auto"/>
        </w:rPr>
        <w:tab/>
      </w:r>
      <w:r>
        <w:rPr>
          <w:rFonts w:ascii="Arial" w:cs="Arial" w:eastAsia="Arial" w:hAnsi="Arial"/>
          <w:sz w:val="21"/>
          <w:szCs w:val="21"/>
          <w:color w:val="auto"/>
        </w:rPr>
        <w:t>SA-25</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394"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left="1040" w:hanging="384"/>
        <w:spacing w:after="0"/>
        <w:tabs>
          <w:tab w:leader="none" w:pos="10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4.1</w:t>
        <w:tab/>
        <w:t>The [****] Aircraft Basic Price for each of the [****] are identified in Attachment A(R8)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jc w:val="right"/>
        <w:ind w:left="660" w:right="9620" w:hanging="4"/>
        <w:spacing w:after="0" w:line="307" w:lineRule="auto"/>
        <w:tabs>
          <w:tab w:leader="none" w:pos="1043"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 xml:space="preserve">[****]. </w:t>
      </w:r>
      <w:r>
        <w:rPr>
          <w:rFonts w:ascii="Arial" w:cs="Arial" w:eastAsia="Arial" w:hAnsi="Arial"/>
          <w:sz w:val="22"/>
          <w:szCs w:val="22"/>
          <w:color w:val="auto"/>
        </w:rPr>
        <w:t>8.1  [****]</w:t>
      </w: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R8</w:t>
      </w:r>
      <w:r>
        <w:rPr>
          <w:sz w:val="20"/>
          <w:szCs w:val="20"/>
          <w:color w:val="auto"/>
        </w:rPr>
        <w:tab/>
      </w:r>
      <w:r>
        <w:rPr>
          <w:rFonts w:ascii="Arial" w:cs="Arial" w:eastAsia="Arial" w:hAnsi="Arial"/>
          <w:sz w:val="21"/>
          <w:szCs w:val="21"/>
          <w:color w:val="auto"/>
        </w:rPr>
        <w:t>SA-25</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R8</w:t>
      </w:r>
      <w:r>
        <w:rPr>
          <w:sz w:val="20"/>
          <w:szCs w:val="20"/>
          <w:color w:val="auto"/>
        </w:rPr>
        <w:tab/>
      </w:r>
      <w:r>
        <w:rPr>
          <w:rFonts w:ascii="Arial" w:cs="Arial" w:eastAsia="Arial" w:hAnsi="Arial"/>
          <w:sz w:val="21"/>
          <w:szCs w:val="21"/>
          <w:color w:val="auto"/>
        </w:rPr>
        <w:t>SA-25</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5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70485</wp:posOffset>
            </wp:positionV>
            <wp:extent cx="2588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R8</w:t>
      </w:r>
      <w:r>
        <w:rPr>
          <w:sz w:val="20"/>
          <w:szCs w:val="20"/>
          <w:color w:val="auto"/>
        </w:rPr>
        <w:tab/>
      </w:r>
      <w:r>
        <w:rPr>
          <w:rFonts w:ascii="Arial" w:cs="Arial" w:eastAsia="Arial" w:hAnsi="Arial"/>
          <w:sz w:val="21"/>
          <w:szCs w:val="21"/>
          <w:color w:val="auto"/>
        </w:rPr>
        <w:t>SA-25</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22"/>
          <w:szCs w:val="22"/>
          <w:color w:val="auto"/>
        </w:rPr>
        <w:t>Attachment A(R8) To</w:t>
      </w:r>
    </w:p>
    <w:p>
      <w:pPr>
        <w:jc w:val="center"/>
        <w:ind w:right="20"/>
        <w:spacing w:after="0" w:line="204" w:lineRule="auto"/>
        <w:rPr>
          <w:sz w:val="20"/>
          <w:szCs w:val="20"/>
          <w:color w:val="auto"/>
        </w:rPr>
      </w:pPr>
      <w:r>
        <w:rPr>
          <w:rFonts w:ascii="Arial" w:cs="Arial" w:eastAsia="Arial" w:hAnsi="Arial"/>
          <w:sz w:val="22"/>
          <w:szCs w:val="22"/>
          <w:color w:val="auto"/>
        </w:rPr>
        <w:t>Letter Agreement No. AAL-PA-03735-LA-1106651R8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Model/MTOW:</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737-8</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 pounds</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Detail Specification:</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CFMLEAP-</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Model/Thrust: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1B25</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 pounds</w:t>
            </w:r>
          </w:p>
        </w:tc>
        <w:tc>
          <w:tcPr>
            <w:tcW w:w="3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Airframe Price Base Year/Escalation Formula:</w:t>
            </w:r>
          </w:p>
        </w:tc>
        <w:tc>
          <w:tcPr>
            <w:tcW w:w="118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Airframe Price:</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28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Engine Price Base Year/Escalation Formula:</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Optional Features:</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Sub-Total of Airframe and Features:</w:t>
            </w: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28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Airframe Escalation Data:</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80" w:type="dxa"/>
            <w:vAlign w:val="bottom"/>
            <w:gridSpan w:val="3"/>
            <w:vMerge w:val="continue"/>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7"/>
                <w:szCs w:val="17"/>
                <w:color w:val="auto"/>
              </w:rPr>
            </w:pPr>
          </w:p>
        </w:tc>
        <w:tc>
          <w:tcPr>
            <w:tcW w:w="28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Price (Per</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Base Year Index (ECI):</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Aircraft Basic Price (Excluding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BFE/SPE):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Base Year Index (CPI):</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Buyer Furnished Equipment (BFE)</w:t>
            </w: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8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Seller Purchased Equipment (SPE)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LIFT Seats Provided by Boeing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Deposit per Aircraft:</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spacing w:after="0"/>
              <w:rPr>
                <w:sz w:val="19"/>
                <w:szCs w:val="19"/>
                <w:color w:val="auto"/>
              </w:rPr>
            </w:pP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200" w:type="dxa"/>
            <w:vAlign w:val="bottom"/>
          </w:tcPr>
          <w:p>
            <w:pPr>
              <w:spacing w:after="0"/>
              <w:rPr>
                <w:sz w:val="19"/>
                <w:szCs w:val="19"/>
                <w:color w:val="auto"/>
              </w:rPr>
            </w:pPr>
          </w:p>
        </w:tc>
        <w:tc>
          <w:tcPr>
            <w:tcW w:w="4720" w:type="dxa"/>
            <w:vAlign w:val="bottom"/>
            <w:tcBorders>
              <w:right w:val="single" w:sz="8" w:color="auto"/>
            </w:tcBorders>
            <w:gridSpan w:val="8"/>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78"/>
        </w:trPr>
        <w:tc>
          <w:tcPr>
            <w:tcW w:w="820" w:type="dxa"/>
            <w:vAlign w:val="bottom"/>
            <w:tcBorders>
              <w:left w:val="single" w:sz="8" w:color="auto"/>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920" w:type="dxa"/>
            <w:vAlign w:val="bottom"/>
            <w:tcBorders>
              <w:bottom w:val="single" w:sz="8" w:color="C0C0C0"/>
              <w:right w:val="single" w:sz="8" w:color="auto"/>
            </w:tcBorders>
            <w:shd w:val="clear" w:color="auto" w:fill="C0C0C0"/>
          </w:tcPr>
          <w:p>
            <w:pPr>
              <w:spacing w:after="0"/>
              <w:rPr>
                <w:sz w:val="6"/>
                <w:szCs w:val="6"/>
                <w:color w:val="auto"/>
              </w:rPr>
            </w:pPr>
          </w:p>
        </w:tc>
        <w:tc>
          <w:tcPr>
            <w:tcW w:w="1160" w:type="dxa"/>
            <w:vAlign w:val="bottom"/>
            <w:tcBorders>
              <w:bottom w:val="single" w:sz="8" w:color="C0C0C0"/>
              <w:right w:val="single" w:sz="8" w:color="auto"/>
            </w:tcBorders>
            <w:shd w:val="clear" w:color="auto" w:fill="C0C0C0"/>
          </w:tcPr>
          <w:p>
            <w:pPr>
              <w:spacing w:after="0"/>
              <w:rPr>
                <w:sz w:val="6"/>
                <w:szCs w:val="6"/>
                <w:color w:val="auto"/>
              </w:rPr>
            </w:pPr>
          </w:p>
        </w:tc>
        <w:tc>
          <w:tcPr>
            <w:tcW w:w="1360" w:type="dxa"/>
            <w:vAlign w:val="bottom"/>
            <w:tcBorders>
              <w:right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340" w:type="dxa"/>
            <w:vAlign w:val="bottom"/>
          </w:tcPr>
          <w:p>
            <w:pPr>
              <w:spacing w:after="0"/>
              <w:rPr>
                <w:sz w:val="19"/>
                <w:szCs w:val="19"/>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auto"/>
            </w:tcBorders>
          </w:tcPr>
          <w:p>
            <w:pPr>
              <w:spacing w:after="0"/>
              <w:rPr>
                <w:sz w:val="19"/>
                <w:szCs w:val="19"/>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00" w:type="dxa"/>
            <w:vAlign w:val="bottom"/>
          </w:tcPr>
          <w:p>
            <w:pPr>
              <w:spacing w:after="0"/>
              <w:rPr>
                <w:sz w:val="24"/>
                <w:szCs w:val="24"/>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6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2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shd w:val="clear" w:color="auto" w:fill="C0C0C0"/>
          </w:tcPr>
          <w:p>
            <w:pPr>
              <w:spacing w:after="0"/>
              <w:rPr>
                <w:sz w:val="21"/>
                <w:szCs w:val="21"/>
                <w:color w:val="auto"/>
              </w:rPr>
            </w:pPr>
          </w:p>
        </w:tc>
        <w:tc>
          <w:tcPr>
            <w:tcW w:w="1160" w:type="dxa"/>
            <w:vAlign w:val="bottom"/>
            <w:tcBorders>
              <w:bottom w:val="single" w:sz="8" w:color="auto"/>
              <w:right w:val="single" w:sz="8" w:color="auto"/>
            </w:tcBorders>
            <w:shd w:val="clear" w:color="auto" w:fill="C0C0C0"/>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SA-25</w:t>
      </w:r>
    </w:p>
    <w:p>
      <w:pPr>
        <w:ind w:left="480"/>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260"/>
          </w:cols>
          <w:pgMar w:left="320" w:top="731" w:right="31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SA-25</w:t>
      </w:r>
    </w:p>
    <w:p>
      <w:pPr>
        <w:ind w:left="48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60"/>
          </w:cols>
          <w:pgMar w:left="320" w:top="814" w:right="31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SA-25</w:t>
      </w:r>
    </w:p>
    <w:p>
      <w:pPr>
        <w:ind w:left="48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60"/>
          </w:cols>
          <w:pgMar w:left="320" w:top="814" w:right="31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368"/>
        </w:trPr>
        <w:tc>
          <w:tcPr>
            <w:tcW w:w="82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SA-25</w:t>
      </w:r>
    </w:p>
    <w:p>
      <w:pPr>
        <w:ind w:left="48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60"/>
          </w:cols>
          <w:pgMar w:left="320" w:top="814" w:right="319"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SA-25</w:t>
      </w:r>
    </w:p>
    <w:p>
      <w:pPr>
        <w:ind w:left="48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60"/>
          </w:cols>
          <w:pgMar w:left="320" w:top="814" w:right="319" w:bottom="1440" w:gutter="0" w:footer="0" w:header="0"/>
        </w:sectPr>
      </w:pPr>
    </w:p>
    <w:bookmarkStart w:id="120" w:name="page121"/>
    <w:bookmarkEnd w:id="120"/>
    <w:p>
      <w:pPr>
        <w:ind w:left="10240"/>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0575" cy="283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92"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26</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39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SUPPLEMENTAL AGREEMENT No. 26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26</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August _</w:t>
      </w:r>
      <w:r>
        <w:rPr>
          <w:rFonts w:ascii="Arial" w:cs="Arial" w:eastAsia="Arial" w:hAnsi="Arial"/>
          <w:sz w:val="22"/>
          <w:szCs w:val="22"/>
          <w:u w:val="single" w:color="auto"/>
          <w:color w:val="auto"/>
        </w:rPr>
        <w:t>1</w:t>
      </w:r>
      <w:r>
        <w:rPr>
          <w:rFonts w:ascii="Arial" w:cs="Arial" w:eastAsia="Arial" w:hAnsi="Arial"/>
          <w:sz w:val="22"/>
          <w:szCs w:val="22"/>
          <w:color w:val="auto"/>
        </w:rPr>
        <w:t>__,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3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6" w:lineRule="exact"/>
        <w:rPr>
          <w:sz w:val="20"/>
          <w:szCs w:val="20"/>
          <w:color w:val="auto"/>
        </w:rPr>
      </w:pPr>
    </w:p>
    <w:p>
      <w:pPr>
        <w:jc w:val="both"/>
        <w:ind w:firstLine="264"/>
        <w:spacing w:after="0" w:line="220" w:lineRule="auto"/>
        <w:rPr>
          <w:sz w:val="20"/>
          <w:szCs w:val="20"/>
          <w:color w:val="auto"/>
        </w:rPr>
      </w:pPr>
      <w:r>
        <w:rPr>
          <w:rFonts w:ascii="Arial" w:cs="Arial" w:eastAsia="Arial" w:hAnsi="Arial"/>
          <w:sz w:val="22"/>
          <w:szCs w:val="22"/>
          <w:color w:val="auto"/>
        </w:rPr>
        <w:t>WHEREAS, in [****] to the [****] Aircraft that Customer had previously [****] as set forth in Table 1R12, 1-2, 1-3R6, and 1-4R4 to the Purchase Agreement, Customer [****] with the execution of this SA-26, [****] in Attachment A(R8) to Letter Agreement No. AAL-PA-03735-LA-1106651R8 entitled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2"/>
          <w:szCs w:val="22"/>
          <w:b w:val="1"/>
          <w:bCs w:val="1"/>
          <w:color w:val="auto"/>
        </w:rPr>
        <w:t>Letter Agreement</w:t>
      </w:r>
      <w:r>
        <w:rPr>
          <w:rFonts w:ascii="Arial" w:cs="Arial" w:eastAsia="Arial" w:hAnsi="Arial"/>
          <w:sz w:val="22"/>
          <w:szCs w:val="22"/>
          <w:color w:val="auto"/>
        </w:rPr>
        <w:t>) with [****], pursuant to the terms and conditions of the [****] Letter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4"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SA-25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SA-26 in the footer to reflect changes made to the Purchase Agreement by this SA-26. Such new Table of Contents is hereby incorporated into the Purchase Agreement in replacement of its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SA-26,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1" w:right="339" w:bottom="1440" w:gutter="0" w:footer="0" w:header="0"/>
        </w:sectPr>
      </w:pPr>
    </w:p>
    <w:bookmarkStart w:id="121" w:name="page122"/>
    <w:bookmarkEnd w:id="121"/>
    <w:p>
      <w:pPr>
        <w:spacing w:after="0" w:line="91" w:lineRule="exact"/>
        <w:rPr>
          <w:sz w:val="20"/>
          <w:szCs w:val="20"/>
          <w:color w:val="auto"/>
        </w:rPr>
      </w:pPr>
    </w:p>
    <w:p>
      <w:pPr>
        <w:ind w:left="713" w:hanging="632"/>
        <w:spacing w:after="0"/>
        <w:tabs>
          <w:tab w:leader="none" w:pos="71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17" w:lineRule="auto"/>
        <w:rPr>
          <w:sz w:val="20"/>
          <w:szCs w:val="20"/>
          <w:color w:val="auto"/>
        </w:rPr>
      </w:pPr>
      <w:r>
        <w:rPr>
          <w:rFonts w:ascii="Arial" w:cs="Arial" w:eastAsia="Arial" w:hAnsi="Arial"/>
          <w:sz w:val="22"/>
          <w:szCs w:val="22"/>
          <w:u w:val="single" w:color="auto"/>
          <w:color w:val="auto"/>
        </w:rPr>
        <w:t>Table 1-4R4</w:t>
      </w:r>
      <w:r>
        <w:rPr>
          <w:rFonts w:ascii="Arial" w:cs="Arial" w:eastAsia="Arial" w:hAnsi="Arial"/>
          <w:sz w:val="22"/>
          <w:szCs w:val="22"/>
          <w:color w:val="auto"/>
        </w:rPr>
        <w:t>. Table 1-4R4 entitled “</w:t>
      </w:r>
      <w:r>
        <w:rPr>
          <w:rFonts w:ascii="Arial" w:cs="Arial" w:eastAsia="Arial" w:hAnsi="Arial"/>
          <w:sz w:val="22"/>
          <w:szCs w:val="22"/>
          <w:u w:val="single" w:color="auto"/>
          <w:color w:val="auto"/>
        </w:rPr>
        <w:t>737-8 [****] Aircraft Delivery, Description, Price and Advance Payments</w:t>
      </w:r>
      <w:r>
        <w:rPr>
          <w:rFonts w:ascii="Arial" w:cs="Arial" w:eastAsia="Arial" w:hAnsi="Arial"/>
          <w:sz w:val="22"/>
          <w:szCs w:val="22"/>
          <w:color w:val="auto"/>
        </w:rPr>
        <w:t>” is hereby deleted in its entirety and replaced with Table 1-4R5 entitled “</w:t>
      </w:r>
      <w:r>
        <w:rPr>
          <w:rFonts w:ascii="Arial" w:cs="Arial" w:eastAsia="Arial" w:hAnsi="Arial"/>
          <w:sz w:val="22"/>
          <w:szCs w:val="22"/>
          <w:u w:val="single" w:color="auto"/>
          <w:color w:val="auto"/>
        </w:rPr>
        <w:t>737-8 [****] Aircraft Delivery, Description, Price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Advance Payments</w:t>
      </w:r>
      <w:r>
        <w:rPr>
          <w:rFonts w:ascii="Arial" w:cs="Arial" w:eastAsia="Arial" w:hAnsi="Arial"/>
          <w:sz w:val="22"/>
          <w:szCs w:val="22"/>
          <w:color w:val="auto"/>
        </w:rPr>
        <w:t>” (attached hereto) referencing SA-26 in the footer is hereby incorporated into the Purchase Agreement in replacement of Table 1-4R4. For avoidance of doubt, the only difference between Table 1-4R4 and Table 1-4R5 is the [****] in the Purchase Agreement, resulting in Table 1-4R5.</w:t>
      </w:r>
    </w:p>
    <w:p>
      <w:pPr>
        <w:spacing w:after="0" w:line="152" w:lineRule="exact"/>
        <w:rPr>
          <w:sz w:val="20"/>
          <w:szCs w:val="20"/>
          <w:color w:val="auto"/>
        </w:rPr>
      </w:pPr>
    </w:p>
    <w:p>
      <w:pPr>
        <w:ind w:left="773" w:hanging="692"/>
        <w:spacing w:after="0"/>
        <w:tabs>
          <w:tab w:leader="none" w:pos="773"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 xml:space="preserve">3.1 Letter Agreement No. AAL-PA-03735-LA-1106651R8 (including Attachment A(R8)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is hereby deleted in its entirety and replaced with Letter Agreement No. AAL-PA-03735-LA-1106651R9 (including Attachment A(R9) (attached hereto)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referencing SA-26 in the footer. The [****] is hereby incorporated into the Purchase Agreement.</w:t>
      </w:r>
    </w:p>
    <w:p>
      <w:pPr>
        <w:spacing w:after="0" w:line="17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3.2 In addition to the [****], the parties agree that [****] to Letter Agreement No. AAL-PA-03735-LA-1106652 entitled [****] will be [****], or such [****], to [****].</w:t>
      </w:r>
    </w:p>
    <w:p>
      <w:pPr>
        <w:spacing w:after="0" w:line="286" w:lineRule="exact"/>
        <w:rPr>
          <w:sz w:val="20"/>
          <w:szCs w:val="20"/>
          <w:color w:val="auto"/>
        </w:rPr>
      </w:pPr>
    </w:p>
    <w:p>
      <w:pPr>
        <w:ind w:left="713" w:hanging="713"/>
        <w:spacing w:after="0"/>
        <w:tabs>
          <w:tab w:leader="none" w:pos="713"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left="73" w:firstLine="648"/>
        <w:spacing w:after="0" w:line="236" w:lineRule="auto"/>
        <w:rPr>
          <w:sz w:val="20"/>
          <w:szCs w:val="20"/>
          <w:color w:val="auto"/>
        </w:rPr>
      </w:pPr>
      <w:r>
        <w:rPr>
          <w:rFonts w:ascii="Arial" w:cs="Arial" w:eastAsia="Arial" w:hAnsi="Arial"/>
          <w:sz w:val="22"/>
          <w:szCs w:val="22"/>
          <w:color w:val="auto"/>
        </w:rPr>
        <w:t>4.1 [****] for the [****], [****] ([****]) ([****] specified in Table 1-4R5 to the Purchase Agreement for the [****] are [****] per [****] of the[****] and as specified in the [****] upon execution of this SA-26.</w:t>
      </w:r>
    </w:p>
    <w:p>
      <w:pPr>
        <w:spacing w:after="0" w:line="178" w:lineRule="exact"/>
        <w:rPr>
          <w:sz w:val="20"/>
          <w:szCs w:val="20"/>
          <w:color w:val="auto"/>
        </w:rPr>
      </w:pPr>
    </w:p>
    <w:p>
      <w:pPr>
        <w:ind w:left="713" w:hanging="713"/>
        <w:spacing w:after="0"/>
        <w:tabs>
          <w:tab w:leader="none" w:pos="713"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1-4R4, and the [****]. All other terms and conditions of the Purchase Agreement remain unchanged and are in full force and effect.</w:t>
      </w:r>
    </w:p>
    <w:p>
      <w:pPr>
        <w:spacing w:after="0" w:line="14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5.2 The following references in the Purchase Agreement and any supplemental agreements and associated letter agreements are deemed to refer to “Table 1R12, Table 1-2, Table 1-3R6, and Table 1-4R5”:</w:t>
      </w:r>
    </w:p>
    <w:p>
      <w:pPr>
        <w:spacing w:after="0" w:line="133" w:lineRule="exact"/>
        <w:rPr>
          <w:sz w:val="20"/>
          <w:szCs w:val="20"/>
          <w:color w:val="auto"/>
        </w:rPr>
      </w:pPr>
    </w:p>
    <w:p>
      <w:pPr>
        <w:ind w:left="1373" w:hanging="320"/>
        <w:spacing w:after="0"/>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 or “Table 1R2” or “Table 1R3”, or “Table1R4 and Table 1-2”,</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1R5 and Table 1-2”,</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1R6, Table 1-2, and Table 1-3”,</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1R7, Table 1-2, and Table 1-3R1”,</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1R8, Table 1-2, and Table 1-3R2”,</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1R9, Table 1-2, and Table 1-3R3”,</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1R10, Table 1-2, and Table 1-3R4”,</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1R11, Table 1-2, and Table 1-3R5”,</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and Table 1-3R6”,</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1-4R1”</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1-4R2”</w:t>
      </w:r>
    </w:p>
    <w:p>
      <w:pPr>
        <w:ind w:left="1373" w:hanging="320"/>
        <w:spacing w:after="0" w:line="204" w:lineRule="auto"/>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1-4R3”.</w:t>
      </w:r>
    </w:p>
    <w:p>
      <w:pPr>
        <w:ind w:left="1373" w:hanging="320"/>
        <w:spacing w:after="0"/>
        <w:tabs>
          <w:tab w:leader="none" w:pos="1373"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SA-26,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440" w:right="339" w:bottom="1440" w:gutter="0" w:footer="0" w:header="0"/>
        </w:sectPr>
      </w:pPr>
    </w:p>
    <w:bookmarkStart w:id="122" w:name="page123"/>
    <w:bookmarkEnd w:id="122"/>
    <w:p>
      <w:pPr>
        <w:spacing w:after="0" w:line="1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spacing w:after="0" w:line="207" w:lineRule="auto"/>
        <w:rPr>
          <w:sz w:val="20"/>
          <w:szCs w:val="20"/>
          <w:color w:val="auto"/>
        </w:rPr>
      </w:pPr>
      <w:r>
        <w:rPr>
          <w:rFonts w:ascii="Arial" w:cs="Arial" w:eastAsia="Arial" w:hAnsi="Arial"/>
          <w:sz w:val="21"/>
          <w:szCs w:val="21"/>
          <w:color w:val="auto"/>
        </w:rPr>
        <w:t>“Table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 Letter Agreement AAL-PA-LA-1106650R4 entitled “[****]” is deemed to only refer to Table 1R12 and the references to</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Table 1R5 in the Slide Letter Agreement remain references to Table 1R5.</w:t>
      </w:r>
    </w:p>
    <w:p>
      <w:pPr>
        <w:spacing w:after="0" w:line="18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1R6”, “Table 1R7”, “Table 1R8”, “Table 1R9”, “Table 1R10” or “Table 1R11” (where no corresponding reference to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either Table 1-2 or Table 1-3 is made) are deemed to refer to only “Table 1R12”.</w:t>
      </w:r>
    </w:p>
    <w:p>
      <w:pPr>
        <w:spacing w:after="0" w:line="15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Additionally, for the avoidance of doubt, references in the Purchase Agreement and any supplemental agreements and associated letter agreements to “Table 1-2” (where no corresponding reference to Table 1R4 or Table 1R5 is made)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remain references to “Table 1-2”.</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345"/>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22"/>
                <w:szCs w:val="22"/>
                <w:color w:val="auto"/>
              </w:rPr>
              <w:t>1106651R8</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1106651R9</w:t>
            </w:r>
          </w:p>
        </w:tc>
      </w:tr>
      <w:tr>
        <w:trPr>
          <w:trHeight w:val="80"/>
        </w:trPr>
        <w:tc>
          <w:tcPr>
            <w:tcW w:w="4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SA-26, Page 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204" w:lineRule="auto"/>
        <w:rPr>
          <w:sz w:val="20"/>
          <w:szCs w:val="20"/>
          <w:color w:val="auto"/>
        </w:rPr>
      </w:pPr>
      <w:r>
        <w:rPr>
          <w:rFonts w:ascii="Arial" w:cs="Arial" w:eastAsia="Arial" w:hAnsi="Arial"/>
          <w:sz w:val="22"/>
          <w:szCs w:val="22"/>
          <w:color w:val="auto"/>
        </w:rPr>
        <w:t>SA-26</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370"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83"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1R12</w:t>
      </w:r>
    </w:p>
    <w:p>
      <w:pPr>
        <w:jc w:val="center"/>
        <w:ind w:left="56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1-3R6</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1-4R5</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AR1</w:t>
      </w:r>
    </w:p>
    <w:p>
      <w:pPr>
        <w:ind w:left="1000"/>
        <w:spacing w:after="0"/>
        <w:rPr>
          <w:sz w:val="20"/>
          <w:szCs w:val="20"/>
          <w:color w:val="auto"/>
        </w:rPr>
      </w:pPr>
      <w:r>
        <w:rPr>
          <w:rFonts w:ascii="Arial" w:cs="Arial" w:eastAsia="Arial" w:hAnsi="Arial"/>
          <w:sz w:val="22"/>
          <w:szCs w:val="22"/>
          <w:color w:val="auto"/>
        </w:rPr>
        <w:t>A2</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30"/>
        </w:trPr>
        <w:tc>
          <w:tcPr>
            <w:tcW w:w="754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r>
      <w:tr>
        <w:trPr>
          <w:trHeight w:val="440"/>
        </w:trPr>
        <w:tc>
          <w:tcPr>
            <w:tcW w:w="754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r>
      <w:tr>
        <w:trPr>
          <w:trHeight w:val="716"/>
        </w:trPr>
        <w:tc>
          <w:tcPr>
            <w:tcW w:w="754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r>
      <w:tr>
        <w:trPr>
          <w:trHeight w:val="215"/>
        </w:trPr>
        <w:tc>
          <w:tcPr>
            <w:tcW w:w="7540" w:type="dxa"/>
            <w:vAlign w:val="bottom"/>
          </w:tcPr>
          <w:p>
            <w:pPr>
              <w:spacing w:after="0" w:line="216" w:lineRule="exact"/>
              <w:rPr>
                <w:sz w:val="20"/>
                <w:szCs w:val="20"/>
                <w:color w:val="auto"/>
              </w:rPr>
            </w:pPr>
            <w:r>
              <w:rPr>
                <w:rFonts w:ascii="Arial" w:cs="Arial" w:eastAsia="Arial" w:hAnsi="Arial"/>
                <w:sz w:val="22"/>
                <w:szCs w:val="22"/>
                <w:color w:val="auto"/>
              </w:rPr>
              <w:t>[****] Aircraft 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22"/>
                <w:szCs w:val="22"/>
                <w:color w:val="auto"/>
              </w:rPr>
              <w:t>[****]</w:t>
            </w:r>
            <w:r>
              <w:rPr>
                <w:rFonts w:ascii="Arial" w:cs="Arial" w:eastAsia="Arial" w:hAnsi="Arial"/>
                <w:sz w:val="22"/>
                <w:szCs w:val="22"/>
                <w:b w:val="1"/>
                <w:bCs w:val="1"/>
                <w:color w:val="auto"/>
              </w:rPr>
              <w:t xml:space="preserve"> Aircraft Delivery, Description, Price, and Advance</w:t>
            </w:r>
          </w:p>
        </w:tc>
        <w:tc>
          <w:tcPr>
            <w:tcW w:w="960" w:type="dxa"/>
            <w:vAlign w:val="bottom"/>
          </w:tcPr>
          <w:p>
            <w:pPr>
              <w:spacing w:after="0"/>
              <w:rPr>
                <w:sz w:val="18"/>
                <w:szCs w:val="18"/>
                <w:color w:val="auto"/>
              </w:rPr>
            </w:pPr>
          </w:p>
        </w:tc>
      </w:tr>
      <w:tr>
        <w:trPr>
          <w:trHeight w:val="323"/>
        </w:trPr>
        <w:tc>
          <w:tcPr>
            <w:tcW w:w="754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26</w:t>
            </w:r>
          </w:p>
        </w:tc>
      </w:tr>
      <w:tr>
        <w:trPr>
          <w:trHeight w:val="623"/>
        </w:trPr>
        <w:tc>
          <w:tcPr>
            <w:tcW w:w="7540" w:type="dxa"/>
            <w:vAlign w:val="bottom"/>
          </w:tcPr>
          <w:p>
            <w:pPr>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83"/>
        </w:trPr>
        <w:tc>
          <w:tcPr>
            <w:tcW w:w="7540" w:type="dxa"/>
            <w:vAlign w:val="bottom"/>
          </w:tcPr>
          <w:p>
            <w:pPr>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r>
    </w:tbl>
    <w:p>
      <w:pPr>
        <w:spacing w:after="0" w:line="68" w:lineRule="exact"/>
        <w:rPr>
          <w:sz w:val="20"/>
          <w:szCs w:val="20"/>
          <w:color w:val="auto"/>
        </w:rPr>
      </w:pPr>
    </w:p>
    <w:p>
      <w:pPr>
        <w:ind w:right="3600"/>
        <w:spacing w:after="0" w:line="408" w:lineRule="auto"/>
        <w:rPr>
          <w:sz w:val="20"/>
          <w:szCs w:val="20"/>
          <w:color w:val="auto"/>
        </w:rPr>
      </w:pPr>
      <w:r>
        <w:rPr>
          <w:rFonts w:ascii="Arial" w:cs="Arial" w:eastAsia="Arial" w:hAnsi="Arial"/>
          <w:sz w:val="22"/>
          <w:szCs w:val="22"/>
          <w:color w:val="auto"/>
        </w:rPr>
        <w:t>Aircraft Delivery Requirements and Responsibilities Definitions</w:t>
      </w:r>
    </w:p>
    <w:p>
      <w:pPr>
        <w:spacing w:after="0" w:line="2" w:lineRule="exact"/>
        <w:rPr>
          <w:sz w:val="20"/>
          <w:szCs w:val="20"/>
          <w:color w:val="auto"/>
        </w:rPr>
      </w:pPr>
    </w:p>
    <w:p>
      <w:pPr>
        <w:sectPr>
          <w:pgSz w:w="11900" w:h="16838" w:orient="portrait"/>
          <w:cols w:equalWidth="0" w:num="2">
            <w:col w:w="1680" w:space="720"/>
            <w:col w:w="8500"/>
          </w:cols>
          <w:pgMar w:left="400" w:top="1440" w:right="599" w:bottom="470" w:gutter="0" w:footer="0" w:header="0"/>
        </w:sectPr>
      </w:pPr>
    </w:p>
    <w:tbl>
      <w:tblPr>
        <w:tblLayout w:type="fixed"/>
        <w:tblInd w:w="0" w:type="dxa"/>
        <w:tblCellMar>
          <w:top w:w="0" w:type="dxa"/>
          <w:left w:w="0" w:type="dxa"/>
          <w:bottom w:w="0" w:type="dxa"/>
          <w:right w:w="0" w:type="dxa"/>
        </w:tblCellMar>
      </w:tblPr>
      <w:tr>
        <w:trPr>
          <w:trHeight w:val="297"/>
        </w:trPr>
        <w:tc>
          <w:tcPr>
            <w:tcW w:w="7720" w:type="dxa"/>
            <w:vAlign w:val="bottom"/>
            <w:gridSpan w:val="2"/>
          </w:tcPr>
          <w:p>
            <w:pPr>
              <w:spacing w:after="0"/>
              <w:rPr>
                <w:sz w:val="20"/>
                <w:szCs w:val="20"/>
                <w:color w:val="auto"/>
              </w:rPr>
            </w:pPr>
            <w:r>
              <w:rPr>
                <w:rFonts w:ascii="Arial" w:cs="Arial" w:eastAsia="Arial" w:hAnsi="Arial"/>
                <w:sz w:val="22"/>
                <w:szCs w:val="22"/>
                <w:b w:val="1"/>
                <w:bCs w:val="1"/>
                <w:u w:val="single" w:color="auto"/>
                <w:color w:val="auto"/>
              </w:rPr>
              <w:t>SUPPLEMENTAL EXHIBITS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AE1.</w:t>
            </w:r>
          </w:p>
        </w:tc>
        <w:tc>
          <w:tcPr>
            <w:tcW w:w="5760" w:type="dxa"/>
            <w:vAlign w:val="bottom"/>
            <w:vMerge w:val="restart"/>
          </w:tcPr>
          <w:p>
            <w:pPr>
              <w:ind w:left="440"/>
              <w:spacing w:after="0"/>
              <w:rPr>
                <w:sz w:val="20"/>
                <w:szCs w:val="20"/>
                <w:color w:val="auto"/>
              </w:rPr>
            </w:pPr>
            <w:r>
              <w:rPr>
                <w:rFonts w:ascii="Arial" w:cs="Arial" w:eastAsia="Arial" w:hAnsi="Arial"/>
                <w:sz w:val="22"/>
                <w:szCs w:val="22"/>
                <w:color w:val="auto"/>
              </w:rPr>
              <w: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60" w:type="dxa"/>
            <w:vAlign w:val="bottom"/>
          </w:tcPr>
          <w:p>
            <w:pPr>
              <w:jc w:val="center"/>
              <w:ind w:left="172"/>
              <w:spacing w:after="0"/>
              <w:rPr>
                <w:sz w:val="20"/>
                <w:szCs w:val="20"/>
                <w:color w:val="auto"/>
              </w:rPr>
            </w:pPr>
            <w:r>
              <w:rPr>
                <w:rFonts w:ascii="Arial" w:cs="Arial" w:eastAsia="Arial" w:hAnsi="Arial"/>
                <w:sz w:val="22"/>
                <w:szCs w:val="22"/>
                <w:color w:val="auto"/>
                <w:w w:val="98"/>
              </w:rPr>
              <w:t>BFE1.</w:t>
            </w:r>
          </w:p>
        </w:tc>
        <w:tc>
          <w:tcPr>
            <w:tcW w:w="5760" w:type="dxa"/>
            <w:vAlign w:val="bottom"/>
            <w:vMerge w:val="restart"/>
          </w:tcPr>
          <w:p>
            <w:pPr>
              <w:ind w:left="440"/>
              <w:spacing w:after="0"/>
              <w:rPr>
                <w:sz w:val="20"/>
                <w:szCs w:val="20"/>
                <w:color w:val="auto"/>
              </w:rPr>
            </w:pPr>
            <w:r>
              <w:rPr>
                <w:rFonts w:ascii="Arial" w:cs="Arial" w:eastAsia="Arial" w:hAnsi="Arial"/>
                <w:sz w:val="22"/>
                <w:szCs w:val="22"/>
                <w:color w:val="auto"/>
              </w:rPr>
              <w:t>BFE Variables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CS1R1.</w:t>
            </w:r>
          </w:p>
        </w:tc>
        <w:tc>
          <w:tcPr>
            <w:tcW w:w="5760" w:type="dxa"/>
            <w:vAlign w:val="bottom"/>
            <w:vMerge w:val="restart"/>
          </w:tcPr>
          <w:p>
            <w:pPr>
              <w:ind w:left="440"/>
              <w:spacing w:after="0"/>
              <w:rPr>
                <w:sz w:val="20"/>
                <w:szCs w:val="20"/>
                <w:color w:val="auto"/>
              </w:rPr>
            </w:pPr>
            <w:r>
              <w:rPr>
                <w:rFonts w:ascii="Arial" w:cs="Arial" w:eastAsia="Arial" w:hAnsi="Arial"/>
                <w:sz w:val="22"/>
                <w:szCs w:val="22"/>
                <w:color w:val="auto"/>
              </w:rPr>
              <w:t>Customer Support Variables</w:t>
            </w:r>
          </w:p>
        </w:tc>
        <w:tc>
          <w:tcPr>
            <w:tcW w:w="276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900"/>
        <w:spacing w:after="0" w:line="183" w:lineRule="auto"/>
        <w:tabs>
          <w:tab w:leader="none" w:pos="2380" w:val="left"/>
        </w:tabs>
        <w:rPr>
          <w:sz w:val="20"/>
          <w:szCs w:val="20"/>
          <w:color w:val="auto"/>
        </w:rPr>
      </w:pPr>
      <w:r>
        <w:rPr>
          <w:rFonts w:ascii="Arial" w:cs="Arial" w:eastAsia="Arial" w:hAnsi="Arial"/>
          <w:sz w:val="40"/>
          <w:szCs w:val="40"/>
          <w:color w:val="auto"/>
          <w:vertAlign w:val="superscript"/>
        </w:rPr>
        <w:t>EE1.</w:t>
      </w:r>
      <w:r>
        <w:rPr>
          <w:sz w:val="20"/>
          <w:szCs w:val="20"/>
          <w:color w:val="auto"/>
        </w:rPr>
        <w:tab/>
      </w:r>
      <w:r>
        <w:rPr>
          <w:rFonts w:ascii="Arial" w:cs="Arial" w:eastAsia="Arial" w:hAnsi="Arial"/>
          <w:sz w:val="21"/>
          <w:szCs w:val="21"/>
          <w:color w:val="auto"/>
        </w:rPr>
        <w:t>[****]</w:t>
      </w:r>
    </w:p>
    <w:p>
      <w:pPr>
        <w:ind w:left="840"/>
        <w:spacing w:after="0" w:line="219" w:lineRule="auto"/>
        <w:tabs>
          <w:tab w:leader="none" w:pos="2380" w:val="left"/>
        </w:tabs>
        <w:rPr>
          <w:sz w:val="20"/>
          <w:szCs w:val="20"/>
          <w:color w:val="auto"/>
        </w:rPr>
      </w:pPr>
      <w:r>
        <w:rPr>
          <w:rFonts w:ascii="Arial" w:cs="Arial" w:eastAsia="Arial" w:hAnsi="Arial"/>
          <w:sz w:val="43"/>
          <w:szCs w:val="43"/>
          <w:color w:val="auto"/>
          <w:vertAlign w:val="superscript"/>
        </w:rPr>
        <w:t>SLP1.</w:t>
      </w:r>
      <w:r>
        <w:rPr>
          <w:sz w:val="20"/>
          <w:szCs w:val="20"/>
          <w:color w:val="auto"/>
        </w:rPr>
        <w:tab/>
      </w:r>
      <w:r>
        <w:rPr>
          <w:rFonts w:ascii="Arial" w:cs="Arial" w:eastAsia="Arial" w:hAnsi="Arial"/>
          <w:sz w:val="22"/>
          <w:szCs w:val="22"/>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LETTER AGREEMENTS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22"/>
                <w:szCs w:val="22"/>
                <w:color w:val="auto"/>
              </w:rPr>
              <w:t>LA-1106648R1</w:t>
            </w:r>
          </w:p>
        </w:tc>
        <w:tc>
          <w:tcPr>
            <w:tcW w:w="5960" w:type="dxa"/>
            <w:vAlign w:val="bottom"/>
          </w:tcPr>
          <w:p>
            <w:pPr>
              <w:ind w:left="480"/>
              <w:spacing w:after="0"/>
              <w:rPr>
                <w:sz w:val="20"/>
                <w:szCs w:val="20"/>
                <w:color w:val="auto"/>
              </w:rPr>
            </w:pPr>
            <w:r>
              <w:rPr>
                <w:rFonts w:ascii="Arial" w:cs="Arial" w:eastAsia="Arial" w:hAnsi="Arial"/>
                <w:sz w:val="22"/>
                <w:szCs w:val="22"/>
                <w:color w:val="auto"/>
              </w:rPr>
              <w:t>Special Matters</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6</w:t>
            </w:r>
          </w:p>
        </w:tc>
      </w:tr>
      <w:tr>
        <w:trPr>
          <w:trHeight w:val="432"/>
        </w:trPr>
        <w:tc>
          <w:tcPr>
            <w:tcW w:w="1920" w:type="dxa"/>
            <w:vAlign w:val="bottom"/>
          </w:tcPr>
          <w:p>
            <w:pPr>
              <w:spacing w:after="0"/>
              <w:rPr>
                <w:sz w:val="20"/>
                <w:szCs w:val="20"/>
                <w:color w:val="auto"/>
              </w:rPr>
            </w:pPr>
            <w:r>
              <w:rPr>
                <w:rFonts w:ascii="Arial" w:cs="Arial" w:eastAsia="Arial" w:hAnsi="Arial"/>
                <w:sz w:val="22"/>
                <w:szCs w:val="22"/>
                <w:color w:val="auto"/>
              </w:rPr>
              <w:t>LA-1106649</w:t>
            </w:r>
          </w:p>
        </w:tc>
        <w:tc>
          <w:tcPr>
            <w:tcW w:w="5960" w:type="dxa"/>
            <w:vAlign w:val="bottom"/>
          </w:tcPr>
          <w:p>
            <w:pPr>
              <w:ind w:left="480"/>
              <w:spacing w:after="0"/>
              <w:rPr>
                <w:sz w:val="20"/>
                <w:szCs w:val="20"/>
                <w:color w:val="auto"/>
              </w:rPr>
            </w:pPr>
            <w:r>
              <w:rPr>
                <w:rFonts w:ascii="Arial" w:cs="Arial" w:eastAsia="Arial" w:hAnsi="Arial"/>
                <w:sz w:val="22"/>
                <w:szCs w:val="22"/>
                <w:color w:val="auto"/>
              </w:rPr>
              <w:t>[****]</w:t>
            </w:r>
          </w:p>
        </w:tc>
        <w:tc>
          <w:tcPr>
            <w:tcW w:w="2660" w:type="dxa"/>
            <w:vAlign w:val="bottom"/>
          </w:tcPr>
          <w:p>
            <w:pPr>
              <w:spacing w:after="0"/>
              <w:rPr>
                <w:sz w:val="24"/>
                <w:szCs w:val="24"/>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22"/>
                <w:szCs w:val="22"/>
                <w:color w:val="auto"/>
              </w:rPr>
              <w:t>LA-1106650R6</w:t>
            </w:r>
          </w:p>
        </w:tc>
        <w:tc>
          <w:tcPr>
            <w:tcW w:w="5960" w:type="dxa"/>
            <w:vAlign w:val="bottom"/>
          </w:tcPr>
          <w:p>
            <w:pPr>
              <w:ind w:left="480"/>
              <w:spacing w:after="0"/>
              <w:rPr>
                <w:sz w:val="20"/>
                <w:szCs w:val="20"/>
                <w:color w:val="auto"/>
              </w:rPr>
            </w:pPr>
            <w:r>
              <w:rPr>
                <w:rFonts w:ascii="Arial" w:cs="Arial" w:eastAsia="Arial" w:hAnsi="Arial"/>
                <w:sz w:val="22"/>
                <w:szCs w:val="22"/>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22</w:t>
            </w:r>
          </w:p>
        </w:tc>
      </w:tr>
      <w:tr>
        <w:trPr>
          <w:trHeight w:val="444"/>
        </w:trPr>
        <w:tc>
          <w:tcPr>
            <w:tcW w:w="1920" w:type="dxa"/>
            <w:vAlign w:val="bottom"/>
          </w:tcPr>
          <w:p>
            <w:pPr>
              <w:spacing w:after="0"/>
              <w:rPr>
                <w:sz w:val="20"/>
                <w:szCs w:val="20"/>
                <w:color w:val="auto"/>
              </w:rPr>
            </w:pPr>
            <w:r>
              <w:rPr>
                <w:rFonts w:ascii="Arial" w:cs="Arial" w:eastAsia="Arial" w:hAnsi="Arial"/>
                <w:sz w:val="22"/>
                <w:szCs w:val="22"/>
                <w:b w:val="1"/>
                <w:bCs w:val="1"/>
                <w:color w:val="auto"/>
              </w:rPr>
              <w:t>LA-1106651R9</w:t>
            </w:r>
          </w:p>
        </w:tc>
        <w:tc>
          <w:tcPr>
            <w:tcW w:w="5960" w:type="dxa"/>
            <w:vAlign w:val="bottom"/>
          </w:tcPr>
          <w:p>
            <w:pPr>
              <w:ind w:left="480"/>
              <w:spacing w:after="0"/>
              <w:rPr>
                <w:sz w:val="20"/>
                <w:szCs w:val="20"/>
                <w:color w:val="auto"/>
              </w:rPr>
            </w:pPr>
            <w:r>
              <w:rPr>
                <w:rFonts w:ascii="Arial" w:cs="Arial" w:eastAsia="Arial" w:hAnsi="Arial"/>
                <w:sz w:val="22"/>
                <w:szCs w:val="22"/>
                <w:b w:val="1"/>
                <w:bCs w:val="1"/>
                <w:color w:val="auto"/>
              </w:rPr>
              <w:t>[****]</w:t>
            </w:r>
          </w:p>
        </w:tc>
        <w:tc>
          <w:tcPr>
            <w:tcW w:w="2660" w:type="dxa"/>
            <w:vAlign w:val="bottom"/>
          </w:tcPr>
          <w:p>
            <w:pPr>
              <w:jc w:val="center"/>
              <w:ind w:left="2312"/>
              <w:spacing w:after="0"/>
              <w:rPr>
                <w:sz w:val="20"/>
                <w:szCs w:val="20"/>
                <w:color w:val="auto"/>
              </w:rPr>
            </w:pPr>
            <w:r>
              <w:rPr>
                <w:rFonts w:ascii="Arial" w:cs="Arial" w:eastAsia="Arial" w:hAnsi="Arial"/>
                <w:sz w:val="22"/>
                <w:szCs w:val="22"/>
                <w:b w:val="1"/>
                <w:bCs w:val="1"/>
                <w:color w:val="auto"/>
                <w:w w:val="97"/>
              </w:rPr>
              <w:t>26</w:t>
            </w:r>
          </w:p>
        </w:tc>
      </w:tr>
      <w:tr>
        <w:trPr>
          <w:trHeight w:val="420"/>
        </w:trPr>
        <w:tc>
          <w:tcPr>
            <w:tcW w:w="1920" w:type="dxa"/>
            <w:vAlign w:val="bottom"/>
          </w:tcPr>
          <w:p>
            <w:pPr>
              <w:spacing w:after="0"/>
              <w:rPr>
                <w:sz w:val="20"/>
                <w:szCs w:val="20"/>
                <w:color w:val="auto"/>
              </w:rPr>
            </w:pPr>
            <w:r>
              <w:rPr>
                <w:rFonts w:ascii="Arial" w:cs="Arial" w:eastAsia="Arial" w:hAnsi="Arial"/>
                <w:sz w:val="22"/>
                <w:szCs w:val="22"/>
                <w:color w:val="auto"/>
              </w:rPr>
              <w:t>LA-1106652R1</w:t>
            </w:r>
          </w:p>
        </w:tc>
        <w:tc>
          <w:tcPr>
            <w:tcW w:w="5960" w:type="dxa"/>
            <w:vAlign w:val="bottom"/>
          </w:tcPr>
          <w:p>
            <w:pPr>
              <w:ind w:left="480"/>
              <w:spacing w:after="0"/>
              <w:rPr>
                <w:sz w:val="20"/>
                <w:szCs w:val="20"/>
                <w:color w:val="auto"/>
              </w:rPr>
            </w:pPr>
            <w:r>
              <w:rPr>
                <w:rFonts w:ascii="Arial" w:cs="Arial" w:eastAsia="Arial" w:hAnsi="Arial"/>
                <w:sz w:val="22"/>
                <w:szCs w:val="22"/>
                <w:color w:val="auto"/>
              </w:rPr>
              <w:t>Aircraft Model Substitution</w:t>
            </w:r>
          </w:p>
        </w:tc>
        <w:tc>
          <w:tcPr>
            <w:tcW w:w="2660" w:type="dxa"/>
            <w:vAlign w:val="bottom"/>
          </w:tcPr>
          <w:p>
            <w:pPr>
              <w:jc w:val="center"/>
              <w:ind w:left="2312"/>
              <w:spacing w:after="0"/>
              <w:rPr>
                <w:sz w:val="20"/>
                <w:szCs w:val="20"/>
                <w:color w:val="auto"/>
              </w:rPr>
            </w:pPr>
            <w:r>
              <w:rPr>
                <w:rFonts w:ascii="Arial" w:cs="Arial" w:eastAsia="Arial" w:hAnsi="Arial"/>
                <w:sz w:val="22"/>
                <w:szCs w:val="22"/>
                <w:color w:val="auto"/>
                <w:w w:val="97"/>
              </w:rPr>
              <w:t>22</w:t>
            </w:r>
          </w:p>
        </w:tc>
      </w:tr>
      <w:tr>
        <w:trPr>
          <w:trHeight w:val="432"/>
        </w:trPr>
        <w:tc>
          <w:tcPr>
            <w:tcW w:w="1920" w:type="dxa"/>
            <w:vAlign w:val="bottom"/>
          </w:tcPr>
          <w:p>
            <w:pPr>
              <w:spacing w:after="0"/>
              <w:rPr>
                <w:sz w:val="20"/>
                <w:szCs w:val="20"/>
                <w:color w:val="auto"/>
              </w:rPr>
            </w:pPr>
            <w:r>
              <w:rPr>
                <w:rFonts w:ascii="Arial" w:cs="Arial" w:eastAsia="Arial" w:hAnsi="Arial"/>
                <w:sz w:val="22"/>
                <w:szCs w:val="22"/>
                <w:color w:val="auto"/>
              </w:rPr>
              <w:t>LA-1106654</w:t>
            </w:r>
          </w:p>
        </w:tc>
        <w:tc>
          <w:tcPr>
            <w:tcW w:w="5960" w:type="dxa"/>
            <w:vAlign w:val="bottom"/>
          </w:tcPr>
          <w:p>
            <w:pPr>
              <w:ind w:left="480"/>
              <w:spacing w:after="0"/>
              <w:rPr>
                <w:sz w:val="20"/>
                <w:szCs w:val="20"/>
                <w:color w:val="auto"/>
              </w:rPr>
            </w:pPr>
            <w:r>
              <w:rPr>
                <w:rFonts w:ascii="Arial" w:cs="Arial" w:eastAsia="Arial" w:hAnsi="Arial"/>
                <w:sz w:val="22"/>
                <w:szCs w:val="22"/>
                <w:color w:val="auto"/>
              </w:rPr>
              <w:t>AGTA Terms Revisions for MAX</w:t>
            </w:r>
          </w:p>
        </w:tc>
        <w:tc>
          <w:tcPr>
            <w:tcW w:w="2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SA-26</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440" w:right="599" w:bottom="470" w:gutter="0" w:footer="0" w:header="0"/>
          <w:type w:val="continuous"/>
        </w:sectPr>
      </w:pPr>
    </w:p>
    <w:bookmarkStart w:id="125" w:name="page126"/>
    <w:bookmarkEnd w:id="125"/>
    <w:p>
      <w:pPr>
        <w:jc w:val="center"/>
        <w:ind w:right="-231"/>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72" w:type="dxa"/>
        <w:tblCellMar>
          <w:top w:w="0" w:type="dxa"/>
          <w:left w:w="0" w:type="dxa"/>
          <w:bottom w:w="0" w:type="dxa"/>
          <w:right w:w="0" w:type="dxa"/>
        </w:tblCellMar>
      </w:tblPr>
      <w:tr>
        <w:trPr>
          <w:trHeight w:val="44"/>
        </w:trPr>
        <w:tc>
          <w:tcPr>
            <w:tcW w:w="1160" w:type="dxa"/>
            <w:vAlign w:val="bottom"/>
            <w:vMerge w:val="restart"/>
          </w:tcPr>
          <w:p>
            <w:pPr>
              <w:spacing w:after="0"/>
              <w:rPr>
                <w:sz w:val="20"/>
                <w:szCs w:val="20"/>
                <w:color w:val="auto"/>
              </w:rPr>
            </w:pPr>
            <w:r>
              <w:rPr>
                <w:rFonts w:ascii="Arial" w:cs="Arial" w:eastAsia="Arial" w:hAnsi="Arial"/>
                <w:sz w:val="22"/>
                <w:szCs w:val="22"/>
                <w:color w:val="auto"/>
                <w:strike w:val="1"/>
                <w:w w:val="95"/>
              </w:rPr>
              <w:t>LA-1106655</w:t>
            </w:r>
          </w:p>
        </w:tc>
        <w:tc>
          <w:tcPr>
            <w:tcW w:w="800" w:type="dxa"/>
            <w:vAlign w:val="bottom"/>
          </w:tcPr>
          <w:p>
            <w:pPr>
              <w:spacing w:after="0"/>
              <w:rPr>
                <w:sz w:val="3"/>
                <w:szCs w:val="3"/>
                <w:color w:val="auto"/>
              </w:rPr>
            </w:pPr>
          </w:p>
        </w:tc>
        <w:tc>
          <w:tcPr>
            <w:tcW w:w="2880" w:type="dxa"/>
            <w:vAlign w:val="bottom"/>
            <w:gridSpan w:val="2"/>
            <w:vMerge w:val="restart"/>
          </w:tcPr>
          <w:p>
            <w:pPr>
              <w:ind w:left="440"/>
              <w:spacing w:after="0"/>
              <w:rPr>
                <w:sz w:val="20"/>
                <w:szCs w:val="20"/>
                <w:color w:val="auto"/>
              </w:rPr>
            </w:pPr>
            <w:r>
              <w:rPr>
                <w:rFonts w:ascii="Arial" w:cs="Arial" w:eastAsia="Arial" w:hAnsi="Arial"/>
                <w:sz w:val="22"/>
                <w:szCs w:val="22"/>
                <w:color w:val="auto"/>
                <w:strike w:val="1"/>
                <w:w w:val="97"/>
              </w:rPr>
              <w:t>Open Matters – 737 MAX</w:t>
            </w:r>
          </w:p>
        </w:tc>
        <w:tc>
          <w:tcPr>
            <w:tcW w:w="5100" w:type="dxa"/>
            <w:vAlign w:val="bottom"/>
            <w:vMerge w:val="restart"/>
          </w:tcPr>
          <w:p>
            <w:pPr>
              <w:ind w:left="60"/>
              <w:spacing w:after="0"/>
              <w:rPr>
                <w:sz w:val="20"/>
                <w:szCs w:val="20"/>
                <w:color w:val="auto"/>
              </w:rPr>
            </w:pPr>
            <w:r>
              <w:rPr>
                <w:rFonts w:ascii="Arial" w:cs="Arial" w:eastAsia="Arial" w:hAnsi="Arial"/>
                <w:sz w:val="22"/>
                <w:szCs w:val="22"/>
                <w:color w:val="auto"/>
              </w:rPr>
              <w:t>Withdrawn</w:t>
            </w:r>
          </w:p>
        </w:tc>
        <w:tc>
          <w:tcPr>
            <w:tcW w:w="960" w:type="dxa"/>
            <w:vAlign w:val="bottom"/>
            <w:vMerge w:val="restart"/>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80" w:type="dxa"/>
            <w:vAlign w:val="bottom"/>
            <w:gridSpan w:val="2"/>
            <w:vMerge w:val="continue"/>
          </w:tcPr>
          <w:p>
            <w:pPr>
              <w:spacing w:after="0"/>
              <w:rPr>
                <w:sz w:val="18"/>
                <w:szCs w:val="18"/>
                <w:color w:val="auto"/>
              </w:rPr>
            </w:pPr>
          </w:p>
        </w:tc>
        <w:tc>
          <w:tcPr>
            <w:tcW w:w="51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1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Most Favored Customer – 737 MAX</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LA-1106663 R1</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LA-1106664 R1</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LA-1106658</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LA-1106659R3</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LA-1106660</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Spare Parts Initial Provisioning</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9940" w:type="dxa"/>
            <w:vAlign w:val="bottom"/>
            <w:gridSpan w:val="5"/>
            <w:vMerge w:val="restart"/>
          </w:tcPr>
          <w:p>
            <w:pPr>
              <w:spacing w:after="0"/>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95"/>
        </w:trPr>
        <w:tc>
          <w:tcPr>
            <w:tcW w:w="9940" w:type="dxa"/>
            <w:vAlign w:val="bottom"/>
            <w:gridSpan w:val="5"/>
            <w:vMerge w:val="continue"/>
          </w:tcPr>
          <w:p>
            <w:pPr>
              <w:spacing w:after="0"/>
              <w:rPr>
                <w:sz w:val="8"/>
                <w:szCs w:val="8"/>
                <w:color w:val="auto"/>
              </w:rPr>
            </w:pPr>
          </w:p>
        </w:tc>
        <w:tc>
          <w:tcPr>
            <w:tcW w:w="960" w:type="dxa"/>
            <w:vAlign w:val="bottom"/>
            <w:vMerge w:val="restart"/>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120"/>
        </w:trPr>
        <w:tc>
          <w:tcPr>
            <w:tcW w:w="1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1960" w:type="dxa"/>
            <w:vAlign w:val="bottom"/>
            <w:gridSpan w:val="2"/>
          </w:tcPr>
          <w:p>
            <w:pPr>
              <w:spacing w:after="0"/>
              <w:rPr>
                <w:sz w:val="20"/>
                <w:szCs w:val="20"/>
                <w:color w:val="auto"/>
              </w:rPr>
            </w:pPr>
            <w:r>
              <w:rPr>
                <w:rFonts w:ascii="Arial" w:cs="Arial" w:eastAsia="Arial" w:hAnsi="Arial"/>
                <w:sz w:val="22"/>
                <w:szCs w:val="22"/>
                <w:color w:val="auto"/>
              </w:rPr>
              <w:t>LA-1106661R2</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LA-1106667</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LA-1106668R1</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LA-1106669</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LA-1106670</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LA-1106671R1</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Miscellaneous Commitments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LA-1106672</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Extended Warranty Option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LA-1106673R1*</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LA-1106677</w:t>
            </w:r>
          </w:p>
        </w:tc>
        <w:tc>
          <w:tcPr>
            <w:tcW w:w="7980" w:type="dxa"/>
            <w:vAlign w:val="bottom"/>
            <w:gridSpan w:val="3"/>
          </w:tcPr>
          <w:p>
            <w:pPr>
              <w:ind w:left="440"/>
              <w:spacing w:after="0"/>
              <w:rPr>
                <w:sz w:val="20"/>
                <w:szCs w:val="20"/>
                <w:color w:val="auto"/>
              </w:rPr>
            </w:pPr>
            <w:r>
              <w:rPr>
                <w:rFonts w:ascii="Arial" w:cs="Arial" w:eastAsia="Arial" w:hAnsi="Arial"/>
                <w:sz w:val="22"/>
                <w:szCs w:val="22"/>
                <w:color w:val="auto"/>
              </w:rPr>
              <w:t>Optional Features Comfort Letter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LA-1600073</w:t>
            </w:r>
          </w:p>
        </w:tc>
        <w:tc>
          <w:tcPr>
            <w:tcW w:w="1600" w:type="dxa"/>
            <w:vAlign w:val="bottom"/>
          </w:tcPr>
          <w:p>
            <w:pPr>
              <w:ind w:left="440"/>
              <w:spacing w:after="0"/>
              <w:rPr>
                <w:sz w:val="20"/>
                <w:szCs w:val="20"/>
                <w:color w:val="auto"/>
              </w:rPr>
            </w:pPr>
            <w:r>
              <w:rPr>
                <w:rFonts w:ascii="Arial" w:cs="Arial" w:eastAsia="Arial" w:hAnsi="Arial"/>
                <w:sz w:val="22"/>
                <w:szCs w:val="22"/>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LA-1600852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LA-1603773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LA-1605402R1</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21</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LA-1700919</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LA-1801206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LA-2002704</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LA-2002743</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LA-2003342</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22"/>
                <w:szCs w:val="22"/>
                <w:color w:val="auto"/>
              </w:rPr>
              <w:t>LA-2003486</w:t>
            </w:r>
          </w:p>
        </w:tc>
        <w:tc>
          <w:tcPr>
            <w:tcW w:w="1600" w:type="dxa"/>
            <w:vAlign w:val="bottom"/>
          </w:tcPr>
          <w:p>
            <w:pPr>
              <w:ind w:left="440"/>
              <w:spacing w:after="0"/>
              <w:rPr>
                <w:sz w:val="20"/>
                <w:szCs w:val="20"/>
                <w:color w:val="auto"/>
              </w:rPr>
            </w:pPr>
            <w:r>
              <w:rPr>
                <w:rFonts w:ascii="Arial" w:cs="Arial" w:eastAsia="Arial" w:hAnsi="Arial"/>
                <w:sz w:val="19"/>
                <w:szCs w:val="19"/>
                <w:color w:val="auto"/>
              </w:rPr>
              <w:t>[****]</w:t>
            </w:r>
          </w:p>
        </w:tc>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0" w:type="dxa"/>
            <w:vAlign w:val="bottom"/>
          </w:tcPr>
          <w:p>
            <w:pPr>
              <w:spacing w:after="0"/>
              <w:rPr>
                <w:sz w:val="1"/>
                <w:szCs w:val="1"/>
                <w:color w:val="auto"/>
              </w:rPr>
            </w:pPr>
          </w:p>
        </w:tc>
      </w:tr>
    </w:tbl>
    <w:p>
      <w:pPr>
        <w:spacing w:after="0" w:line="378" w:lineRule="exact"/>
        <w:rPr>
          <w:sz w:val="20"/>
          <w:szCs w:val="20"/>
          <w:color w:val="auto"/>
        </w:rPr>
      </w:pPr>
    </w:p>
    <w:p>
      <w:pPr>
        <w:ind w:left="-8" w:firstLine="8"/>
        <w:spacing w:after="0" w:line="236" w:lineRule="auto"/>
        <w:tabs>
          <w:tab w:leader="none" w:pos="136" w:val="left"/>
        </w:tabs>
        <w:numPr>
          <w:ilvl w:val="0"/>
          <w:numId w:val="74"/>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1012"/>
          </w:cols>
          <w:pgMar w:left="328" w:top="961" w:right="559" w:bottom="0" w:gutter="0" w:footer="0" w:header="0"/>
        </w:sectPr>
      </w:pPr>
    </w:p>
    <w:bookmarkStart w:id="126" w:name="page127"/>
    <w:bookmarkEnd w:id="126"/>
    <w:p>
      <w:pPr>
        <w:jc w:val="center"/>
        <w:ind w:right="1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SA-26</w:t>
      </w:r>
    </w:p>
    <w:p>
      <w:pPr>
        <w:sectPr>
          <w:pgSz w:w="11900" w:h="16838" w:orient="portrait"/>
          <w:cols w:equalWidth="0" w:num="1">
            <w:col w:w="9019"/>
          </w:cols>
          <w:pgMar w:left="1440" w:top="1298" w:right="1440" w:bottom="1440" w:gutter="0" w:footer="0" w:header="0"/>
        </w:sectPr>
      </w:pPr>
    </w:p>
    <w:p>
      <w:pPr>
        <w:jc w:val="center"/>
        <w:ind w:right="19"/>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9019"/>
          </w:cols>
          <w:pgMar w:left="1440" w:top="1298" w:right="1440" w:bottom="1440" w:gutter="0" w:footer="0" w:header="0"/>
          <w:type w:val="continuous"/>
        </w:sectPr>
      </w:pPr>
    </w:p>
    <w:bookmarkStart w:id="127" w:name="page128"/>
    <w:bookmarkEnd w:id="12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3429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Table 1-4R5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PA-03735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737-8 [****] Aircraft Delivery, Description, Price and Advance Payments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737-8</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Detail Specification:</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CFMLEAP-</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1B25</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104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Airframe Escalation Data:</w:t>
            </w:r>
          </w:p>
        </w:tc>
        <w:tc>
          <w:tcPr>
            <w:tcW w:w="28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140" w:type="dxa"/>
            <w:vAlign w:val="bottom"/>
            <w:gridSpan w:val="3"/>
            <w:vMerge w:val="continue"/>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104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3"/>
            <w:vMerge w:val="continue"/>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80" w:type="dxa"/>
            <w:vAlign w:val="bottom"/>
          </w:tcPr>
          <w:p>
            <w:pPr>
              <w:spacing w:after="0"/>
              <w:rPr>
                <w:sz w:val="24"/>
                <w:szCs w:val="24"/>
                <w:color w:val="auto"/>
              </w:rPr>
            </w:pPr>
          </w:p>
        </w:tc>
        <w:tc>
          <w:tcPr>
            <w:tcW w:w="4280" w:type="dxa"/>
            <w:vAlign w:val="bottom"/>
            <w:tcBorders>
              <w:right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c>
          <w:tcPr>
            <w:tcW w:w="0" w:type="dxa"/>
            <w:vAlign w:val="bottom"/>
          </w:tcPr>
          <w:p>
            <w:pPr>
              <w:spacing w:after="0"/>
              <w:rPr>
                <w:sz w:val="1"/>
                <w:szCs w:val="1"/>
                <w:color w:val="auto"/>
              </w:rPr>
            </w:pPr>
          </w:p>
        </w:tc>
      </w:tr>
      <w:tr>
        <w:trPr>
          <w:trHeight w:val="31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4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8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 Payment Base</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65"/>
        </w:trPr>
        <w:tc>
          <w:tcPr>
            <w:tcW w:w="104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160" w:val="left"/>
        </w:tabs>
        <w:rPr>
          <w:sz w:val="20"/>
          <w:szCs w:val="20"/>
          <w:color w:val="auto"/>
        </w:rPr>
      </w:pPr>
      <w:r>
        <w:rPr>
          <w:rFonts w:ascii="Arial" w:cs="Arial" w:eastAsia="Arial" w:hAnsi="Arial"/>
          <w:sz w:val="15"/>
          <w:szCs w:val="15"/>
          <w:color w:val="auto"/>
        </w:rPr>
        <w:t>AAL-PA-03735 118070-1F.txt</w:t>
        <w:tab/>
        <w:t>SA-26</w:t>
      </w:r>
    </w:p>
    <w:p>
      <w:pPr>
        <w:ind w:left="180"/>
        <w:spacing w:after="0" w:line="206" w:lineRule="auto"/>
        <w:rPr>
          <w:sz w:val="20"/>
          <w:szCs w:val="20"/>
          <w:color w:val="auto"/>
        </w:rPr>
      </w:pPr>
      <w:r>
        <w:rPr>
          <w:rFonts w:ascii="Arial" w:cs="Arial" w:eastAsia="Arial" w:hAnsi="Arial"/>
          <w:sz w:val="15"/>
          <w:szCs w:val="15"/>
          <w:color w:val="auto"/>
        </w:rPr>
        <w:t>Page 1</w:t>
      </w:r>
    </w:p>
    <w:p>
      <w:pPr>
        <w:jc w:val="center"/>
        <w:ind w:right="2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60"/>
          </w:cols>
          <w:pgMar w:left="320" w:top="1112" w:right="319" w:bottom="656"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97"/>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38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c>
          <w:tcPr>
            <w:tcW w:w="0" w:type="dxa"/>
            <w:vAlign w:val="bottom"/>
          </w:tcPr>
          <w:p>
            <w:pPr>
              <w:spacing w:after="0"/>
              <w:rPr>
                <w:sz w:val="1"/>
                <w:szCs w:val="1"/>
                <w:color w:val="auto"/>
              </w:rPr>
            </w:pPr>
          </w:p>
        </w:tc>
      </w:tr>
      <w:tr>
        <w:trPr>
          <w:trHeight w:val="31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Estimate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5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At</w:t>
            </w:r>
          </w:p>
        </w:tc>
        <w:tc>
          <w:tcPr>
            <w:tcW w:w="8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Adv Payment Base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A/P</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60" w:type="dxa"/>
            <w:vAlign w:val="bottom"/>
          </w:tcPr>
          <w:p>
            <w:pPr>
              <w:spacing w:after="0"/>
              <w:rPr>
                <w:sz w:val="24"/>
                <w:szCs w:val="24"/>
                <w:color w:val="auto"/>
              </w:rPr>
            </w:pPr>
          </w:p>
        </w:tc>
        <w:tc>
          <w:tcPr>
            <w:tcW w:w="11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2040" w:type="dxa"/>
            <w:vAlign w:val="bottom"/>
            <w:gridSpan w:val="3"/>
          </w:tcPr>
          <w:p>
            <w:pPr>
              <w:spacing w:after="0"/>
              <w:rPr>
                <w:sz w:val="20"/>
                <w:szCs w:val="20"/>
                <w:color w:val="auto"/>
              </w:rPr>
            </w:pPr>
            <w:r>
              <w:rPr>
                <w:rFonts w:ascii="Arial" w:cs="Arial" w:eastAsia="Arial" w:hAnsi="Arial"/>
                <w:sz w:val="15"/>
                <w:szCs w:val="15"/>
                <w:color w:val="auto"/>
              </w:rPr>
              <w:t>AAL-PA-03735 118070-1F.txt</w:t>
            </w:r>
          </w:p>
        </w:tc>
        <w:tc>
          <w:tcPr>
            <w:tcW w:w="1100" w:type="dxa"/>
            <w:vAlign w:val="bottom"/>
          </w:tcPr>
          <w:p>
            <w:pPr>
              <w:ind w:left="140"/>
              <w:spacing w:after="0"/>
              <w:rPr>
                <w:sz w:val="20"/>
                <w:szCs w:val="20"/>
                <w:color w:val="auto"/>
              </w:rPr>
            </w:pPr>
            <w:r>
              <w:rPr>
                <w:rFonts w:ascii="Arial" w:cs="Arial" w:eastAsia="Arial" w:hAnsi="Arial"/>
                <w:sz w:val="15"/>
                <w:szCs w:val="15"/>
                <w:color w:val="auto"/>
              </w:rPr>
              <w:t>SA-26</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40" w:type="dxa"/>
            <w:vAlign w:val="bottom"/>
          </w:tcPr>
          <w:p>
            <w:pPr>
              <w:ind w:left="180"/>
              <w:spacing w:after="0"/>
              <w:rPr>
                <w:sz w:val="20"/>
                <w:szCs w:val="20"/>
                <w:color w:val="auto"/>
              </w:rPr>
            </w:pPr>
            <w:r>
              <w:rPr>
                <w:rFonts w:ascii="Arial" w:cs="Arial" w:eastAsia="Arial" w:hAnsi="Arial"/>
                <w:sz w:val="15"/>
                <w:szCs w:val="15"/>
                <w:color w:val="auto"/>
              </w:rPr>
              <w:t>Page 2</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40" w:type="dxa"/>
            <w:vAlign w:val="bottom"/>
            <w:gridSpan w:val="2"/>
            <w:vMerge w:val="restart"/>
          </w:tcPr>
          <w:p>
            <w:pPr>
              <w:ind w:left="620"/>
              <w:spacing w:after="0"/>
              <w:rPr>
                <w:sz w:val="20"/>
                <w:szCs w:val="20"/>
                <w:color w:val="auto"/>
              </w:rPr>
            </w:pPr>
            <w:r>
              <w:rPr>
                <w:rFonts w:ascii="Arial" w:cs="Arial" w:eastAsia="Arial" w:hAnsi="Arial"/>
                <w:sz w:val="15"/>
                <w:szCs w:val="15"/>
                <w:b w:val="1"/>
                <w:bCs w:val="1"/>
                <w:color w:val="auto"/>
              </w:rPr>
              <w:t>BOEING PROPRIETARY</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1192" w:right="3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3429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r>
    </w:p>
    <w:bookmarkStart w:id="129" w:name="page130"/>
    <w:bookmarkEnd w:id="129"/>
    <w:p>
      <w:pPr>
        <w:ind w:left="286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200025</wp:posOffset>
            </wp:positionV>
            <wp:extent cx="1491615" cy="342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860"/>
        <w:spacing w:after="0" w:line="216" w:lineRule="auto"/>
        <w:rPr>
          <w:sz w:val="20"/>
          <w:szCs w:val="20"/>
          <w:color w:val="auto"/>
        </w:rPr>
      </w:pPr>
      <w:r>
        <w:rPr>
          <w:rFonts w:ascii="Arial" w:cs="Arial" w:eastAsia="Arial" w:hAnsi="Arial"/>
          <w:sz w:val="13"/>
          <w:szCs w:val="13"/>
          <w:color w:val="808080"/>
        </w:rPr>
        <w:t>P.O. Box 3707</w:t>
      </w:r>
    </w:p>
    <w:p>
      <w:pPr>
        <w:ind w:left="286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R9</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040" w:hanging="384"/>
        <w:spacing w:after="0"/>
        <w:tabs>
          <w:tab w:leader="none" w:pos="10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Table 1-3R6, and Table 1-4R5 to the Purchase Agreement as of the date of execution of this Letter Agreement, [****] ([****]).</w:t>
      </w:r>
    </w:p>
    <w:p>
      <w:pPr>
        <w:spacing w:after="0" w:line="149" w:lineRule="exact"/>
        <w:rPr>
          <w:sz w:val="20"/>
          <w:szCs w:val="20"/>
          <w:color w:val="auto"/>
        </w:rPr>
      </w:pPr>
    </w:p>
    <w:p>
      <w:pPr>
        <w:ind w:left="1040" w:hanging="384"/>
        <w:spacing w:after="0"/>
        <w:tabs>
          <w:tab w:leader="none" w:pos="104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The [****] with [****] in calendar year [****] are listed in Attachment A(R9) to this Letter Agreement.</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 with [****]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 xml:space="preserve"> </w:t>
      </w:r>
      <w:r>
        <w:rPr>
          <w:rFonts w:ascii="Arial" w:cs="Arial" w:eastAsia="Arial" w:hAnsi="Arial"/>
          <w:sz w:val="22"/>
          <w:szCs w:val="22"/>
          <w:color w:val="auto"/>
        </w:rPr>
        <w:t>in [****] for each [****] are listed in Attachment A(R9) to this Letter</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No later than [****] to the [****] in each of calendar years [****], Boeing will provide written notice setting forth [****] with a [****] in such calendar year. Such notice will constitute an amendment to Attachment A(R9) to this Letter Agreement.</w:t>
      </w:r>
    </w:p>
    <w:p>
      <w:pPr>
        <w:spacing w:after="0" w:line="152" w:lineRule="exact"/>
        <w:rPr>
          <w:sz w:val="20"/>
          <w:szCs w:val="20"/>
          <w:color w:val="auto"/>
        </w:rPr>
      </w:pPr>
    </w:p>
    <w:p>
      <w:pPr>
        <w:ind w:left="1040" w:hanging="384"/>
        <w:spacing w:after="0"/>
        <w:tabs>
          <w:tab w:leader="none" w:pos="104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R9</w:t>
      </w:r>
      <w:r>
        <w:rPr>
          <w:sz w:val="20"/>
          <w:szCs w:val="20"/>
          <w:color w:val="auto"/>
        </w:rPr>
        <w:tab/>
      </w:r>
      <w:r>
        <w:rPr>
          <w:rFonts w:ascii="Arial" w:cs="Arial" w:eastAsia="Arial" w:hAnsi="Arial"/>
          <w:sz w:val="21"/>
          <w:szCs w:val="21"/>
          <w:color w:val="auto"/>
        </w:rPr>
        <w:t>SA-26</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394"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left="1040" w:hanging="384"/>
        <w:spacing w:after="0"/>
        <w:tabs>
          <w:tab w:leader="none" w:pos="104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4.1</w:t>
        <w:tab/>
        <w:t>The [****] Aircraft Basic Price for each of the [****] are identified in Attachment A(R9)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jc w:val="right"/>
        <w:ind w:left="660" w:right="9620" w:hanging="4"/>
        <w:spacing w:after="0" w:line="307" w:lineRule="auto"/>
        <w:tabs>
          <w:tab w:leader="none" w:pos="104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 xml:space="preserve">[****]. </w:t>
      </w:r>
      <w:r>
        <w:rPr>
          <w:rFonts w:ascii="Arial" w:cs="Arial" w:eastAsia="Arial" w:hAnsi="Arial"/>
          <w:sz w:val="22"/>
          <w:szCs w:val="22"/>
          <w:color w:val="auto"/>
        </w:rPr>
        <w:t>8.1  [****]</w:t>
      </w: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R9</w:t>
      </w:r>
      <w:r>
        <w:rPr>
          <w:sz w:val="20"/>
          <w:szCs w:val="20"/>
          <w:color w:val="auto"/>
        </w:rPr>
        <w:tab/>
      </w:r>
      <w:r>
        <w:rPr>
          <w:rFonts w:ascii="Arial" w:cs="Arial" w:eastAsia="Arial" w:hAnsi="Arial"/>
          <w:sz w:val="21"/>
          <w:szCs w:val="21"/>
          <w:color w:val="auto"/>
        </w:rPr>
        <w:t>SA-26</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R9</w:t>
      </w:r>
      <w:r>
        <w:rPr>
          <w:sz w:val="20"/>
          <w:szCs w:val="20"/>
          <w:color w:val="auto"/>
        </w:rPr>
        <w:tab/>
      </w:r>
      <w:r>
        <w:rPr>
          <w:rFonts w:ascii="Arial" w:cs="Arial" w:eastAsia="Arial" w:hAnsi="Arial"/>
          <w:sz w:val="21"/>
          <w:szCs w:val="21"/>
          <w:color w:val="auto"/>
        </w:rPr>
        <w:t>SA-26</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5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70485</wp:posOffset>
            </wp:positionV>
            <wp:extent cx="2588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R9</w:t>
      </w:r>
      <w:r>
        <w:rPr>
          <w:sz w:val="20"/>
          <w:szCs w:val="20"/>
          <w:color w:val="auto"/>
        </w:rPr>
        <w:tab/>
      </w:r>
      <w:r>
        <w:rPr>
          <w:rFonts w:ascii="Arial" w:cs="Arial" w:eastAsia="Arial" w:hAnsi="Arial"/>
          <w:sz w:val="21"/>
          <w:szCs w:val="21"/>
          <w:color w:val="auto"/>
        </w:rPr>
        <w:t>SA-26</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22"/>
          <w:szCs w:val="22"/>
          <w:color w:val="auto"/>
        </w:rPr>
        <w:t>Attachment A(R9) To</w:t>
      </w:r>
    </w:p>
    <w:p>
      <w:pPr>
        <w:jc w:val="center"/>
        <w:ind w:right="20"/>
        <w:spacing w:after="0" w:line="204" w:lineRule="auto"/>
        <w:rPr>
          <w:sz w:val="20"/>
          <w:szCs w:val="20"/>
          <w:color w:val="auto"/>
        </w:rPr>
      </w:pPr>
      <w:r>
        <w:rPr>
          <w:rFonts w:ascii="Arial" w:cs="Arial" w:eastAsia="Arial" w:hAnsi="Arial"/>
          <w:sz w:val="22"/>
          <w:szCs w:val="22"/>
          <w:color w:val="auto"/>
        </w:rPr>
        <w:t>Letter Agreement No. AAL-PA-03735-LA-1106651R8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Model/MTOW:</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737-8</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 pounds</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Detail Specification:</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CFMLEAP-</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Model/Thrust: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1B25</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 pounds</w:t>
            </w:r>
          </w:p>
        </w:tc>
        <w:tc>
          <w:tcPr>
            <w:tcW w:w="3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Airframe Price Base Year/Escalation Formula:</w:t>
            </w:r>
          </w:p>
        </w:tc>
        <w:tc>
          <w:tcPr>
            <w:tcW w:w="118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Airframe Price:</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28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Engine Price Base Year/Escalation Formula:</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Optional Features:</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Sub-Total of Airframe and Features:</w:t>
            </w: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28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Airframe Escalation Data:</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80" w:type="dxa"/>
            <w:vAlign w:val="bottom"/>
            <w:gridSpan w:val="3"/>
            <w:vMerge w:val="continue"/>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7"/>
                <w:szCs w:val="17"/>
                <w:color w:val="auto"/>
              </w:rPr>
            </w:pPr>
          </w:p>
        </w:tc>
        <w:tc>
          <w:tcPr>
            <w:tcW w:w="28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Price (Per</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Base Year Index (ECI):</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Aircraft Basic Price (Excluding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BFE/SPE):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Base Year Index (CPI):</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2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Buyer Furnished Equipment (BFE)</w:t>
            </w: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8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Seller Purchased Equipment (SPE)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LIFT Seats Provided by Boeing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Deposit per Aircraft:</w:t>
            </w:r>
          </w:p>
        </w:tc>
        <w:tc>
          <w:tcPr>
            <w:tcW w:w="9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spacing w:after="0"/>
              <w:rPr>
                <w:sz w:val="19"/>
                <w:szCs w:val="19"/>
                <w:color w:val="auto"/>
              </w:rPr>
            </w:pP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200" w:type="dxa"/>
            <w:vAlign w:val="bottom"/>
          </w:tcPr>
          <w:p>
            <w:pPr>
              <w:spacing w:after="0"/>
              <w:rPr>
                <w:sz w:val="19"/>
                <w:szCs w:val="19"/>
                <w:color w:val="auto"/>
              </w:rPr>
            </w:pPr>
          </w:p>
        </w:tc>
        <w:tc>
          <w:tcPr>
            <w:tcW w:w="4720" w:type="dxa"/>
            <w:vAlign w:val="bottom"/>
            <w:tcBorders>
              <w:right w:val="single" w:sz="8" w:color="auto"/>
            </w:tcBorders>
            <w:gridSpan w:val="8"/>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77"/>
        </w:trPr>
        <w:tc>
          <w:tcPr>
            <w:tcW w:w="820" w:type="dxa"/>
            <w:vAlign w:val="bottom"/>
            <w:tcBorders>
              <w:left w:val="single" w:sz="8" w:color="auto"/>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920" w:type="dxa"/>
            <w:vAlign w:val="bottom"/>
            <w:tcBorders>
              <w:bottom w:val="single" w:sz="8" w:color="C0C0C0"/>
              <w:right w:val="single" w:sz="8" w:color="auto"/>
            </w:tcBorders>
            <w:shd w:val="clear" w:color="auto" w:fill="C0C0C0"/>
          </w:tcPr>
          <w:p>
            <w:pPr>
              <w:spacing w:after="0"/>
              <w:rPr>
                <w:sz w:val="6"/>
                <w:szCs w:val="6"/>
                <w:color w:val="auto"/>
              </w:rPr>
            </w:pPr>
          </w:p>
        </w:tc>
        <w:tc>
          <w:tcPr>
            <w:tcW w:w="1160" w:type="dxa"/>
            <w:vAlign w:val="bottom"/>
            <w:tcBorders>
              <w:bottom w:val="single" w:sz="8" w:color="C0C0C0"/>
              <w:right w:val="single" w:sz="8" w:color="auto"/>
            </w:tcBorders>
            <w:shd w:val="clear" w:color="auto" w:fill="C0C0C0"/>
          </w:tcPr>
          <w:p>
            <w:pPr>
              <w:spacing w:after="0"/>
              <w:rPr>
                <w:sz w:val="6"/>
                <w:szCs w:val="6"/>
                <w:color w:val="auto"/>
              </w:rPr>
            </w:pPr>
          </w:p>
        </w:tc>
        <w:tc>
          <w:tcPr>
            <w:tcW w:w="1360" w:type="dxa"/>
            <w:vAlign w:val="bottom"/>
            <w:tcBorders>
              <w:right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340" w:type="dxa"/>
            <w:vAlign w:val="bottom"/>
          </w:tcPr>
          <w:p>
            <w:pPr>
              <w:spacing w:after="0"/>
              <w:rPr>
                <w:sz w:val="19"/>
                <w:szCs w:val="19"/>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auto"/>
            </w:tcBorders>
          </w:tcPr>
          <w:p>
            <w:pPr>
              <w:spacing w:after="0"/>
              <w:rPr>
                <w:sz w:val="19"/>
                <w:szCs w:val="19"/>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00" w:type="dxa"/>
            <w:vAlign w:val="bottom"/>
          </w:tcPr>
          <w:p>
            <w:pPr>
              <w:spacing w:after="0"/>
              <w:rPr>
                <w:sz w:val="24"/>
                <w:szCs w:val="24"/>
                <w:color w:val="auto"/>
              </w:rPr>
            </w:pPr>
          </w:p>
        </w:tc>
        <w:tc>
          <w:tcPr>
            <w:tcW w:w="12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6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SA-26</w:t>
      </w:r>
    </w:p>
    <w:p>
      <w:pPr>
        <w:ind w:left="480"/>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260"/>
          </w:cols>
          <w:pgMar w:left="320" w:top="731" w:right="319" w:bottom="1440" w:gutter="0" w:footer="0" w:header="0"/>
        </w:sectPr>
      </w:pPr>
    </w:p>
    <w:bookmarkStart w:id="134" w:name="page135"/>
    <w:bookmarkEnd w:id="134"/>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SA-26</w:t>
      </w:r>
    </w:p>
    <w:p>
      <w:pPr>
        <w:ind w:left="48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60"/>
          </w:cols>
          <w:pgMar w:left="320" w:top="814" w:right="31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SA-26</w:t>
      </w:r>
    </w:p>
    <w:p>
      <w:pPr>
        <w:ind w:left="48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60"/>
          </w:cols>
          <w:pgMar w:left="320" w:top="814" w:right="319" w:bottom="1440" w:gutter="0" w:footer="0" w:header="0"/>
        </w:sectPr>
      </w:pPr>
    </w:p>
    <w:bookmarkStart w:id="136" w:name="page137"/>
    <w:bookmarkEnd w:id="136"/>
    <w:tbl>
      <w:tblPr>
        <w:tblLayout w:type="fixed"/>
        <w:tblInd w:w="10" w:type="dxa"/>
        <w:tblCellMar>
          <w:top w:w="0" w:type="dxa"/>
          <w:left w:w="0" w:type="dxa"/>
          <w:bottom w:w="0" w:type="dxa"/>
          <w:right w:w="0" w:type="dxa"/>
        </w:tblCellMar>
      </w:tblPr>
      <w:tr>
        <w:trPr>
          <w:trHeight w:val="368"/>
        </w:trPr>
        <w:tc>
          <w:tcPr>
            <w:tcW w:w="82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SA-26</w:t>
      </w:r>
    </w:p>
    <w:p>
      <w:pPr>
        <w:ind w:left="48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60"/>
          </w:cols>
          <w:pgMar w:left="320" w:top="814" w:right="319" w:bottom="1440" w:gutter="0" w:footer="0" w:header="0"/>
        </w:sectPr>
      </w:pPr>
    </w:p>
    <w:bookmarkStart w:id="137" w:name="page138"/>
    <w:bookmarkEnd w:id="137"/>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40" w:type="dxa"/>
            <w:vAlign w:val="bottom"/>
            <w:tcBorders>
              <w:right w:val="single" w:sz="8" w:color="auto"/>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9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Borders>
              <w:right w:val="single" w:sz="8" w:color="auto"/>
            </w:tcBorders>
            <w:shd w:val="clear" w:color="auto" w:fill="C0C0C0"/>
          </w:tcPr>
          <w:p>
            <w:pPr>
              <w:spacing w:after="0"/>
              <w:rPr>
                <w:sz w:val="19"/>
                <w:szCs w:val="19"/>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shd w:val="clear" w:color="auto" w:fill="C0C0C0"/>
          </w:tcPr>
          <w:p>
            <w:pPr>
              <w:spacing w:after="0"/>
              <w:rPr>
                <w:sz w:val="6"/>
                <w:szCs w:val="6"/>
                <w:color w:val="auto"/>
              </w:rPr>
            </w:pPr>
          </w:p>
        </w:tc>
        <w:tc>
          <w:tcPr>
            <w:tcW w:w="1140" w:type="dxa"/>
            <w:vAlign w:val="bottom"/>
            <w:tcBorders>
              <w:bottom w:val="single" w:sz="8" w:color="auto"/>
              <w:right w:val="single" w:sz="8" w:color="auto"/>
            </w:tcBorders>
            <w:shd w:val="clear" w:color="auto" w:fill="C0C0C0"/>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shd w:val="clear" w:color="auto" w:fill="C0C0C0"/>
          </w:tcPr>
          <w:p>
            <w:pPr>
              <w:spacing w:after="0"/>
              <w:rPr>
                <w:sz w:val="24"/>
                <w:szCs w:val="24"/>
                <w:color w:val="auto"/>
              </w:rPr>
            </w:pPr>
          </w:p>
        </w:tc>
        <w:tc>
          <w:tcPr>
            <w:tcW w:w="114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shd w:val="clear" w:color="auto" w:fill="C0C0C0"/>
          </w:tcPr>
          <w:p>
            <w:pPr>
              <w:spacing w:after="0"/>
              <w:rPr>
                <w:sz w:val="5"/>
                <w:szCs w:val="5"/>
                <w:color w:val="auto"/>
              </w:rPr>
            </w:pPr>
          </w:p>
        </w:tc>
        <w:tc>
          <w:tcPr>
            <w:tcW w:w="1140" w:type="dxa"/>
            <w:vAlign w:val="bottom"/>
            <w:tcBorders>
              <w:bottom w:val="single" w:sz="8" w:color="auto"/>
              <w:right w:val="single" w:sz="8" w:color="auto"/>
            </w:tcBorders>
            <w:shd w:val="clear" w:color="auto" w:fill="C0C0C0"/>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SA-26</w:t>
      </w:r>
    </w:p>
    <w:p>
      <w:pPr>
        <w:ind w:left="48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60"/>
          </w:cols>
          <w:pgMar w:left="320" w:top="814"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2022</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2022</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Derek J. Kerr</w:t>
      </w:r>
    </w:p>
    <w:p>
      <w:pPr>
        <w:spacing w:after="0" w:line="43"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120"/>
        <w:spacing w:after="0" w:line="271" w:lineRule="auto"/>
        <w:rPr>
          <w:sz w:val="20"/>
          <w:szCs w:val="20"/>
          <w:color w:val="auto"/>
        </w:rPr>
      </w:pPr>
      <w:r>
        <w:rPr>
          <w:rFonts w:ascii="Arial" w:cs="Arial" w:eastAsia="Arial" w:hAnsi="Arial"/>
          <w:sz w:val="18"/>
          <w:szCs w:val="18"/>
          <w:color w:val="auto"/>
        </w:rPr>
        <w:t>Vice Chair, Chief Financial Officer and President, American Eagle</w:t>
      </w:r>
    </w:p>
    <w:p>
      <w:pPr>
        <w:sectPr>
          <w:pgSz w:w="11900" w:h="16838" w:orient="portrait"/>
          <w:cols w:equalWidth="0" w:num="2">
            <w:col w:w="6760" w:space="320"/>
            <w:col w:w="4160"/>
          </w:cols>
          <w:pgMar w:left="320" w:top="890" w:right="33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2022</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2022</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Derek J. Kerr</w:t>
      </w:r>
    </w:p>
    <w:p>
      <w:pPr>
        <w:spacing w:after="0" w:line="43"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120"/>
        <w:spacing w:after="0" w:line="287" w:lineRule="auto"/>
        <w:rPr>
          <w:sz w:val="20"/>
          <w:szCs w:val="20"/>
          <w:color w:val="auto"/>
        </w:rPr>
      </w:pPr>
      <w:r>
        <w:rPr>
          <w:rFonts w:ascii="Arial" w:cs="Arial" w:eastAsia="Arial" w:hAnsi="Arial"/>
          <w:sz w:val="18"/>
          <w:szCs w:val="18"/>
          <w:color w:val="auto"/>
        </w:rPr>
        <w:t>Vice Chair, Chief Financial Officer and President, American Eagle</w:t>
      </w:r>
    </w:p>
    <w:p>
      <w:pPr>
        <w:sectPr>
          <w:pgSz w:w="11900" w:h="16838" w:orient="portrait"/>
          <w:cols w:equalWidth="0" w:num="2">
            <w:col w:w="6760" w:space="320"/>
            <w:col w:w="4160"/>
          </w:cols>
          <w:pgMar w:left="320" w:top="890" w:right="339"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2022 (the “Report”), Robert D. Isom, as Chief Executive Officer and President of the Company, and Derek J. Kerr, as Vice Chair, Chief Financial Officer of the Company and President of American Eagle,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20, 2022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Chair, Chief Financial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American Eagle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20, 2022</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2022 (the “Report”), Robert D. Isom, as Chief Executive Officer and President of the Company, and Derek J. Kerr, as Vice Chair, Chief Financial Officer of the Company and President of American Eagle,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20, 2022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Chair, Chief Financial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American Eagle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20, 2022</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1."/>
      <w:numFmt w:val="decimal"/>
      <w:start w:val="1"/>
    </w:lvl>
    <w:lvl w:ilvl="1">
      <w:lvlJc w:val="left"/>
      <w:lvlText w:val="(%2)"/>
      <w:numFmt w:val="lowerLetter"/>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4"/>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7"/>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1)"/>
      <w:numFmt w:val="decimal"/>
      <w:start w:val="3"/>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3"/>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1."/>
      <w:numFmt w:val="decimal"/>
      <w:start w:val="6"/>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1)"/>
      <w:numFmt w:val="decimal"/>
      <w:start w:val="2"/>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5"/>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2"/>
    </w:lvl>
  </w:abstractNum>
  <w:abstractNum w:abstractNumId="52">
    <w:nsid w:val="6B94764"/>
    <w:multiLevelType w:val="hybridMultilevel"/>
    <w:lvl w:ilvl="0">
      <w:lvlJc w:val="left"/>
      <w:lvlText w:val="%1."/>
      <w:numFmt w:val="decimal"/>
      <w:start w:val="3"/>
    </w:lvl>
  </w:abstractNum>
  <w:abstractNum w:abstractNumId="53">
    <w:nsid w:val="42C296BD"/>
    <w:multiLevelType w:val="hybridMultilevel"/>
    <w:lvl w:ilvl="0">
      <w:lvlJc w:val="left"/>
      <w:lvlText w:val="%1."/>
      <w:numFmt w:val="decimal"/>
      <w:start w:val="4"/>
    </w:lvl>
  </w:abstractNum>
  <w:abstractNum w:abstractNumId="54">
    <w:nsid w:val="168E121F"/>
    <w:multiLevelType w:val="hybridMultilevel"/>
    <w:lvl w:ilvl="0">
      <w:lvlJc w:val="left"/>
      <w:lvlText w:val="%1."/>
      <w:numFmt w:val="decimal"/>
      <w:start w:val="5"/>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2"/>
    </w:lvl>
  </w:abstractNum>
  <w:abstractNum w:abstractNumId="59">
    <w:nsid w:val="7BD3EE7B"/>
    <w:multiLevelType w:val="hybridMultilevel"/>
    <w:lvl w:ilvl="0">
      <w:lvlJc w:val="left"/>
      <w:lvlText w:val="%1."/>
      <w:numFmt w:val="decimal"/>
      <w:start w:val="3"/>
    </w:lvl>
  </w:abstractNum>
  <w:abstractNum w:abstractNumId="60">
    <w:nsid w:val="51D9C564"/>
    <w:multiLevelType w:val="hybridMultilevel"/>
    <w:lvl w:ilvl="0">
      <w:lvlJc w:val="left"/>
      <w:lvlText w:val="(%1)"/>
      <w:numFmt w:val="lowerRoman"/>
      <w:start w:val="1"/>
    </w:lvl>
    <w:lvl w:ilvl="1">
      <w:lvlJc w:val="left"/>
      <w:lvlText w:val="(%2)"/>
      <w:numFmt w:val="lowerRoman"/>
      <w:start w:val="3"/>
    </w:lvl>
  </w:abstractNum>
  <w:abstractNum w:abstractNumId="61">
    <w:nsid w:val="613EFDC5"/>
    <w:multiLevelType w:val="hybridMultilevel"/>
    <w:lvl w:ilvl="0">
      <w:lvlJc w:val="left"/>
      <w:lvlText w:val="%1."/>
      <w:numFmt w:val="decimal"/>
      <w:start w:val="4"/>
    </w:lvl>
  </w:abstractNum>
  <w:abstractNum w:abstractNumId="62">
    <w:nsid w:val="BF72B14"/>
    <w:multiLevelType w:val="hybridMultilevel"/>
    <w:lvl w:ilvl="0">
      <w:lvlJc w:val="left"/>
      <w:lvlText w:val="%1."/>
      <w:numFmt w:val="decimal"/>
      <w:start w:val="5"/>
    </w:lvl>
  </w:abstractNum>
  <w:abstractNum w:abstractNumId="63">
    <w:nsid w:val="11447B73"/>
    <w:multiLevelType w:val="hybridMultilevel"/>
    <w:lvl w:ilvl="0">
      <w:lvlJc w:val="left"/>
      <w:lvlText w:val="%1."/>
      <w:numFmt w:val="decimal"/>
      <w:start w:val="6"/>
    </w:lvl>
  </w:abstractNum>
  <w:abstractNum w:abstractNumId="64">
    <w:nsid w:val="42963E5A"/>
    <w:multiLevelType w:val="hybridMultilevel"/>
    <w:lvl w:ilvl="0">
      <w:lvlJc w:val="left"/>
      <w:lvlText w:val="%1."/>
      <w:numFmt w:val="decimal"/>
      <w:start w:val="8"/>
    </w:lvl>
  </w:abstractNum>
  <w:abstractNum w:abstractNumId="65">
    <w:nsid w:val="A0382C5"/>
    <w:multiLevelType w:val="hybridMultilevel"/>
    <w:lvl w:ilvl="0">
      <w:lvlJc w:val="left"/>
      <w:lvlText w:val="%1."/>
      <w:numFmt w:val="decimal"/>
      <w:start w:val="9"/>
    </w:lvl>
  </w:abstractNum>
  <w:abstractNum w:abstractNumId="66">
    <w:nsid w:val="8F2B15E"/>
    <w:multiLevelType w:val="hybridMultilevel"/>
    <w:lvl w:ilvl="0">
      <w:lvlJc w:val="left"/>
      <w:lvlText w:val="%1."/>
      <w:numFmt w:val="decimal"/>
      <w:start w:val="10"/>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2"/>
    </w:lvl>
  </w:abstractNum>
  <w:abstractNum w:abstractNumId="69">
    <w:nsid w:val="68EB2F63"/>
    <w:multiLevelType w:val="hybridMultilevel"/>
    <w:lvl w:ilvl="0">
      <w:lvlJc w:val="left"/>
      <w:lvlText w:val="%1."/>
      <w:numFmt w:val="decimal"/>
      <w:start w:val="3"/>
    </w:lvl>
  </w:abstractNum>
  <w:abstractNum w:abstractNumId="70">
    <w:nsid w:val="4962813B"/>
    <w:multiLevelType w:val="hybridMultilevel"/>
    <w:lvl w:ilvl="0">
      <w:lvlJc w:val="left"/>
      <w:lvlText w:val="%1."/>
      <w:numFmt w:val="decimal"/>
      <w:start w:val="4"/>
    </w:lvl>
  </w:abstractNum>
  <w:abstractNum w:abstractNumId="71">
    <w:nsid w:val="60B6DF70"/>
    <w:multiLevelType w:val="hybridMultilevel"/>
    <w:lvl w:ilvl="0">
      <w:lvlJc w:val="left"/>
      <w:lvlText w:val="%1."/>
      <w:numFmt w:val="decimal"/>
      <w:start w:val="5"/>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2"/>
    </w:lvl>
  </w:abstractNum>
  <w:abstractNum w:abstractNumId="76">
    <w:nsid w:val="71EA1109"/>
    <w:multiLevelType w:val="hybridMultilevel"/>
    <w:lvl w:ilvl="0">
      <w:lvlJc w:val="left"/>
      <w:lvlText w:val="%1."/>
      <w:numFmt w:val="decimal"/>
      <w:start w:val="3"/>
    </w:lvl>
  </w:abstractNum>
  <w:abstractNum w:abstractNumId="77">
    <w:nsid w:val="100F59DC"/>
    <w:multiLevelType w:val="hybridMultilevel"/>
    <w:lvl w:ilvl="0">
      <w:lvlJc w:val="left"/>
      <w:lvlText w:val="(%1)"/>
      <w:numFmt w:val="lowerRoman"/>
      <w:start w:val="1"/>
    </w:lvl>
    <w:lvl w:ilvl="1">
      <w:lvlJc w:val="left"/>
      <w:lvlText w:val="(%2)"/>
      <w:numFmt w:val="lowerRoman"/>
      <w:start w:val="3"/>
    </w:lvl>
  </w:abstractNum>
  <w:abstractNum w:abstractNumId="78">
    <w:nsid w:val="7FB7E0AA"/>
    <w:multiLevelType w:val="hybridMultilevel"/>
    <w:lvl w:ilvl="0">
      <w:lvlJc w:val="left"/>
      <w:lvlText w:val="%1."/>
      <w:numFmt w:val="decimal"/>
      <w:start w:val="4"/>
    </w:lvl>
  </w:abstractNum>
  <w:abstractNum w:abstractNumId="79">
    <w:nsid w:val="6EB5BD4"/>
    <w:multiLevelType w:val="hybridMultilevel"/>
    <w:lvl w:ilvl="0">
      <w:lvlJc w:val="left"/>
      <w:lvlText w:val="%1."/>
      <w:numFmt w:val="decimal"/>
      <w:start w:val="5"/>
    </w:lvl>
  </w:abstractNum>
  <w:abstractNum w:abstractNumId="80">
    <w:nsid w:val="6F6DD9AC"/>
    <w:multiLevelType w:val="hybridMultilevel"/>
    <w:lvl w:ilvl="0">
      <w:lvlJc w:val="left"/>
      <w:lvlText w:val="%1."/>
      <w:numFmt w:val="decimal"/>
      <w:start w:val="6"/>
    </w:lvl>
  </w:abstractNum>
  <w:abstractNum w:abstractNumId="81">
    <w:nsid w:val="94211F2"/>
    <w:multiLevelType w:val="hybridMultilevel"/>
    <w:lvl w:ilvl="0">
      <w:lvlJc w:val="left"/>
      <w:lvlText w:val="%1."/>
      <w:numFmt w:val="decimal"/>
      <w:start w:val="8"/>
    </w:lvl>
  </w:abstractNum>
  <w:abstractNum w:abstractNumId="82">
    <w:nsid w:val="885E1B"/>
    <w:multiLevelType w:val="hybridMultilevel"/>
    <w:lvl w:ilvl="0">
      <w:lvlJc w:val="left"/>
      <w:lvlText w:val="%1."/>
      <w:numFmt w:val="decimal"/>
      <w:start w:val="9"/>
    </w:lvl>
  </w:abstractNum>
  <w:abstractNum w:abstractNumId="83">
    <w:nsid w:val="76272110"/>
    <w:multiLevelType w:val="hybridMultilevel"/>
    <w:lvl w:ilvl="0">
      <w:lvlJc w:val="left"/>
      <w:lvlText w:val="%1."/>
      <w:numFmt w:val="decimal"/>
      <w:start w:val="10"/>
    </w:lvl>
  </w:abstractNum>
  <w:abstractNum w:abstractNumId="84">
    <w:nsid w:val="4C04A8AF"/>
    <w:multiLevelType w:val="hybridMultilevel"/>
    <w:lvl w:ilvl="0">
      <w:lvlJc w:val="left"/>
      <w:lvlText w:val="%1."/>
      <w:numFmt w:val="decimal"/>
      <w:start w:val="1"/>
    </w:lvl>
    <w:lvl w:ilvl="1">
      <w:lvlJc w:val="left"/>
      <w:lvlText w:val="(%2)"/>
      <w:numFmt w:val="lowerLetter"/>
      <w:start w:val="1"/>
    </w:lvl>
  </w:abstractNum>
  <w:abstractNum w:abstractNumId="85">
    <w:nsid w:val="1716703B"/>
    <w:multiLevelType w:val="hybridMultilevel"/>
    <w:lvl w:ilvl="0">
      <w:lvlJc w:val="left"/>
      <w:lvlText w:val="%1."/>
      <w:numFmt w:val="decimal"/>
      <w:start w:val="1"/>
    </w:lvl>
    <w:lvl w:ilvl="1">
      <w:lvlJc w:val="left"/>
      <w:lvlText w:val="(%2)"/>
      <w:numFmt w:val="lowerLetter"/>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2022-10-20T06:09:56Z</dcterms:created>
  <dcterms:modified xsi:type="dcterms:W3CDTF">2022-10-20T06:09:56Z</dcterms:modified>
</cp:coreProperties>
</file>