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74930</wp:posOffset>
            </wp:positionV>
            <wp:extent cx="2631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37"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54610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9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13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17" w:lineRule="exact"/>
        <w:rPr>
          <w:sz w:val="24"/>
          <w:szCs w:val="24"/>
          <w:color w:val="auto"/>
        </w:rPr>
      </w:pPr>
    </w:p>
    <w:p>
      <w:pPr>
        <w:ind w:left="3900"/>
        <w:spacing w:after="0"/>
        <w:tabs>
          <w:tab w:leader="none" w:pos="71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89535</wp:posOffset>
            </wp:positionV>
            <wp:extent cx="395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4160" w:type="dxa"/>
            <w:vAlign w:val="bottom"/>
          </w:tcPr>
          <w:p>
            <w:pPr>
              <w:jc w:val="center"/>
              <w:ind w:right="364"/>
              <w:spacing w:after="0"/>
              <w:rPr>
                <w:sz w:val="20"/>
                <w:szCs w:val="20"/>
                <w:color w:val="auto"/>
              </w:rPr>
            </w:pPr>
            <w:r>
              <w:rPr>
                <w:rFonts w:ascii="Arial" w:cs="Arial" w:eastAsia="Arial" w:hAnsi="Arial"/>
                <w:sz w:val="16"/>
                <w:szCs w:val="16"/>
                <w:b w:val="1"/>
                <w:bCs w:val="1"/>
                <w:color w:val="auto"/>
              </w:rPr>
              <w:t>Delaware</w:t>
            </w:r>
          </w:p>
        </w:tc>
        <w:tc>
          <w:tcPr>
            <w:tcW w:w="3820" w:type="dxa"/>
            <w:vAlign w:val="bottom"/>
          </w:tcPr>
          <w:p>
            <w:pPr>
              <w:jc w:val="center"/>
              <w:ind w:left="384"/>
              <w:spacing w:after="0"/>
              <w:rPr>
                <w:sz w:val="20"/>
                <w:szCs w:val="20"/>
                <w:color w:val="auto"/>
              </w:rPr>
            </w:pPr>
            <w:r>
              <w:rPr>
                <w:rFonts w:ascii="Arial" w:cs="Arial" w:eastAsia="Arial" w:hAnsi="Arial"/>
                <w:sz w:val="16"/>
                <w:szCs w:val="16"/>
                <w:b w:val="1"/>
                <w:bCs w:val="1"/>
                <w:color w:val="auto"/>
              </w:rPr>
              <w:t>75-1825172</w:t>
            </w:r>
          </w:p>
        </w:tc>
      </w:tr>
      <w:tr>
        <w:trPr>
          <w:trHeight w:val="190"/>
        </w:trPr>
        <w:tc>
          <w:tcPr>
            <w:tcW w:w="4160" w:type="dxa"/>
            <w:vAlign w:val="bottom"/>
          </w:tcPr>
          <w:p>
            <w:pPr>
              <w:jc w:val="center"/>
              <w:ind w:right="364"/>
              <w:spacing w:after="0"/>
              <w:rPr>
                <w:sz w:val="20"/>
                <w:szCs w:val="20"/>
                <w:color w:val="auto"/>
              </w:rPr>
            </w:pPr>
            <w:r>
              <w:rPr>
                <w:rFonts w:ascii="Arial" w:cs="Arial" w:eastAsia="Arial" w:hAnsi="Arial"/>
                <w:sz w:val="14"/>
                <w:szCs w:val="14"/>
                <w:color w:val="auto"/>
              </w:rPr>
              <w:t>(State or other jurisdiction of incorporation or organization)</w:t>
            </w:r>
          </w:p>
        </w:tc>
        <w:tc>
          <w:tcPr>
            <w:tcW w:w="3820" w:type="dxa"/>
            <w:vAlign w:val="bottom"/>
          </w:tcPr>
          <w:p>
            <w:pPr>
              <w:jc w:val="center"/>
              <w:ind w:left="384"/>
              <w:spacing w:after="0"/>
              <w:rPr>
                <w:sz w:val="20"/>
                <w:szCs w:val="20"/>
                <w:color w:val="auto"/>
              </w:rPr>
            </w:pPr>
            <w:r>
              <w:rPr>
                <w:rFonts w:ascii="Arial" w:cs="Arial" w:eastAsia="Arial" w:hAnsi="Arial"/>
                <w:sz w:val="14"/>
                <w:szCs w:val="14"/>
                <w:color w:val="auto"/>
              </w:rPr>
              <w:t>(I.R.S. Employer Identification No.)</w:t>
            </w:r>
          </w:p>
        </w:tc>
      </w:tr>
      <w:tr>
        <w:trPr>
          <w:trHeight w:val="228"/>
        </w:trPr>
        <w:tc>
          <w:tcPr>
            <w:tcW w:w="4160" w:type="dxa"/>
            <w:vAlign w:val="bottom"/>
          </w:tcPr>
          <w:p>
            <w:pPr>
              <w:ind w:left="360"/>
              <w:spacing w:after="0"/>
              <w:rPr>
                <w:sz w:val="20"/>
                <w:szCs w:val="20"/>
                <w:color w:val="auto"/>
              </w:rPr>
            </w:pPr>
            <w:r>
              <w:rPr>
                <w:rFonts w:ascii="Arial" w:cs="Arial" w:eastAsia="Arial" w:hAnsi="Arial"/>
                <w:sz w:val="16"/>
                <w:szCs w:val="16"/>
                <w:b w:val="1"/>
                <w:bCs w:val="1"/>
                <w:color w:val="auto"/>
              </w:rPr>
              <w:t>1 Skyview Drive, Fort Worth, Texas  76155</w:t>
            </w:r>
          </w:p>
        </w:tc>
        <w:tc>
          <w:tcPr>
            <w:tcW w:w="3820" w:type="dxa"/>
            <w:vAlign w:val="bottom"/>
          </w:tcPr>
          <w:p>
            <w:pPr>
              <w:jc w:val="right"/>
              <w:ind w:right="884"/>
              <w:spacing w:after="0"/>
              <w:rPr>
                <w:sz w:val="20"/>
                <w:szCs w:val="20"/>
                <w:color w:val="auto"/>
              </w:rPr>
            </w:pPr>
            <w:r>
              <w:rPr>
                <w:rFonts w:ascii="Arial" w:cs="Arial" w:eastAsia="Arial" w:hAnsi="Arial"/>
                <w:sz w:val="16"/>
                <w:szCs w:val="16"/>
                <w:b w:val="1"/>
                <w:bCs w:val="1"/>
                <w:color w:val="auto"/>
              </w:rPr>
              <w:t>(682) 278-9000</w:t>
            </w:r>
          </w:p>
        </w:tc>
      </w:tr>
      <w:tr>
        <w:trPr>
          <w:trHeight w:val="190"/>
        </w:trPr>
        <w:tc>
          <w:tcPr>
            <w:tcW w:w="4160" w:type="dxa"/>
            <w:vAlign w:val="bottom"/>
          </w:tcPr>
          <w:p>
            <w:pPr>
              <w:jc w:val="center"/>
              <w:ind w:right="364"/>
              <w:spacing w:after="0"/>
              <w:rPr>
                <w:sz w:val="20"/>
                <w:szCs w:val="20"/>
                <w:color w:val="auto"/>
              </w:rPr>
            </w:pPr>
            <w:r>
              <w:rPr>
                <w:rFonts w:ascii="Arial" w:cs="Arial" w:eastAsia="Arial" w:hAnsi="Arial"/>
                <w:sz w:val="14"/>
                <w:szCs w:val="14"/>
                <w:color w:val="auto"/>
              </w:rPr>
              <w:t>(Address of principal executive offices, including zip code)</w:t>
            </w:r>
          </w:p>
        </w:tc>
        <w:tc>
          <w:tcPr>
            <w:tcW w:w="3820" w:type="dxa"/>
            <w:vAlign w:val="bottom"/>
          </w:tcPr>
          <w:p>
            <w:pPr>
              <w:jc w:val="center"/>
              <w:ind w:left="384"/>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89535</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46990</wp:posOffset>
            </wp:positionV>
            <wp:extent cx="395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9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rPr>
              <w:t>Delaware</w:t>
            </w:r>
          </w:p>
        </w:tc>
        <w:tc>
          <w:tcPr>
            <w:tcW w:w="1780" w:type="dxa"/>
            <w:vAlign w:val="bottom"/>
          </w:tcPr>
          <w:p>
            <w:pPr>
              <w:spacing w:after="0"/>
              <w:rPr>
                <w:sz w:val="19"/>
                <w:szCs w:val="19"/>
                <w:color w:val="auto"/>
              </w:rPr>
            </w:pPr>
          </w:p>
        </w:tc>
        <w:tc>
          <w:tcPr>
            <w:tcW w:w="4500" w:type="dxa"/>
            <w:vAlign w:val="bottom"/>
            <w:gridSpan w:val="3"/>
          </w:tcPr>
          <w:p>
            <w:pPr>
              <w:jc w:val="center"/>
              <w:ind w:right="3019"/>
              <w:spacing w:after="0"/>
              <w:rPr>
                <w:sz w:val="20"/>
                <w:szCs w:val="20"/>
                <w:color w:val="auto"/>
              </w:rPr>
            </w:pPr>
            <w:r>
              <w:rPr>
                <w:rFonts w:ascii="Arial" w:cs="Arial" w:eastAsia="Arial" w:hAnsi="Arial"/>
                <w:sz w:val="16"/>
                <w:szCs w:val="16"/>
                <w:b w:val="1"/>
                <w:bCs w:val="1"/>
                <w:color w:val="auto"/>
              </w:rPr>
              <w:t>13-1502798</w:t>
            </w:r>
          </w:p>
        </w:tc>
        <w:tc>
          <w:tcPr>
            <w:tcW w:w="0" w:type="dxa"/>
            <w:vAlign w:val="bottom"/>
          </w:tcPr>
          <w:p>
            <w:pPr>
              <w:spacing w:after="0"/>
              <w:rPr>
                <w:sz w:val="1"/>
                <w:szCs w:val="1"/>
                <w:color w:val="auto"/>
              </w:rPr>
            </w:pPr>
          </w:p>
        </w:tc>
      </w:tr>
      <w:tr>
        <w:trPr>
          <w:trHeight w:val="190"/>
        </w:trPr>
        <w:tc>
          <w:tcPr>
            <w:tcW w:w="4960" w:type="dxa"/>
            <w:vAlign w:val="bottom"/>
            <w:gridSpan w:val="3"/>
          </w:tcPr>
          <w:p>
            <w:pPr>
              <w:jc w:val="center"/>
              <w:ind w:left="961"/>
              <w:spacing w:after="0"/>
              <w:rPr>
                <w:sz w:val="20"/>
                <w:szCs w:val="20"/>
                <w:color w:val="auto"/>
              </w:rPr>
            </w:pPr>
            <w:r>
              <w:rPr>
                <w:rFonts w:ascii="Arial" w:cs="Arial" w:eastAsia="Arial" w:hAnsi="Arial"/>
                <w:sz w:val="14"/>
                <w:szCs w:val="14"/>
                <w:color w:val="auto"/>
              </w:rPr>
              <w:t>(State or other jurisdiction of incorporation or organization)</w:t>
            </w:r>
          </w:p>
        </w:tc>
        <w:tc>
          <w:tcPr>
            <w:tcW w:w="6280" w:type="dxa"/>
            <w:vAlign w:val="bottom"/>
            <w:gridSpan w:val="4"/>
          </w:tcPr>
          <w:p>
            <w:pPr>
              <w:jc w:val="center"/>
              <w:ind w:right="1239"/>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228"/>
        </w:trPr>
        <w:tc>
          <w:tcPr>
            <w:tcW w:w="4960" w:type="dxa"/>
            <w:vAlign w:val="bottom"/>
            <w:gridSpan w:val="3"/>
          </w:tcPr>
          <w:p>
            <w:pPr>
              <w:ind w:left="1500"/>
              <w:spacing w:after="0"/>
              <w:rPr>
                <w:sz w:val="20"/>
                <w:szCs w:val="20"/>
                <w:color w:val="auto"/>
              </w:rPr>
            </w:pPr>
            <w:r>
              <w:rPr>
                <w:rFonts w:ascii="Arial" w:cs="Arial" w:eastAsia="Arial" w:hAnsi="Arial"/>
                <w:sz w:val="16"/>
                <w:szCs w:val="16"/>
                <w:b w:val="1"/>
                <w:bCs w:val="1"/>
                <w:color w:val="auto"/>
              </w:rPr>
              <w:t>1 Skyview Drive, Fort Worth, Texas  76155</w:t>
            </w:r>
          </w:p>
        </w:tc>
        <w:tc>
          <w:tcPr>
            <w:tcW w:w="1780" w:type="dxa"/>
            <w:vAlign w:val="bottom"/>
          </w:tcPr>
          <w:p>
            <w:pPr>
              <w:spacing w:after="0"/>
              <w:rPr>
                <w:sz w:val="19"/>
                <w:szCs w:val="19"/>
                <w:color w:val="auto"/>
              </w:rPr>
            </w:pPr>
          </w:p>
        </w:tc>
        <w:tc>
          <w:tcPr>
            <w:tcW w:w="4500" w:type="dxa"/>
            <w:vAlign w:val="bottom"/>
            <w:gridSpan w:val="3"/>
          </w:tcPr>
          <w:p>
            <w:pPr>
              <w:jc w:val="right"/>
              <w:ind w:right="2999"/>
              <w:spacing w:after="0"/>
              <w:rPr>
                <w:sz w:val="20"/>
                <w:szCs w:val="20"/>
                <w:color w:val="auto"/>
              </w:rPr>
            </w:pPr>
            <w:r>
              <w:rPr>
                <w:rFonts w:ascii="Arial" w:cs="Arial" w:eastAsia="Arial" w:hAnsi="Arial"/>
                <w:sz w:val="16"/>
                <w:szCs w:val="16"/>
                <w:b w:val="1"/>
                <w:bCs w:val="1"/>
                <w:color w:val="auto"/>
              </w:rPr>
              <w:t>(682) 278-9000</w:t>
            </w:r>
          </w:p>
        </w:tc>
        <w:tc>
          <w:tcPr>
            <w:tcW w:w="0" w:type="dxa"/>
            <w:vAlign w:val="bottom"/>
          </w:tcPr>
          <w:p>
            <w:pPr>
              <w:spacing w:after="0"/>
              <w:rPr>
                <w:sz w:val="1"/>
                <w:szCs w:val="1"/>
                <w:color w:val="auto"/>
              </w:rPr>
            </w:pPr>
          </w:p>
        </w:tc>
      </w:tr>
      <w:tr>
        <w:trPr>
          <w:trHeight w:val="190"/>
        </w:trPr>
        <w:tc>
          <w:tcPr>
            <w:tcW w:w="4960" w:type="dxa"/>
            <w:vAlign w:val="bottom"/>
            <w:gridSpan w:val="3"/>
          </w:tcPr>
          <w:p>
            <w:pPr>
              <w:jc w:val="center"/>
              <w:ind w:left="961"/>
              <w:spacing w:after="0"/>
              <w:rPr>
                <w:sz w:val="20"/>
                <w:szCs w:val="20"/>
                <w:color w:val="auto"/>
              </w:rPr>
            </w:pPr>
            <w:r>
              <w:rPr>
                <w:rFonts w:ascii="Arial" w:cs="Arial" w:eastAsia="Arial" w:hAnsi="Arial"/>
                <w:sz w:val="14"/>
                <w:szCs w:val="14"/>
                <w:color w:val="auto"/>
              </w:rPr>
              <w:t>(Address of principal executive offices, including zip code)</w:t>
            </w:r>
          </w:p>
        </w:tc>
        <w:tc>
          <w:tcPr>
            <w:tcW w:w="6280" w:type="dxa"/>
            <w:vAlign w:val="bottom"/>
            <w:gridSpan w:val="4"/>
          </w:tcPr>
          <w:p>
            <w:pPr>
              <w:jc w:val="center"/>
              <w:ind w:right="1239"/>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370"/>
        </w:trPr>
        <w:tc>
          <w:tcPr>
            <w:tcW w:w="4960" w:type="dxa"/>
            <w:vAlign w:val="bottom"/>
            <w:gridSpan w:val="3"/>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960" w:type="dxa"/>
            <w:vAlign w:val="bottom"/>
            <w:gridSpan w:val="3"/>
          </w:tcPr>
          <w:p>
            <w:pPr>
              <w:jc w:val="center"/>
              <w:ind w:right="1100"/>
              <w:spacing w:after="0"/>
              <w:rPr>
                <w:sz w:val="20"/>
                <w:szCs w:val="20"/>
                <w:color w:val="auto"/>
              </w:rPr>
            </w:pPr>
            <w:r>
              <w:rPr>
                <w:rFonts w:ascii="Arial" w:cs="Arial" w:eastAsia="Arial" w:hAnsi="Arial"/>
                <w:sz w:val="16"/>
                <w:szCs w:val="16"/>
                <w:b w:val="1"/>
                <w:bCs w:val="1"/>
                <w:color w:val="auto"/>
              </w:rPr>
              <w:t>Title of each class</w:t>
            </w:r>
          </w:p>
        </w:tc>
        <w:tc>
          <w:tcPr>
            <w:tcW w:w="1780" w:type="dxa"/>
            <w:vAlign w:val="bottom"/>
          </w:tcPr>
          <w:p>
            <w:pPr>
              <w:jc w:val="center"/>
              <w:ind w:right="103"/>
              <w:spacing w:after="0"/>
              <w:rPr>
                <w:sz w:val="20"/>
                <w:szCs w:val="20"/>
                <w:color w:val="auto"/>
              </w:rPr>
            </w:pPr>
            <w:r>
              <w:rPr>
                <w:rFonts w:ascii="Arial" w:cs="Arial" w:eastAsia="Arial" w:hAnsi="Arial"/>
                <w:sz w:val="16"/>
                <w:szCs w:val="16"/>
                <w:b w:val="1"/>
                <w:bCs w:val="1"/>
                <w:color w:val="auto"/>
                <w:w w:val="99"/>
              </w:rPr>
              <w:t>Trading Symbol(s)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58"/>
        </w:trPr>
        <w:tc>
          <w:tcPr>
            <w:tcW w:w="386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center"/>
              <w:ind w:right="103"/>
              <w:spacing w:after="0" w:line="158" w:lineRule="exact"/>
              <w:rPr>
                <w:sz w:val="20"/>
                <w:szCs w:val="20"/>
                <w:color w:val="auto"/>
              </w:rPr>
            </w:pPr>
            <w:r>
              <w:rPr>
                <w:rFonts w:ascii="Arial" w:cs="Arial" w:eastAsia="Arial" w:hAnsi="Arial"/>
                <w:sz w:val="16"/>
                <w:szCs w:val="16"/>
                <w:b w:val="1"/>
                <w:bCs w:val="1"/>
                <w:color w:val="auto"/>
                <w:w w:val="97"/>
              </w:rPr>
              <w:t>AAL</w:t>
            </w: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60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r>
        <w:trPr>
          <w:trHeight w:val="143"/>
        </w:trPr>
        <w:tc>
          <w:tcPr>
            <w:tcW w:w="4960" w:type="dxa"/>
            <w:vAlign w:val="bottom"/>
            <w:gridSpan w:val="3"/>
            <w:vMerge w:val="restart"/>
          </w:tcPr>
          <w:p>
            <w:pPr>
              <w:jc w:val="center"/>
              <w:ind w:right="1100"/>
              <w:spacing w:after="0"/>
              <w:rPr>
                <w:sz w:val="20"/>
                <w:szCs w:val="20"/>
                <w:color w:val="auto"/>
              </w:rPr>
            </w:pPr>
            <w:r>
              <w:rPr>
                <w:rFonts w:ascii="Arial" w:cs="Arial" w:eastAsia="Arial" w:hAnsi="Arial"/>
                <w:sz w:val="16"/>
                <w:szCs w:val="16"/>
                <w:b w:val="1"/>
                <w:bCs w:val="1"/>
                <w:color w:val="auto"/>
              </w:rPr>
              <w:t>Preferred Stock Purchase Rights</w:t>
            </w:r>
          </w:p>
        </w:tc>
        <w:tc>
          <w:tcPr>
            <w:tcW w:w="1780" w:type="dxa"/>
            <w:vAlign w:val="bottom"/>
            <w:vMerge w:val="restart"/>
          </w:tcPr>
          <w:p>
            <w:pPr>
              <w:jc w:val="center"/>
              <w:ind w:right="103"/>
              <w:spacing w:after="0"/>
              <w:rPr>
                <w:sz w:val="20"/>
                <w:szCs w:val="20"/>
                <w:color w:val="auto"/>
              </w:rPr>
            </w:pPr>
            <w:r>
              <w:rPr>
                <w:rFonts w:ascii="Arial" w:cs="Arial" w:eastAsia="Arial" w:hAnsi="Arial"/>
                <w:sz w:val="16"/>
                <w:szCs w:val="16"/>
                <w:color w:val="auto"/>
                <w:w w:val="99"/>
              </w:rPr>
              <w:t>—</w:t>
            </w:r>
          </w:p>
        </w:tc>
        <w:tc>
          <w:tcPr>
            <w:tcW w:w="4500" w:type="dxa"/>
            <w:vAlign w:val="bottom"/>
            <w:gridSpan w:val="3"/>
          </w:tcPr>
          <w:p>
            <w:pPr>
              <w:jc w:val="center"/>
              <w:ind w:left="828"/>
              <w:spacing w:after="0"/>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130"/>
        </w:trPr>
        <w:tc>
          <w:tcPr>
            <w:tcW w:w="4960" w:type="dxa"/>
            <w:vAlign w:val="bottom"/>
            <w:gridSpan w:val="3"/>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180" w:hanging="172"/>
        <w:spacing w:after="0"/>
        <w:tabs>
          <w:tab w:leader="none" w:pos="1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88" w:lineRule="exact"/>
        <w:rPr>
          <w:sz w:val="24"/>
          <w:szCs w:val="24"/>
          <w:color w:val="auto"/>
        </w:rPr>
      </w:pPr>
    </w:p>
    <w:p>
      <w:pPr>
        <w:jc w:val="both"/>
        <w:ind w:firstLine="162"/>
        <w:spacing w:after="0" w:line="26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68" w:lineRule="exact"/>
        <w:rPr>
          <w:sz w:val="24"/>
          <w:szCs w:val="24"/>
          <w:color w:val="auto"/>
        </w:rPr>
      </w:pPr>
    </w:p>
    <w:p>
      <w:pPr>
        <w:jc w:val="both"/>
        <w:ind w:firstLine="162"/>
        <w:spacing w:after="0" w:line="30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5"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68"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ectPr>
          <w:pgSz w:w="11900" w:h="16838" w:orient="portrait"/>
          <w:cols w:equalWidth="0" w:num="1">
            <w:col w:w="11240"/>
          </w:cols>
          <w:pgMar w:left="320" w:top="1097" w:right="339" w:bottom="196" w:gutter="0" w:footer="0" w:header="0"/>
        </w:sectPr>
      </w:pPr>
    </w:p>
    <w:p>
      <w:pPr>
        <w:spacing w:after="0"/>
        <w:rPr>
          <w:sz w:val="20"/>
          <w:szCs w:val="20"/>
          <w:color w:val="auto"/>
        </w:rPr>
      </w:pPr>
      <w:r>
        <w:rPr>
          <w:rFonts w:ascii="Arial" w:cs="Arial" w:eastAsia="Arial" w:hAnsi="Arial"/>
          <w:sz w:val="16"/>
          <w:szCs w:val="16"/>
          <w:color w:val="auto"/>
        </w:rPr>
        <w:t>Rule 12b-2 of the Exchange Act.</w:t>
      </w:r>
    </w:p>
    <w:p>
      <w:pPr>
        <w:spacing w:after="0" w:line="19" w:lineRule="exact"/>
        <w:rPr>
          <w:sz w:val="24"/>
          <w:szCs w:val="24"/>
          <w:color w:val="auto"/>
        </w:rPr>
      </w:pPr>
    </w:p>
    <w:p>
      <w:pPr>
        <w:ind w:left="20"/>
        <w:spacing w:after="0" w:line="331" w:lineRule="exact"/>
        <w:tabs>
          <w:tab w:leader="none" w:pos="1920" w:val="left"/>
        </w:tabs>
        <w:rPr>
          <w:sz w:val="20"/>
          <w:szCs w:val="20"/>
          <w:color w:val="auto"/>
        </w:rPr>
      </w:pPr>
      <w:r>
        <w:rPr>
          <w:rFonts w:ascii="Arial" w:cs="Arial" w:eastAsia="Arial" w:hAnsi="Arial"/>
          <w:sz w:val="13"/>
          <w:szCs w:val="13"/>
          <w:color w:val="auto"/>
        </w:rPr>
        <w:t>American Airlines Group Inc.</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Accelerated filer</w:t>
      </w:r>
    </w:p>
    <w:p>
      <w:pPr>
        <w:ind w:left="20"/>
        <w:spacing w:after="0" w:line="313" w:lineRule="exact"/>
        <w:tabs>
          <w:tab w:leader="none" w:pos="1920" w:val="left"/>
        </w:tabs>
        <w:rPr>
          <w:sz w:val="20"/>
          <w:szCs w:val="20"/>
          <w:color w:val="auto"/>
        </w:rPr>
      </w:pPr>
      <w:r>
        <w:rPr>
          <w:rFonts w:ascii="Arial" w:cs="Arial" w:eastAsia="Arial" w:hAnsi="Arial"/>
          <w:sz w:val="13"/>
          <w:szCs w:val="13"/>
          <w:color w:val="auto"/>
        </w:rPr>
        <w:t>American Airlines, Inc.</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Large accelerated filer</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403"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361" w:lineRule="exact"/>
        <w:tabs>
          <w:tab w:leader="none" w:pos="260" w:val="left"/>
          <w:tab w:leader="none" w:pos="176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Non-accelerated filer</w:t>
      </w:r>
      <w:r>
        <w:rPr>
          <w:sz w:val="20"/>
          <w:szCs w:val="20"/>
          <w:color w:val="auto"/>
        </w:rPr>
        <w:tab/>
      </w:r>
      <w:r>
        <w:rPr>
          <w:rFonts w:ascii="MS PGothic" w:cs="MS PGothic" w:eastAsia="MS PGothic" w:hAnsi="MS PGothic"/>
          <w:sz w:val="33"/>
          <w:szCs w:val="33"/>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3"/>
          <w:szCs w:val="33"/>
          <w:color w:val="auto"/>
        </w:rPr>
        <w:t xml:space="preserve">      </w:t>
      </w:r>
      <w:r>
        <w:rPr>
          <w:rFonts w:ascii="MS PGothic" w:cs="MS PGothic" w:eastAsia="MS PGothic" w:hAnsi="MS PGothic"/>
          <w:sz w:val="33"/>
          <w:szCs w:val="33"/>
          <w:color w:val="auto"/>
          <w:vertAlign w:val="subscript"/>
        </w:rPr>
        <w:t>☐</w:t>
      </w:r>
      <w:r>
        <w:rPr>
          <w:rFonts w:ascii="MS PGothic" w:cs="MS PGothic" w:eastAsia="MS PGothic" w:hAnsi="MS PGothic"/>
          <w:sz w:val="33"/>
          <w:szCs w:val="33"/>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2">
            <w:col w:w="4960" w:space="280"/>
            <w:col w:w="6000"/>
          </w:cols>
          <w:pgMar w:left="320" w:top="1097" w:right="339" w:bottom="196" w:gutter="0" w:footer="0" w:header="0"/>
          <w:type w:val="continuous"/>
        </w:sectPr>
      </w:pPr>
    </w:p>
    <w:p>
      <w:pPr>
        <w:spacing w:after="0" w:line="171" w:lineRule="exact"/>
        <w:rPr>
          <w:sz w:val="24"/>
          <w:szCs w:val="24"/>
          <w:color w:val="auto"/>
        </w:rPr>
      </w:pPr>
    </w:p>
    <w:p>
      <w:pPr>
        <w:ind w:right="20" w:firstLine="162"/>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6"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88"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185"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4"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70" w:lineRule="exact"/>
        <w:rPr>
          <w:sz w:val="24"/>
          <w:szCs w:val="24"/>
          <w:color w:val="auto"/>
        </w:rPr>
      </w:pPr>
    </w:p>
    <w:p>
      <w:pPr>
        <w:ind w:left="20"/>
        <w:spacing w:after="0" w:line="184" w:lineRule="exact"/>
        <w:tabs>
          <w:tab w:leader="none" w:pos="9300" w:val="left"/>
          <w:tab w:leader="none" w:pos="9880" w:val="left"/>
          <w:tab w:leader="none" w:pos="1034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0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April 14, 2022, there were 649,514,848 shares of American Airlines Group Inc. common stock outstanding.</w:t>
      </w:r>
    </w:p>
    <w:p>
      <w:pPr>
        <w:spacing w:after="0" w:line="113"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April 14, 2022,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96"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419100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Period Ended March 31, 2022</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9"/>
            <w:vMerge w:val="restart"/>
          </w:tcPr>
          <w:p>
            <w:pPr>
              <w:jc w:val="center"/>
              <w:ind w:right="3040"/>
              <w:spacing w:after="0"/>
              <w:rPr>
                <w:sz w:val="20"/>
                <w:szCs w:val="20"/>
                <w:color w:val="auto"/>
              </w:rPr>
            </w:pPr>
            <w:r>
              <w:rPr>
                <w:rFonts w:ascii="Arial" w:cs="Arial" w:eastAsia="Arial" w:hAnsi="Arial"/>
                <w:sz w:val="18"/>
                <w:szCs w:val="18"/>
                <w:b w:val="1"/>
                <w:bCs w:val="1"/>
                <w:color w:val="auto"/>
                <w:w w:val="98"/>
              </w:rPr>
              <w:t>PART I: FINANCIAL INFORMATION</w:t>
            </w:r>
          </w:p>
        </w:tc>
        <w:tc>
          <w:tcPr>
            <w:tcW w:w="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0" w:type="dxa"/>
            <w:vAlign w:val="bottom"/>
            <w:gridSpan w:val="9"/>
            <w:vMerge w:val="continue"/>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1A.</w:t>
            </w:r>
          </w:p>
        </w:tc>
        <w:tc>
          <w:tcPr>
            <w:tcW w:w="6300" w:type="dxa"/>
            <w:vAlign w:val="bottom"/>
            <w:gridSpan w:val="11"/>
          </w:tcPr>
          <w:p>
            <w:pPr>
              <w:spacing w:after="0" w:line="195" w:lineRule="exact"/>
              <w:rPr>
                <w:sz w:val="20"/>
                <w:szCs w:val="20"/>
                <w:color w:val="auto"/>
              </w:rPr>
            </w:pPr>
            <w:r>
              <w:rPr>
                <w:rFonts w:ascii="Arial" w:cs="Arial" w:eastAsia="Arial" w:hAnsi="Arial"/>
                <w:sz w:val="18"/>
                <w:szCs w:val="18"/>
                <w:color w:val="0000FF"/>
                <w:w w:val="99"/>
              </w:rPr>
              <w:t>Condensed Consolidated Financial Statements of American Airlines Group Inc.</w:t>
            </w:r>
          </w:p>
        </w:tc>
        <w:tc>
          <w:tcPr>
            <w:tcW w:w="2700" w:type="dxa"/>
            <w:vAlign w:val="bottom"/>
            <w:gridSpan w:val="2"/>
          </w:tcPr>
          <w:p>
            <w:pPr>
              <w:spacing w:after="0"/>
              <w:rPr>
                <w:sz w:val="16"/>
                <w:szCs w:val="16"/>
                <w:color w:val="auto"/>
              </w:rPr>
            </w:pPr>
          </w:p>
        </w:tc>
        <w:tc>
          <w:tcPr>
            <w:tcW w:w="60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6"/>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2180" w:type="dxa"/>
            <w:vAlign w:val="bottom"/>
            <w:gridSpan w:val="5"/>
          </w:tcPr>
          <w:p>
            <w:pPr>
              <w:spacing w:after="0"/>
              <w:rPr>
                <w:sz w:val="18"/>
                <w:szCs w:val="18"/>
                <w:color w:val="auto"/>
              </w:rPr>
            </w:pPr>
          </w:p>
        </w:tc>
        <w:tc>
          <w:tcPr>
            <w:tcW w:w="2700" w:type="dxa"/>
            <w:vAlign w:val="bottom"/>
            <w:gridSpan w:val="2"/>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Arial" w:cs="Arial" w:eastAsia="Arial" w:hAnsi="Arial"/>
                <w:sz w:val="18"/>
                <w:szCs w:val="18"/>
                <w:color w:val="0000FF"/>
                <w:w w:val="99"/>
              </w:rPr>
              <w:t>Condensed Consolidated Balance Sheets</w:t>
            </w:r>
          </w:p>
        </w:tc>
        <w:tc>
          <w:tcPr>
            <w:tcW w:w="1520" w:type="dxa"/>
            <w:vAlign w:val="bottom"/>
            <w:gridSpan w:val="4"/>
          </w:tcPr>
          <w:p>
            <w:pPr>
              <w:spacing w:after="0"/>
              <w:rPr>
                <w:sz w:val="18"/>
                <w:szCs w:val="18"/>
                <w:color w:val="auto"/>
              </w:rPr>
            </w:pPr>
          </w:p>
        </w:tc>
        <w:tc>
          <w:tcPr>
            <w:tcW w:w="41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Stockholders' Deficit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8"/>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40" w:type="dxa"/>
            <w:vAlign w:val="bottom"/>
          </w:tcPr>
          <w:p>
            <w:pPr>
              <w:spacing w:after="0"/>
              <w:rPr>
                <w:sz w:val="18"/>
                <w:szCs w:val="18"/>
                <w:color w:val="auto"/>
              </w:rPr>
            </w:pPr>
          </w:p>
        </w:tc>
        <w:tc>
          <w:tcPr>
            <w:tcW w:w="41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16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5800" w:type="dxa"/>
            <w:vAlign w:val="bottom"/>
            <w:gridSpan w:val="10"/>
          </w:tcPr>
          <w:p>
            <w:pPr>
              <w:spacing w:after="0"/>
              <w:rPr>
                <w:sz w:val="20"/>
                <w:szCs w:val="20"/>
                <w:color w:val="auto"/>
              </w:rPr>
            </w:pPr>
            <w:r>
              <w:rPr>
                <w:rFonts w:ascii="Arial" w:cs="Arial" w:eastAsia="Arial" w:hAnsi="Arial"/>
                <w:sz w:val="18"/>
                <w:szCs w:val="18"/>
                <w:color w:val="0000FF"/>
                <w:w w:val="99"/>
              </w:rPr>
              <w:t>Condensed Consolidated Financial Statements of American Airlines, Inc.</w:t>
            </w:r>
          </w:p>
        </w:tc>
        <w:tc>
          <w:tcPr>
            <w:tcW w:w="32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gridSpan w:val="6"/>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1680" w:type="dxa"/>
            <w:vAlign w:val="bottom"/>
            <w:gridSpan w:val="4"/>
          </w:tcPr>
          <w:p>
            <w:pPr>
              <w:spacing w:after="0"/>
              <w:rPr>
                <w:sz w:val="18"/>
                <w:szCs w:val="18"/>
                <w:color w:val="auto"/>
              </w:rPr>
            </w:pPr>
          </w:p>
        </w:tc>
        <w:tc>
          <w:tcPr>
            <w:tcW w:w="32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tcBorders>
              <w:left w:val="single" w:sz="8" w:color="0000FF"/>
            </w:tcBorders>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Arial" w:cs="Arial" w:eastAsia="Arial" w:hAnsi="Arial"/>
                <w:sz w:val="18"/>
                <w:szCs w:val="18"/>
                <w:color w:val="0000FF"/>
                <w:w w:val="99"/>
              </w:rPr>
              <w:t>Condensed Consolidated Balance Sheets</w:t>
            </w:r>
          </w:p>
        </w:tc>
        <w:tc>
          <w:tcPr>
            <w:tcW w:w="1520" w:type="dxa"/>
            <w:vAlign w:val="bottom"/>
            <w:gridSpan w:val="4"/>
          </w:tcPr>
          <w:p>
            <w:pPr>
              <w:spacing w:after="0"/>
              <w:rPr>
                <w:sz w:val="18"/>
                <w:szCs w:val="18"/>
                <w:color w:val="auto"/>
              </w:rPr>
            </w:pPr>
          </w:p>
        </w:tc>
        <w:tc>
          <w:tcPr>
            <w:tcW w:w="41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80" w:type="dxa"/>
            <w:vAlign w:val="bottom"/>
            <w:gridSpan w:val="7"/>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482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13"/>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8"/>
          </w:tcPr>
          <w:p>
            <w:pPr>
              <w:spacing w:after="0"/>
              <w:rPr>
                <w:sz w:val="20"/>
                <w:szCs w:val="20"/>
                <w:color w:val="auto"/>
              </w:rPr>
            </w:pPr>
            <w:r>
              <w:rPr>
                <w:rFonts w:ascii="Arial" w:cs="Arial" w:eastAsia="Arial" w:hAnsi="Arial"/>
                <w:sz w:val="18"/>
                <w:szCs w:val="18"/>
                <w:color w:val="0000FF"/>
                <w:w w:val="98"/>
              </w:rPr>
              <w:t>Notes to the Condensed Consolidated Financial Statements</w:t>
            </w:r>
          </w:p>
        </w:tc>
        <w:tc>
          <w:tcPr>
            <w:tcW w:w="140" w:type="dxa"/>
            <w:vAlign w:val="bottom"/>
          </w:tcPr>
          <w:p>
            <w:pPr>
              <w:spacing w:after="0"/>
              <w:rPr>
                <w:sz w:val="18"/>
                <w:szCs w:val="18"/>
                <w:color w:val="auto"/>
              </w:rPr>
            </w:pPr>
          </w:p>
        </w:tc>
        <w:tc>
          <w:tcPr>
            <w:tcW w:w="414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2360" w:type="dxa"/>
            <w:vAlign w:val="bottom"/>
            <w:tcBorders>
              <w:left w:val="single" w:sz="8" w:color="0000FF"/>
            </w:tcBorders>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1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4"/>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58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428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20" w:type="dxa"/>
            <w:vAlign w:val="bottom"/>
            <w:gridSpan w:val="8"/>
          </w:tcPr>
          <w:p>
            <w:pPr>
              <w:spacing w:after="0"/>
              <w:rPr>
                <w:sz w:val="20"/>
                <w:szCs w:val="20"/>
                <w:color w:val="auto"/>
              </w:rPr>
            </w:pPr>
            <w:r>
              <w:rPr>
                <w:rFonts w:ascii="Arial" w:cs="Arial" w:eastAsia="Arial" w:hAnsi="Arial"/>
                <w:sz w:val="18"/>
                <w:szCs w:val="18"/>
                <w:color w:val="0000FF"/>
              </w:rPr>
              <w:t>Controls and Procedures</w:t>
            </w:r>
          </w:p>
        </w:tc>
        <w:tc>
          <w:tcPr>
            <w:tcW w:w="428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60</w:t>
            </w:r>
          </w:p>
        </w:tc>
        <w:tc>
          <w:tcPr>
            <w:tcW w:w="0" w:type="dxa"/>
            <w:vAlign w:val="bottom"/>
          </w:tcPr>
          <w:p>
            <w:pPr>
              <w:spacing w:after="0"/>
              <w:rPr>
                <w:sz w:val="1"/>
                <w:szCs w:val="1"/>
                <w:color w:val="auto"/>
              </w:rPr>
            </w:pPr>
          </w:p>
        </w:tc>
      </w:tr>
      <w:tr>
        <w:trPr>
          <w:trHeight w:val="245"/>
        </w:trPr>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700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w w:val="99"/>
              </w:rPr>
              <w:t>PART II: OTHER INFORMATION</w:t>
            </w:r>
          </w:p>
        </w:tc>
        <w:tc>
          <w:tcPr>
            <w:tcW w:w="40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1500" w:type="dxa"/>
            <w:vAlign w:val="bottom"/>
            <w:gridSpan w:val="3"/>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7500" w:type="dxa"/>
            <w:vAlign w:val="bottom"/>
            <w:gridSpan w:val="10"/>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61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50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3"/>
          </w:tcPr>
          <w:p>
            <w:pPr>
              <w:spacing w:after="0"/>
              <w:rPr>
                <w:sz w:val="20"/>
                <w:szCs w:val="20"/>
                <w:color w:val="auto"/>
              </w:rPr>
            </w:pPr>
            <w:r>
              <w:rPr>
                <w:rFonts w:ascii="Arial" w:cs="Arial" w:eastAsia="Arial" w:hAnsi="Arial"/>
                <w:sz w:val="18"/>
                <w:szCs w:val="18"/>
                <w:color w:val="0000FF"/>
              </w:rPr>
              <w:t>Risk Factors</w:t>
            </w:r>
          </w:p>
        </w:tc>
        <w:tc>
          <w:tcPr>
            <w:tcW w:w="7500" w:type="dxa"/>
            <w:vAlign w:val="bottom"/>
            <w:gridSpan w:val="10"/>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61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360" w:type="dxa"/>
            <w:vAlign w:val="bottom"/>
          </w:tcPr>
          <w:p>
            <w:pPr>
              <w:spacing w:after="0"/>
              <w:rPr>
                <w:sz w:val="18"/>
                <w:szCs w:val="18"/>
                <w:color w:val="auto"/>
              </w:rPr>
            </w:pPr>
          </w:p>
        </w:tc>
        <w:tc>
          <w:tcPr>
            <w:tcW w:w="8000" w:type="dxa"/>
            <w:vAlign w:val="bottom"/>
            <w:gridSpan w:val="11"/>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91</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90"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 xml:space="preserve">For the convenience of the reader, the definitions of certain capitalized industry and other terms used in this report have been consolidated into a glossary beginning on page </w:t>
      </w:r>
      <w:r>
        <w:rPr>
          <w:rFonts w:ascii="Arial" w:cs="Arial" w:eastAsia="Arial" w:hAnsi="Arial"/>
          <w:sz w:val="18"/>
          <w:szCs w:val="18"/>
          <w:u w:val="single" w:color="auto"/>
          <w:color w:val="0000FF"/>
        </w:rPr>
        <w:t>5</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the continuing availability of borrowings under revolving lines of credit,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3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In particular, the consequences of the coronavirus (COVID-19) outbreak to economic conditions and the travel industry in general and our financial position and operating results in particular have been material, are changing rapidly, and cannot be predicted.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II, Item 1A. Risk Factors. These risks include, among others, the following:</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29" w:lineRule="exact"/>
        <w:rPr>
          <w:sz w:val="20"/>
          <w:szCs w:val="20"/>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outbreak and global spread of COVID-19 has resulted in a severe decline in demand for air travel which has and will continue to adversely impact our business, operating results, financial condition and liquidity.</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Downturns in economic conditions could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will need to obtain sufficient financing or other capital to operate successfully.</w:t>
      </w:r>
    </w:p>
    <w:p>
      <w:pPr>
        <w:spacing w:after="0" w:line="193"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178"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have significant pension and other postretirement benefit funding obligations, which may adversely affect our liquidity, results of operations and financial condition.</w:t>
      </w:r>
    </w:p>
    <w:p>
      <w:pPr>
        <w:spacing w:after="0" w:line="180"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loss of key personnel upon whom we depend to operate our business or the inability to attract and develop additional qualified personnel could adversely affect our business.</w:t>
      </w:r>
    </w:p>
    <w:p>
      <w:pPr>
        <w:spacing w:after="0" w:line="180"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7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Union disputes, employee strikes and other labor-related disruptions, or our inability to otherwise maintain labor costs at competitive levels may adversely affect our operations and financial performance.</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Any damage to our reputation or brand image could adversely affect our business or financial results.</w:t>
      </w:r>
    </w:p>
    <w:p>
      <w:pPr>
        <w:spacing w:after="0" w:line="179"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Changes to our business model that are designed to increase revenues may not be successful and may cause operational difficulties or decreased demand.</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utilize our NOLs and other carryforwards may be limited.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right="20" w:hanging="328"/>
        <w:spacing w:after="0" w:line="23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the Airline Industry</w:t>
      </w:r>
    </w:p>
    <w:p>
      <w:pPr>
        <w:spacing w:after="0" w:line="1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airline industry is intensely competitive and dynamic.</w:t>
      </w:r>
    </w:p>
    <w:p>
      <w:pPr>
        <w:spacing w:after="0" w:line="179" w:lineRule="exact"/>
        <w:rPr>
          <w:rFonts w:ascii="Arial" w:cs="Arial" w:eastAsia="Arial" w:hAnsi="Arial"/>
          <w:sz w:val="22"/>
          <w:szCs w:val="22"/>
          <w:color w:val="auto"/>
        </w:rPr>
      </w:pPr>
    </w:p>
    <w:p>
      <w:pPr>
        <w:ind w:left="660" w:hanging="328"/>
        <w:spacing w:after="0" w:line="249"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commercial relationships that we have with other companies, including any related equity investments, may not produce the returns or results we expect.</w:t>
      </w:r>
    </w:p>
    <w:p>
      <w:pPr>
        <w:spacing w:after="0" w:line="170"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very dependent on the price and availability of aircraft fuel and continued periods of high volatility in fuel costs, increased fuel prices or significant disruptions in the supply of aircraft fuel could have a significant negative impact on consumer demand, our operating results and liquidity.</w:t>
      </w:r>
    </w:p>
    <w:p>
      <w:pPr>
        <w:spacing w:after="0" w:line="178"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80"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may be adversely affected by conflicts overseas or terrorist attacks; the travel industry continues to face ongoing security concerns.</w:t>
      </w:r>
    </w:p>
    <w:p>
      <w:pPr>
        <w:spacing w:after="0" w:line="114" w:lineRule="exact"/>
        <w:rPr>
          <w:rFonts w:ascii="Arial" w:cs="Arial" w:eastAsia="Arial" w:hAnsi="Arial"/>
          <w:sz w:val="22"/>
          <w:szCs w:val="22"/>
          <w:color w:val="auto"/>
        </w:rPr>
      </w:pPr>
    </w:p>
    <w:p>
      <w:pPr>
        <w:ind w:left="660" w:right="20" w:hanging="328"/>
        <w:spacing w:after="0" w:line="31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are subject to risks associated with climate change, including increased regulation of 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changing consumer preferences and the potential increased impacts of severe weather events on our operations and infrastructure.</w:t>
      </w:r>
    </w:p>
    <w:p>
      <w:pPr>
        <w:spacing w:after="0" w:line="86"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shortage of pilots or other personnel could materially adversely affect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depend on a limited number of suppliers for aircraft, aircraft engines and parts.</w:t>
      </w:r>
    </w:p>
    <w:p>
      <w:pPr>
        <w:spacing w:after="0" w:line="179"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Delays in scheduled aircraft deliveries or other loss of anticipated fleet capacity, and failure of new aircraft to perform as expected, may adversely impact our business, results of operations and financial condition.</w:t>
      </w:r>
    </w:p>
    <w:p>
      <w:pPr>
        <w:spacing w:after="0" w:line="180"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heavily on technology and automated systems to operate our business, and any failure of these technologies or systems could harm our business, results of operations and financial condition.</w:t>
      </w:r>
    </w:p>
    <w:p>
      <w:pPr>
        <w:spacing w:after="0" w:line="180"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Evolving data security and privacy requirements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16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on third-party distribution channels and must manage effectively the costs, rights and functionality of these channels.</w:t>
      </w:r>
    </w:p>
    <w:p>
      <w:pPr>
        <w:spacing w:after="0" w:line="193"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“2013 Credit Agreement” means the Amended and Restated Credit and Guaranty Agreement dated as of May 21, 2015, among American, AAG, the lenders from time to time party thereto, Deutsche Bank AG New York Branch, as administrative agent, and certain other parties thereto,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“2013 Revolving Facility” means the revolving credit facility provided for by the 2013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“2013 Term Loan Facility” means the term loan facility provided for under the 2013 Credit Agreement.</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“2014 Credit Agreement” means the Amended and Restated Credit and Guaranty Agreement, dated as of April 20, 2015, among American, AAG, the lenders from time to time party thereto, Citibank N.A., as administrative agent, and certain other parties thereto, as amended.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“2014 Revolving Facility” means the revolving credit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“2014 Term Loan Facility” means the term loan facility provided for by the 2014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“2021 Form 10-K” means AAG’s and American’s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“2021-1 Aircraft” means the 26 aircraft financed or to be financed by American under the 2021-1 Aircraft EETCs.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“2021-1 Aircraft EETCs” means the two pass-through trusts created by American in November 2021 that have issued approximately $960 million aggregate face amount of Series 2021-1 Class A and Class B EETCs.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“2026 Notes” means the AAdvantage Issuers' 5.50% senior secured notes due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“2029 Notes” means the AAdvantage Issuers' 5.75% senior secured notes due 2029.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“AAdvantage” means the AAdvantage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frequent flyer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“AAdvantage Agreements” means the AAdvantage program agreements provided as collateral under the AAdvantage Financing.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“AAdvantage Financing” means the 2026 Notes, the 2029 Notes and the AAdvantage Term Loan Facility.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“AAdvantage Term Loan Facility” means the $ 3.5 billion term loan facility provided pursuant to the term loan credit and guaranty agreement, dated as of March 24, 2021, with Barclays Bank PLC, as administrative agent, Wilmington Trust, National Association, as collateral administrator, and the lenders party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“AAG”, “we”, “us”, “our” and similar terms means American Airlines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“American” means American Airlines, Inc., a wholly-owned subsidiary of AAG.</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“American Eagle” means our regional carriers, including our wholly-owned regional carriers Envoy, PSA and Piedmont, as well as third-party regional carriers including Mesa, Republic and SkyWest.</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“AMR” or “AMR Corporation” means AMR Corporation and is used to reference AAG during the period of time prior to its emergence from Chapter 11 and the Merger.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“AOCI” means accumulated other comprehensive income (loss).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“April 2016 Credit Agreement” means the Credit and Guaranty Agreement, dated as of April 29, 2016, among American, AAG, the lenders from time to time party thereto, Barclays Bank PLC, as administrative agent, and certain other parties thereto, as amended.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“April 2016 Revolving Facility” means the revolving credit facility provided for by the April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“ARP” means the American Rescue Plan Act of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“ASM” means available seat mile and is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“ATC system” means the U.S. National Airspace System.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“Bankruptcy Court” means the United States Bankruptcy Court for the Southern District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“Boeing” means The Boeing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“Bylaws” means AAG’s Amended and Restated Bylaws,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the Coronavirus Aid, Relief, and Economic Security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“CASM” means total operating cost per available seat mile and is equal to total operating expenses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“CBAs” means collective bargaining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“CEO” means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“CFO” means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Airlines” means China Southern Airlines Company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“CMA” means the United Kingdom Competition and Markets Authority.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w:t>
      </w:r>
      <w:r>
        <w:rPr>
          <w:rFonts w:ascii="Arial" w:cs="Arial" w:eastAsia="Arial" w:hAnsi="Arial"/>
          <w:sz w:val="23"/>
          <w:szCs w:val="23"/>
          <w:color w:val="auto"/>
          <w:vertAlign w:val="subscript"/>
        </w:rPr>
        <w:t>2</w:t>
      </w:r>
      <w:r>
        <w:rPr>
          <w:rFonts w:ascii="Arial" w:cs="Arial" w:eastAsia="Arial" w:hAnsi="Arial"/>
          <w:sz w:val="18"/>
          <w:szCs w:val="18"/>
          <w:color w:val="auto"/>
        </w:rPr>
        <w:t>” means carbon dioxide.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AAG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means AAG’s 6.50% convertible senior notes due 2025.</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“Convertible Notes Indenture” means the indenture, dated as of June 25, 2020, between AAG and the Convertible Notes Trustee, as supplemented by the first supplemental indenture, dated as of June 25, 2020, among AAG, American and the Convertible Notes Trustee.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Trustee” means Wilmington Trust, National Association, as trustee with respect to the 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“CORSIA” means the Carbon Offsetting and Reduction Scheme for International Aviation.</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“COVID-19” refers to a respiratory illness first detected in 2019 and the ensuing global pandemic that remains ongoing as of the date of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“DCA” means Ronald Reagan Washington 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“DC Court” means the Federal District Court for the District of Columbia.</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“December 2016 Credit Agreement” means the Credit and Guaranty Agreement dated as of December 15, 2016, among American, AAG, the lenders from time to time party thereto, Citibank N.A., as administrative agent, and certain other parties thereto, as amended.</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“December 2016 Credit Facilities” means, collectively, the December 2016 Term Loan Facility and the revolving credit facility that may be established under the December 2016 Credit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“December 2016 Term Loan Facility” means the term loan facility provided for under the December 2016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“DOJ” means the United States Department of Justice.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United States Department of 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“DOT Agreement” means the agreement that had been reached between the DOT, American and JetBlue in January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“EC” means the European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“EETC” means enhanced equipment trust certificate.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“Envoy” means Envoy Air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U.S. Environmental Protection Agency.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“EPS” means earnings (loss) per common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 means European Union.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"EU-UK Trade and Cooperation Agreement" means the trade and cooperation agreement between the EU and 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“FAA” means Federal Aviation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“GDSs” means global distribution systems.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“GOL” means GOL Linhas Aéreas Inteligentes S.A.</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“holdback” means an amount of cash held by our credit card processors in certain circumstances (including, with respect to certain agreements, our failure to maintain certain levels of liquidity).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“IAM” means International Association of Machinists &amp; Aerospace Workers.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“IAM Pension Fund” means the IAM National Pension Fund.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“ICAO” means International Civil Aviation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“IP Notes” means American’s $1.0 billion in initial principal amount of 10.75% senior secured IP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“JetBlue” means JetBlue Airways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“LGA/DCA Notes” means American’s $200 million in initial principal amount of 10.75% senior secured LGA/DCA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“LGA” means LaGuardia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“LGW” or “London Gatwick” means London Gatwick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“LHR” or “London Heathrow” means London Heathrow Airport.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“LIBOR” means the London interbank offered rate for deposits of U.S. dollars.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“LTV” means loan to value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“Mainline” means the operations of American and excludes regional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of US Airways Group and AMR Corporation on December 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“Mesa” means Mesa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"NEA" means Northeast Alliance arrangement between American and JetBlue.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“NMB” means National Mediation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“OSHA” means Occupational Health and Safety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means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“PEB” means Presidential Emergency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“PFAS” means per- and polyfluoroalkyl substances.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“Piedmont” means Piedmont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“PRASM” means passenger revenue per available seat mile and is equal to passenger revenues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“PSA” means PSA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means the payroll support program established under the CARES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Agreement” means the Payroll Support Program Agreement entered into by the Subsidiaries with Treasury on April 20,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“PSP1 Promissory Note” means the promissory note issued to Treasury in connection with PSP1.</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“PSP1 Warrant Agreement” means the agreement entered into between AAG and Treasury in connection with the PSP1 Agreement, pursuant to which AAG issued PSP1 Warrants to Treasury to purchase up to an aggregate of approximately 14.1 million shares of AAG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“PSP1 Warrants” means the warrants issued or to be issued to Treasury pursuant to the PSP1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“PSP2” means the payroll support program established under the PSP Extension Law.</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“PSP2 Agreement” means the Payroll Support Program Extension Agreement entered into by the Subsidiaries with Treasury on January 15,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“PSP2 Promissory Note” means the promissory note issued to Treasury in connection with PSP2.</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“PSP2 Warrant Agreement” means the agreement entered into between AAG and Treasury in connection with the PSP2 Agreement, pursuant to which AAG issued PSP2 Warrants to Treasury to purchase the PSP2 Warrant Shares.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“PSP2 Warrants” means the warrants issued or to be issued to Treasury pursuant to the PSP2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means the payroll support program established under the ARP.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Agreement” means the Payroll Support Program Agreement entered into by the Subsidiaries with Treasury on April 23,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“PSP3 Promissory Note” means the promissory note issued to Treasury in connection with PSP3.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“PSP Extension Law” means Subtitle A of Title IV of Division N of the Consolidated Appropriations Act,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“Rehabilitation Plan” means the rehabilitation plan adopted by the IAM Pension Fund on April 17,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“Republic” means Republic Airways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“RLA” means Railway Labor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“ROU” means right-of-use.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“RPM” or “RPMs” means revenue passenger mile or miles and is a basic measure of sales volume. One RPM represents one passenger flown one mile.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“SAF” means sustainable aviation fuel.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“SAIB” means special airworthiness information bulletin.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“SEC” means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382” means Section 382 of the Internal Revenue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“SkyWest” means SkyWest Airlines,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“slots” means landing and take-off rights and authorizations, as required by certain airports.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“SOFR” means the Secured Overnight Financing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“Subsidiaries” means American, Envoy, PSA and Piedmont, each a wholly-owned subsidiary of AAG.</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“Tax Benefits Preservation Plan” means the tax benefits preservation plan adopted by the Board of Directors of AAG in December 2021 in order to preserve the Company's ability to use its NOLs and certain other tax attributes to reduce potential future income tax obligations.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“Terminal” means the passenger terminal facility used by American at JFK.</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“TRASM” means the total revenue per available seat mile and is equal to the total revenues divided by total mainline and third-party regional carrier ASMs.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“Treasury” means the U.S. Department of the Treasury.</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“Treasury Loan Agreement” means the Loan and Guarantee Agreement, dated as of September 25, 2020, between AAG, American and Treasury which provides for the Treasury Term Loan Facility.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“Treasury Loan Warrants” means the warrants issued to Treasury pursuant to the Treasury Loan Warrant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“Treasury Term Loan Facility” means the term loan facility provided for under the Treasury Loan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means US Airways Group, Inc. and its consolidated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“USTR” means the Office of the U.S. Trade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“Vertical” means Vertical Aerospace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“WTO” means World Trade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means a measure of airline revenue derived by dividing passenger revenue by RPMs.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r>
      <w:tr>
        <w:trPr>
          <w:trHeight w:val="210"/>
        </w:trPr>
        <w:tc>
          <w:tcPr>
            <w:tcW w:w="75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8"/>
                <w:szCs w:val="18"/>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1060" w:type="dxa"/>
            <w:vAlign w:val="bottom"/>
          </w:tcPr>
          <w:p>
            <w:pPr>
              <w:jc w:val="right"/>
              <w:ind w:right="85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7,818</w:t>
            </w:r>
          </w:p>
        </w:tc>
        <w:tc>
          <w:tcPr>
            <w:tcW w:w="120" w:type="dxa"/>
            <w:vAlign w:val="bottom"/>
          </w:tcPr>
          <w:p>
            <w:pPr>
              <w:spacing w:after="0"/>
              <w:rPr>
                <w:sz w:val="19"/>
                <w:szCs w:val="19"/>
                <w:color w:val="auto"/>
              </w:rPr>
            </w:pP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3,179</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2,730</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06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per common share:</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649,503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634,609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-4611370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Investments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12,108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12,158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990</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1,537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1,505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1,795</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Prepaid expenses and other</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787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615</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17,762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17,336</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Flight equipment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38,359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37,856</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Ground property and equipment</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9,418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9,335</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purchase deposits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545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517</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at cost</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48,322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47,708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(18,464)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(18,171)</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property and equipment, net</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29,858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29,537</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7,850</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Intangibles, net of accumulated amortization of $795 and $786, respectively</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1,970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1,988</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tax asset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3,556</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1,975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2,109</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12,036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11,744</w:t>
            </w:r>
          </w:p>
        </w:tc>
      </w:tr>
      <w:tr>
        <w:trPr>
          <w:trHeight w:val="195"/>
        </w:trPr>
        <w:tc>
          <w:tcPr>
            <w:tcW w:w="7580" w:type="dxa"/>
            <w:vAlign w:val="bottom"/>
          </w:tcPr>
          <w:p>
            <w:pPr>
              <w:ind w:left="1000"/>
              <w:spacing w:after="0"/>
              <w:rPr>
                <w:sz w:val="20"/>
                <w:szCs w:val="20"/>
                <w:color w:val="auto"/>
              </w:rPr>
            </w:pPr>
            <w:r>
              <w:rPr>
                <w:rFonts w:ascii="Arial" w:cs="Arial" w:eastAsia="Arial" w:hAnsi="Arial"/>
                <w:sz w:val="15"/>
                <w:szCs w:val="15"/>
                <w:b w:val="1"/>
                <w:bCs w:val="1"/>
                <w:color w:val="auto"/>
              </w:rPr>
              <w:t>Total assets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67,401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66,467</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1"/>
        </w:trPr>
        <w:tc>
          <w:tcPr>
            <w:tcW w:w="7580" w:type="dxa"/>
            <w:vAlign w:val="bottom"/>
            <w:shd w:val="clear" w:color="auto" w:fill="CCEEFF"/>
          </w:tcPr>
          <w:p>
            <w:pPr>
              <w:ind w:left="20"/>
              <w:spacing w:after="0" w:line="171" w:lineRule="exact"/>
              <w:rPr>
                <w:sz w:val="20"/>
                <w:szCs w:val="20"/>
                <w:color w:val="auto"/>
              </w:rPr>
            </w:pPr>
            <w:r>
              <w:rPr>
                <w:rFonts w:ascii="Arial" w:cs="Arial" w:eastAsia="Arial" w:hAnsi="Arial"/>
                <w:sz w:val="15"/>
                <w:szCs w:val="15"/>
                <w:b w:val="1"/>
                <w:bCs w:val="1"/>
                <w:color w:val="auto"/>
              </w:rPr>
              <w:t>LIABILITIES AND STOCKHOLDERS’ EQUITY (DEFICIT)</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2,489</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2,546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1,772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salaries and wages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1,489</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Air traffic liability</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8,346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6,087</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2,896</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1,490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1,507</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accrued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2,623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2,766</w:t>
            </w:r>
          </w:p>
        </w:tc>
      </w:tr>
      <w:tr>
        <w:trPr>
          <w:trHeight w:val="195"/>
        </w:trPr>
        <w:tc>
          <w:tcPr>
            <w:tcW w:w="7580" w:type="dxa"/>
            <w:vAlign w:val="bottom"/>
          </w:tcPr>
          <w:p>
            <w:pPr>
              <w:ind w:left="680"/>
              <w:spacing w:after="0"/>
              <w:rPr>
                <w:sz w:val="20"/>
                <w:szCs w:val="20"/>
                <w:color w:val="auto"/>
              </w:rPr>
            </w:pPr>
            <w:r>
              <w:rPr>
                <w:rFonts w:ascii="Arial" w:cs="Arial" w:eastAsia="Arial" w:hAnsi="Arial"/>
                <w:sz w:val="15"/>
                <w:szCs w:val="15"/>
                <w:color w:val="auto"/>
              </w:rPr>
              <w:t>Total current liabilities</w:t>
            </w:r>
          </w:p>
        </w:tc>
        <w:tc>
          <w:tcPr>
            <w:tcW w:w="240" w:type="dxa"/>
            <w:vAlign w:val="bottom"/>
          </w:tcPr>
          <w:p>
            <w:pPr>
              <w:spacing w:after="0"/>
              <w:rPr>
                <w:sz w:val="16"/>
                <w:szCs w:val="16"/>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21,866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19,006</w:t>
            </w:r>
          </w:p>
        </w:tc>
      </w:tr>
      <w:tr>
        <w:trPr>
          <w:trHeight w:val="204"/>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35,461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35,571</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Pension and postretirement benefits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5,053</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40" w:type="dxa"/>
            <w:vAlign w:val="bottom"/>
          </w:tcPr>
          <w:p>
            <w:pPr>
              <w:spacing w:after="0"/>
              <w:rPr>
                <w:sz w:val="17"/>
                <w:szCs w:val="17"/>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6,194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6,239</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6,610</w:t>
            </w:r>
          </w:p>
        </w:tc>
      </w:tr>
      <w:tr>
        <w:trPr>
          <w:trHeight w:val="201"/>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1,378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1,328</w:t>
            </w:r>
          </w:p>
        </w:tc>
      </w:tr>
      <w:tr>
        <w:trPr>
          <w:trHeight w:val="197"/>
        </w:trPr>
        <w:tc>
          <w:tcPr>
            <w:tcW w:w="758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noncurrent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54,475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54,801</w:t>
            </w:r>
          </w:p>
        </w:tc>
      </w:tr>
      <w:tr>
        <w:trPr>
          <w:trHeight w:val="203"/>
        </w:trPr>
        <w:tc>
          <w:tcPr>
            <w:tcW w:w="758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48"/>
        </w:trPr>
        <w:tc>
          <w:tcPr>
            <w:tcW w:w="7580" w:type="dxa"/>
            <w:vAlign w:val="bottom"/>
          </w:tcPr>
          <w:p>
            <w:pPr>
              <w:ind w:left="360"/>
              <w:spacing w:after="0" w:line="149" w:lineRule="exact"/>
              <w:rPr>
                <w:sz w:val="20"/>
                <w:szCs w:val="20"/>
                <w:color w:val="auto"/>
              </w:rPr>
            </w:pPr>
            <w:r>
              <w:rPr>
                <w:rFonts w:ascii="Arial" w:cs="Arial" w:eastAsia="Arial" w:hAnsi="Arial"/>
                <w:sz w:val="15"/>
                <w:szCs w:val="15"/>
                <w:color w:val="auto"/>
              </w:rPr>
              <w:t>Common stock, $0.01 par value; 1,750,000,000 shares authorized, 649,497,768 shares issued and</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5"/>
                <w:szCs w:val="15"/>
                <w:color w:val="auto"/>
              </w:rPr>
              <w:t>outstanding at March 31, 2022; 647,727,595 shares issued and outstanding at December 31, 2021</w:t>
            </w:r>
          </w:p>
        </w:tc>
        <w:tc>
          <w:tcPr>
            <w:tcW w:w="240" w:type="dxa"/>
            <w:vAlign w:val="bottom"/>
          </w:tcPr>
          <w:p>
            <w:pPr>
              <w:spacing w:after="0"/>
              <w:rPr>
                <w:sz w:val="18"/>
                <w:szCs w:val="18"/>
                <w:color w:val="auto"/>
              </w:rPr>
            </w:pP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6"/>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7,234</w:t>
            </w:r>
          </w:p>
        </w:tc>
      </w:tr>
      <w:tr>
        <w:trPr>
          <w:trHeight w:val="201"/>
        </w:trPr>
        <w:tc>
          <w:tcPr>
            <w:tcW w:w="7580" w:type="dxa"/>
            <w:vAlign w:val="bottom"/>
          </w:tcPr>
          <w:p>
            <w:pPr>
              <w:ind w:left="36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(5,916)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(5,942)</w:t>
            </w:r>
          </w:p>
        </w:tc>
      </w:tr>
      <w:tr>
        <w:trPr>
          <w:trHeight w:val="204"/>
        </w:trPr>
        <w:tc>
          <w:tcPr>
            <w:tcW w:w="75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Retained deficit</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(10,273)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(8,638)</w:t>
            </w:r>
          </w:p>
        </w:tc>
      </w:tr>
      <w:tr>
        <w:trPr>
          <w:trHeight w:val="195"/>
        </w:trPr>
        <w:tc>
          <w:tcPr>
            <w:tcW w:w="758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stockholders’ deficit</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(7,340)</w:t>
            </w:r>
          </w:p>
        </w:tc>
      </w:tr>
      <w:tr>
        <w:trPr>
          <w:trHeight w:val="221"/>
        </w:trPr>
        <w:tc>
          <w:tcPr>
            <w:tcW w:w="75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67,401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66,467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Airport construction projects, net of reimbursements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(7,035)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(8,557)</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restricted short-term investments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756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(7,152)</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(4,054)</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10,861</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Shares withheld for taxes pursuant to employee stock plans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equity</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48"/>
        </w:trPr>
        <w:tc>
          <w:tcPr>
            <w:tcW w:w="75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12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transactions: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120" w:type="dxa"/>
            <w:vAlign w:val="bottom"/>
          </w:tcPr>
          <w:p>
            <w:pPr>
              <w:jc w:val="right"/>
              <w:ind w:right="91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1100" w:type="dxa"/>
            <w:vAlign w:val="bottom"/>
          </w:tcPr>
          <w:p>
            <w:pPr>
              <w:jc w:val="right"/>
              <w:ind w:right="89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7,234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(7,340)</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(1,635)</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62"/>
        </w:trPr>
        <w:tc>
          <w:tcPr>
            <w:tcW w:w="5540" w:type="dxa"/>
            <w:vAlign w:val="bottom"/>
          </w:tcPr>
          <w:p>
            <w:pPr>
              <w:ind w:left="20"/>
              <w:spacing w:after="0" w:line="162" w:lineRule="exact"/>
              <w:rPr>
                <w:sz w:val="20"/>
                <w:szCs w:val="20"/>
                <w:color w:val="auto"/>
              </w:rPr>
            </w:pPr>
            <w:r>
              <w:rPr>
                <w:rFonts w:ascii="Arial" w:cs="Arial" w:eastAsia="Arial" w:hAnsi="Arial"/>
                <w:sz w:val="16"/>
                <w:szCs w:val="16"/>
                <w:color w:val="auto"/>
              </w:rPr>
              <w:t>Issuance of 1,770,173 shares of AAG common stock pursuant to employee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7,243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(5,916)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(10,273)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(8,940)</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9"/>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6,894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62"/>
        </w:trPr>
        <w:tc>
          <w:tcPr>
            <w:tcW w:w="5540" w:type="dxa"/>
            <w:vAlign w:val="bottom"/>
          </w:tcPr>
          <w:p>
            <w:pPr>
              <w:ind w:left="20"/>
              <w:spacing w:after="0" w:line="162" w:lineRule="exact"/>
              <w:rPr>
                <w:sz w:val="20"/>
                <w:szCs w:val="20"/>
                <w:color w:val="auto"/>
              </w:rPr>
            </w:pPr>
            <w:r>
              <w:rPr>
                <w:rFonts w:ascii="Arial" w:cs="Arial" w:eastAsia="Arial" w:hAnsi="Arial"/>
                <w:sz w:val="16"/>
                <w:szCs w:val="16"/>
                <w:color w:val="auto"/>
              </w:rPr>
              <w:t>Impact of adoption of Accounting Standards Update 2020-06 related to</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5"/>
        </w:trPr>
        <w:tc>
          <w:tcPr>
            <w:tcW w:w="5540" w:type="dxa"/>
            <w:vAlign w:val="bottom"/>
          </w:tcPr>
          <w:p>
            <w:pPr>
              <w:ind w:left="180"/>
              <w:spacing w:after="0"/>
              <w:rPr>
                <w:sz w:val="20"/>
                <w:szCs w:val="20"/>
                <w:color w:val="auto"/>
              </w:rPr>
            </w:pPr>
            <w:r>
              <w:rPr>
                <w:rFonts w:ascii="Arial" w:cs="Arial" w:eastAsia="Arial" w:hAnsi="Arial"/>
                <w:sz w:val="16"/>
                <w:szCs w:val="16"/>
                <w:color w:val="auto"/>
              </w:rPr>
              <w:t>convertible instruments</w:t>
            </w: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18,194,573 shares of AAG common stock pursuant to an at-the-</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Issuance of PSP2 Warrants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63"/>
        </w:trPr>
        <w:tc>
          <w:tcPr>
            <w:tcW w:w="5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1,700,380 shares of AAG common stock pursuant to employee</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4"/>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4"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2" w:lineRule="exact"/>
        <w:rPr>
          <w:rFonts w:ascii="Arial" w:cs="Arial" w:eastAsia="Arial" w:hAnsi="Arial"/>
          <w:sz w:val="18"/>
          <w:szCs w:val="18"/>
          <w:b w:val="1"/>
          <w:bCs w:val="1"/>
          <w:color w:val="auto"/>
        </w:rPr>
      </w:pPr>
    </w:p>
    <w:p>
      <w:pPr>
        <w:ind w:left="520" w:hanging="269"/>
        <w:spacing w:after="0"/>
        <w:tabs>
          <w:tab w:leader="none" w:pos="520" w:val="left"/>
        </w:tabs>
        <w:numPr>
          <w:ilvl w:val="1"/>
          <w:numId w:val="8"/>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2021.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Ongoing global vaccination efforts and the corresponding lifting of government restrictions in and between many markets resulted in a significant recovery in demand for air travel, with $8.9 billion of total revenue in the first quarter of 2022, a recovery of 84% as compared to the first quarter of 2019. The continued impact of the COVID-19 pandemic, including any increases in infection rates, new variants and renewed governmental action to slow the spread of COVID-19 cannot be estimated.</w:t>
      </w:r>
    </w:p>
    <w:p>
      <w:pPr>
        <w:spacing w:after="0" w:line="128"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Our capacity (as measured by available seat miles) continues to be reduced compared to pre-COVID-19 pandemic levels, with total capacity in the first quarter of 2022 down 10.7% as compared to the first quarter of 2019. Domestic capacity in the first quarter of 2022 was down 7.5% while international capacity was down 17.4% as compared to the first quarter of 2019.</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While demand for domestic and short-haul international markets has largely recovered to 2019 levels, uncertainty remains regarding the timing of a full recovery. We will continue to match our forward capacity with observed booking trends for future travel and make further adjustments to our capacity as needed.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r>
      <w:tr>
        <w:trPr>
          <w:trHeight w:val="224"/>
        </w:trPr>
        <w:tc>
          <w:tcPr>
            <w:tcW w:w="75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40" w:type="dxa"/>
            <w:vAlign w:val="bottom"/>
            <w:shd w:val="clear" w:color="auto" w:fill="CCEEFF"/>
          </w:tcPr>
          <w:p>
            <w:pPr>
              <w:jc w:val="right"/>
              <w:ind w:right="104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2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(1,708)</w:t>
            </w:r>
          </w:p>
        </w:tc>
      </w:tr>
      <w:tr>
        <w:trPr>
          <w:trHeight w:val="270"/>
        </w:trPr>
        <w:tc>
          <w:tcPr>
            <w:tcW w:w="75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2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756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(1,923)</w:t>
            </w:r>
          </w:p>
        </w:tc>
      </w:tr>
      <w:tr>
        <w:trPr>
          <w:trHeight w:val="270"/>
        </w:trPr>
        <w:tc>
          <w:tcPr>
            <w:tcW w:w="75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(4)</w:t>
            </w: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2"/>
        </w:trPr>
        <w:tc>
          <w:tcPr>
            <w:tcW w:w="756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1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Fleet impairment in the first quarter of 2022 included a non-cash impairment charge to write down the carrying value of our retired Airbus A330 fleet to the estimated fair value due to current market conditions for certain used aircraft. We retired our Airbus A330 fleet in 2020 as a result of the decline in demand for air travel due to the COVID-19 pandemic and these aircraft are classified as long-lived nonoperating assets within other assets on the condensed consolidated balance sheets.</w:t>
      </w:r>
    </w:p>
    <w:p>
      <w:pPr>
        <w:spacing w:after="0" w:line="140" w:lineRule="exact"/>
        <w:rPr>
          <w:rFonts w:ascii="Arial" w:cs="Arial" w:eastAsia="Arial" w:hAnsi="Arial"/>
          <w:sz w:val="23"/>
          <w:szCs w:val="23"/>
          <w:color w:val="auto"/>
          <w:vertAlign w:val="superscript"/>
        </w:rPr>
      </w:pPr>
    </w:p>
    <w:p>
      <w:pPr>
        <w:ind w:left="34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in the first quarter of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the U.S. Department of Treasury (Treasury) pursuant to the payroll support program established under the PSP Extension Law (PSP2).</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 Cash payments primarily associated with our voluntary early retirement programs were approximately $90 million and $170 million for the first quarter of 2022 and 2021, respectively.</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principally included net unrealized gains and losses associated with our equity investment in China Southern Airlines Company Limited (China Southern Airlines) and in the first quarter of 2022, also included our equity investment in Vertical Aerospace Ltd. (Vertical).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Common Share</w:t>
      </w:r>
    </w:p>
    <w:p>
      <w:pPr>
        <w:spacing w:after="0" w:line="90"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following table sets forth the computation of basic and diluted loss per common share (EPS) (in millions,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7"/>
                <w:szCs w:val="17"/>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EPS:</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649,503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634,609</w:t>
            </w:r>
          </w:p>
        </w:tc>
      </w:tr>
      <w:tr>
        <w:trPr>
          <w:trHeight w:val="223"/>
        </w:trPr>
        <w:tc>
          <w:tcPr>
            <w:tcW w:w="7560" w:type="dxa"/>
            <w:vAlign w:val="bottom"/>
          </w:tcPr>
          <w:p>
            <w:pPr>
              <w:ind w:left="140"/>
              <w:spacing w:after="0"/>
              <w:rPr>
                <w:sz w:val="20"/>
                <w:szCs w:val="20"/>
                <w:color w:val="auto"/>
              </w:rPr>
            </w:pPr>
            <w:r>
              <w:rPr>
                <w:rFonts w:ascii="Arial" w:cs="Arial" w:eastAsia="Arial" w:hAnsi="Arial"/>
                <w:sz w:val="18"/>
                <w:szCs w:val="18"/>
                <w:color w:val="auto"/>
              </w:rPr>
              <w:t>Basic and diluted EPS</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1"/>
        </w:trPr>
        <w:tc>
          <w:tcPr>
            <w:tcW w:w="7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Securities that could potentially dilute EPS in the future, and which were excluded from the calculation of diluted EPS because inclusion of such shares would be antidilutive, are as follows (in thousands):</w:t>
      </w:r>
    </w:p>
    <w:p>
      <w:pPr>
        <w:spacing w:after="0" w:line="149"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6.50% convertible senior notes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Restricted stock unit awards</w:t>
            </w:r>
          </w:p>
        </w:tc>
        <w:tc>
          <w:tcPr>
            <w:tcW w:w="680" w:type="dxa"/>
            <w:vAlign w:val="bottom"/>
          </w:tcPr>
          <w:p>
            <w:pPr>
              <w:jc w:val="right"/>
              <w:spacing w:after="0"/>
              <w:rPr>
                <w:sz w:val="20"/>
                <w:szCs w:val="20"/>
                <w:color w:val="auto"/>
              </w:rPr>
            </w:pPr>
            <w:r>
              <w:rPr>
                <w:rFonts w:ascii="Arial" w:cs="Arial" w:eastAsia="Arial" w:hAnsi="Arial"/>
                <w:sz w:val="18"/>
                <w:szCs w:val="18"/>
                <w:color w:val="auto"/>
              </w:rPr>
              <w:t>3,933</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3,255</w:t>
            </w:r>
          </w:p>
        </w:tc>
      </w:tr>
      <w:tr>
        <w:trPr>
          <w:trHeight w:val="229"/>
        </w:trPr>
        <w:tc>
          <w:tcPr>
            <w:tcW w:w="86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PSP1 Warrants </w:t>
            </w:r>
            <w:r>
              <w:rPr>
                <w:rFonts w:ascii="Arial" w:cs="Arial" w:eastAsia="Arial" w:hAnsi="Arial"/>
                <w:sz w:val="23"/>
                <w:szCs w:val="23"/>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r>
      <w:tr>
        <w:trPr>
          <w:trHeight w:val="230"/>
        </w:trPr>
        <w:tc>
          <w:tcPr>
            <w:tcW w:w="86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Treasury Loan Warrants </w:t>
            </w:r>
            <w:r>
              <w:rPr>
                <w:rFonts w:ascii="Arial" w:cs="Arial" w:eastAsia="Arial" w:hAnsi="Arial"/>
                <w:sz w:val="23"/>
                <w:szCs w:val="23"/>
                <w:color w:val="auto"/>
                <w:vertAlign w:val="superscript"/>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1,545</w:t>
            </w:r>
          </w:p>
        </w:tc>
      </w:tr>
      <w:tr>
        <w:trPr>
          <w:trHeight w:val="229"/>
        </w:trPr>
        <w:tc>
          <w:tcPr>
            <w:tcW w:w="86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PSP2 Warrants </w:t>
            </w:r>
            <w:r>
              <w:rPr>
                <w:rFonts w:ascii="Arial" w:cs="Arial" w:eastAsia="Arial" w:hAnsi="Arial"/>
                <w:sz w:val="23"/>
                <w:szCs w:val="23"/>
                <w:color w:val="auto"/>
                <w:vertAlign w:val="superscript"/>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12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Pursuant to the payroll support program established under the CARES Act (PSP1), AAG issued to Treasury warrants (PSP1 Warrants) to purchase up to an aggregate of approximately 14.1 million shares of AAG common stock for an exercise price of $12.51 per share, subject to adjustment.</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Pursuant to the Loan and Guarantee Agreement with Treasury (the Treasury Loan Agreement), AAG issued to Treasury warrants (Treasury Loan Warrants) to purchase up to an aggregate of approximately 4.4 million shares of AAG common stock for an exercise price of $12.51 per share, subject to adjustment.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Pursuant to PSP2, AAG issued to Treasury warrants (PSP2 Warrants) to purchase up to an aggregate of approximately 6.6 million shares of AAG common stock for an exercise price of $15.66 per share, subject to adjustment.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ind w:left="260" w:right="9200" w:hanging="252"/>
        <w:spacing w:after="0" w:line="364" w:lineRule="auto"/>
        <w:tabs>
          <w:tab w:leader="none" w:pos="217"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reported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10"/>
        </w:trPr>
        <w:tc>
          <w:tcPr>
            <w:tcW w:w="2080" w:type="dxa"/>
            <w:vAlign w:val="bottom"/>
            <w:tcBorders>
              <w:bottom w:val="single" w:sz="8" w:color="CCEEFF"/>
            </w:tcBorders>
          </w:tcPr>
          <w:p>
            <w:pPr>
              <w:spacing w:after="0"/>
              <w:rPr>
                <w:sz w:val="18"/>
                <w:szCs w:val="18"/>
                <w:color w:val="auto"/>
              </w:rPr>
            </w:pPr>
          </w:p>
        </w:tc>
        <w:tc>
          <w:tcPr>
            <w:tcW w:w="54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11"/>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56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7,213</w:t>
            </w:r>
          </w:p>
        </w:tc>
        <w:tc>
          <w:tcPr>
            <w:tcW w:w="12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2,893</w:t>
            </w:r>
          </w:p>
        </w:tc>
      </w:tr>
      <w:tr>
        <w:trPr>
          <w:trHeight w:val="230"/>
        </w:trPr>
        <w:tc>
          <w:tcPr>
            <w:tcW w:w="75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3"/>
        </w:trPr>
        <w:tc>
          <w:tcPr>
            <w:tcW w:w="7560" w:type="dxa"/>
            <w:vAlign w:val="bottom"/>
            <w:gridSpan w:val="2"/>
          </w:tcPr>
          <w:p>
            <w:pPr>
              <w:ind w:left="480"/>
              <w:spacing w:after="0"/>
              <w:rPr>
                <w:sz w:val="20"/>
                <w:szCs w:val="20"/>
                <w:color w:val="auto"/>
              </w:rPr>
            </w:pPr>
            <w:r>
              <w:rPr>
                <w:rFonts w:ascii="Arial" w:cs="Arial" w:eastAsia="Arial" w:hAnsi="Arial"/>
                <w:sz w:val="18"/>
                <w:szCs w:val="18"/>
                <w:color w:val="auto"/>
              </w:rPr>
              <w:t>Total passenger revenue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3,179</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7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7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3"/>
        </w:trPr>
        <w:tc>
          <w:tcPr>
            <w:tcW w:w="7560" w:type="dxa"/>
            <w:vAlign w:val="bottom"/>
            <w:gridSpan w:val="2"/>
          </w:tcPr>
          <w:p>
            <w:pPr>
              <w:ind w:left="680"/>
              <w:spacing w:after="0"/>
              <w:rPr>
                <w:sz w:val="20"/>
                <w:szCs w:val="20"/>
                <w:color w:val="auto"/>
              </w:rPr>
            </w:pPr>
            <w:r>
              <w:rPr>
                <w:rFonts w:ascii="Arial" w:cs="Arial" w:eastAsia="Arial" w:hAnsi="Arial"/>
                <w:sz w:val="18"/>
                <w:szCs w:val="18"/>
                <w:color w:val="auto"/>
              </w:rPr>
              <w:t>Total operating revenues</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r>
      <w:tr>
        <w:trPr>
          <w:trHeight w:val="20"/>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March 31, 2022 and 2021, cash payments from co-branded credit card and other partners were $1.4 billion and $1.0 billion, respectively.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10"/>
        </w:trPr>
        <w:tc>
          <w:tcPr>
            <w:tcW w:w="75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gridSpan w:val="4"/>
          </w:tcPr>
          <w:p>
            <w:pPr>
              <w:jc w:val="right"/>
              <w:ind w:right="13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-1173480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r>
      <w:tr>
        <w:trPr>
          <w:trHeight w:val="229"/>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954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23"/>
        </w:trPr>
        <w:tc>
          <w:tcPr>
            <w:tcW w:w="95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Balance at March 31, 2022 </w:t>
            </w:r>
            <w:r>
              <w:rPr>
                <w:rFonts w:ascii="Arial" w:cs="Arial" w:eastAsia="Arial" w:hAnsi="Arial"/>
                <w:sz w:val="23"/>
                <w:szCs w:val="23"/>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9,304</w:t>
            </w:r>
          </w:p>
        </w:tc>
      </w:tr>
      <w:tr>
        <w:trPr>
          <w:trHeight w:val="20"/>
        </w:trPr>
        <w:tc>
          <w:tcPr>
            <w:tcW w:w="2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7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62" w:lineRule="exact"/>
        <w:rPr>
          <w:sz w:val="20"/>
          <w:szCs w:val="20"/>
          <w:color w:val="auto"/>
        </w:rPr>
      </w:pPr>
    </w:p>
    <w:p>
      <w:pPr>
        <w:jc w:val="both"/>
        <w:ind w:left="340" w:hanging="332"/>
        <w:spacing w:after="0" w:line="237"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 credit card. As of March 31, 2022, our current loyalty program liability was $3.1 billion and represents our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COVID-19 pandemic, we will continue to monitor redemption patterns and may adjust our estimates in the future.</w:t>
      </w:r>
    </w:p>
    <w:p>
      <w:pPr>
        <w:spacing w:after="0" w:line="13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generally one year. Accordingly, any revenue associated with tickets sold for future travel will be recognized within 12 months. For the three months ended March 31, 2022, $2.6 billion of revenue was recognized in passenger revenue that was included in our air traffic liability at December 31, 2021. In response to the COVID-19 pandemic, we extended the contract duration for certain tickets to September 30, 2022, principally those tickets which were issued in 2020 and 2021. Additionally, tickets to certain international destinations have extended contract duration to December 31, 2022. We also have eliminated change fees for most domestic and international tickets providing more flexibility for customers to change travel plans. Given these changes and the uncertainty surrounding the future demand for air travel, our estimates of revenue that will be recognized from the air traffic liability for future flown or unused tickets as well as our estimates of refunds may be subject to variability and differ from historical experience.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1"/>
        </w:trPr>
        <w:tc>
          <w:tcPr>
            <w:tcW w:w="7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2013 Term Loan Facility, variable interest rate of 2.20%, installments through 2025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2.20%, installments through 2027</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176"/>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December 2016 Term Loan Facility, variable interest rate of 2.84%, installments through</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2080" w:type="dxa"/>
            <w:vAlign w:val="bottom"/>
          </w:tcPr>
          <w:p>
            <w:pPr>
              <w:ind w:left="300"/>
              <w:spacing w:after="0"/>
              <w:rPr>
                <w:sz w:val="20"/>
                <w:szCs w:val="20"/>
                <w:color w:val="auto"/>
              </w:rPr>
            </w:pPr>
            <w:r>
              <w:rPr>
                <w:rFonts w:ascii="Arial" w:cs="Arial" w:eastAsia="Arial" w:hAnsi="Arial"/>
                <w:sz w:val="18"/>
                <w:szCs w:val="18"/>
                <w:color w:val="auto"/>
              </w:rPr>
              <w:t>2023</w:t>
            </w:r>
          </w:p>
        </w:tc>
        <w:tc>
          <w:tcPr>
            <w:tcW w:w="5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5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beginning in July 2023 until due in April 2026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9"/>
              </w:rPr>
              <w:t>AAdvantage Term Loan Facility, variable interest rate of 5.50%, installments beginning in July</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line="243" w:lineRule="exact"/>
              <w:rPr>
                <w:sz w:val="20"/>
                <w:szCs w:val="20"/>
                <w:color w:val="auto"/>
              </w:rPr>
            </w:pPr>
            <w:r>
              <w:rPr>
                <w:rFonts w:ascii="Arial" w:cs="Arial" w:eastAsia="Arial" w:hAnsi="Arial"/>
                <w:sz w:val="18"/>
                <w:szCs w:val="18"/>
                <w:color w:val="auto"/>
              </w:rPr>
              <w:t xml:space="preserve">2023 through April 2028 </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7.13%, averaging 3.81%, maturing from 2022 to 2034</w:t>
            </w: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43"/>
        </w:trPr>
        <w:tc>
          <w:tcPr>
            <w:tcW w:w="7560" w:type="dxa"/>
            <w:vAlign w:val="bottom"/>
            <w:gridSpan w:val="2"/>
          </w:tcPr>
          <w:p>
            <w:pPr>
              <w:ind w:left="300"/>
              <w:spacing w:after="0"/>
              <w:rPr>
                <w:sz w:val="20"/>
                <w:szCs w:val="20"/>
                <w:color w:val="auto"/>
              </w:rPr>
            </w:pPr>
            <w:r>
              <w:rPr>
                <w:rFonts w:ascii="Arial" w:cs="Arial" w:eastAsia="Arial" w:hAnsi="Arial"/>
                <w:sz w:val="18"/>
                <w:szCs w:val="18"/>
                <w:color w:val="auto"/>
              </w:rPr>
              <w:t>1.42% to 4.64%, averaging 2.12%, maturing from 2022 to 2032</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7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0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Unsecured</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PSP1 Promissory Note, interest only payments until due in April 2030</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PSP2 Promissory Note, interest only payments until due in January 2031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PSP3 Promissory Note, interest only payments until due in April 2031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6.50% convertible senior notes, interest only payments until due in July 2025</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5.000% senior notes, interest only payments until due in June 2022</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3.75% senior notes, interest only payments until due in March 2025</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2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37,781</w:t>
            </w:r>
          </w:p>
        </w:tc>
        <w:tc>
          <w:tcPr>
            <w:tcW w:w="0" w:type="dxa"/>
            <w:vAlign w:val="bottom"/>
          </w:tcPr>
          <w:p>
            <w:pPr>
              <w:spacing w:after="0"/>
              <w:rPr>
                <w:sz w:val="1"/>
                <w:szCs w:val="1"/>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2022, the maximum availability under our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57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5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5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50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Arial" w:cs="Arial" w:eastAsia="Arial" w:hAnsi="Arial"/>
                <w:sz w:val="18"/>
                <w:szCs w:val="18"/>
                <w:color w:val="auto"/>
              </w:rPr>
              <w:t>21</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4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20" w:type="dxa"/>
            <w:vAlign w:val="bottom"/>
            <w:tcBorders>
              <w:bottom w:val="single" w:sz="8" w:color="9A9A9A"/>
            </w:tcBorders>
          </w:tcPr>
          <w:p>
            <w:pPr>
              <w:spacing w:after="0"/>
              <w:rPr>
                <w:sz w:val="9"/>
                <w:szCs w:val="9"/>
                <w:color w:val="auto"/>
              </w:rPr>
            </w:pPr>
          </w:p>
        </w:tc>
        <w:tc>
          <w:tcPr>
            <w:tcW w:w="50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6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has an undrawn $150 million short-term revolving credit facility, which was set to expire at the beginning of January 2022 but which has been extended through the beginning of January 2023. American also currently has approximately $70 million of available borrowing base under a cargo receivables facility that was entered into in December 2020 and is set to expire in December 2022. The December 2016 Credit Facilities provide for a revolving credit facility that may be established thereunder in the future.</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6.50% Convertible Senior Notes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March 31, 2022, the if-converted value of the 6.50% convertible senior notes due 2025 (the Convertible Notes) exceeded the principal amount by $127 million. The last reported sale price per share of our common stock (as defined in the indenture governing our Convertible Notes, the Convertible Notes Indenture) did not exceed 130% of the conversion price of the Convertible Notes for at least 20 of the 30 consecutive trading days ending on March 31, 2022. Accordingly, pursuant to the terms of the Convertible Notes Indenture, the holders of the Convertible Notes cannot convert at their option at any time during the quarter ending June 30, 2022.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2022 Financing Activities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2021-1 Aircraft EETCs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November 2021, American created two pass-through trusts which issued approximately $960 million aggregate face amount of Series 2021-1 Class A and Class B EETCs (the 2021-1 Aircraft EETCs) in connection with the financing of 26 aircraft previously delivered or to be delivered to American through September 2022 (the 2021-1 Aircraft). In 2021, approximately $94 million of the proceeds had been used to purchase equipment notes issued by American in connection with the financing of five aircraft under the 2021-1 Aircraft EETCs, all of which was used to repay existing indebtedness. During the first quarter of 2022, approximately $367 million of proceeds had been used to purchase equipment notes issued by American in connection with the financing of nine aircraft under the 2021-1 Aircraft EETCs. Interest and principal payments on equipment notes issued in connection with the 2021-1 Aircraft EETCs are payable semi-annually in January and July each year, with interest payments scheduled to begin in July 2022 and with principal payments scheduled to begin in January 2023. The remaining proceeds of approximately $499 million as of March 31, 2022 were being held in escrow with a depositary for the benefit of the holders of the 2021-1 Aircraft EETCs until such time as American issues additional equipment notes with respect to the remaining 2021-1 Aircraft to the pass-through trusts, which will purchase such additional equipment notes with the escrowed funds. These escrowed funds are not guaranteed by American and are not reported as debt on its condensed consolidated balance sheets because the proceeds held by the depositary for the benefit of the holders of the 2021-1 Aircraft EETCs are not American’s assets.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2021-1 Aircraft EETC equipment notes, as of March 31, 2022, is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36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2021-1 Aircraft EETCs</w:t>
            </w:r>
          </w:p>
        </w:tc>
      </w:tr>
      <w:tr>
        <w:trPr>
          <w:trHeight w:val="209"/>
        </w:trPr>
        <w:tc>
          <w:tcPr>
            <w:tcW w:w="7620" w:type="dxa"/>
            <w:vAlign w:val="bottom"/>
          </w:tcPr>
          <w:p>
            <w:pPr>
              <w:spacing w:after="0"/>
              <w:rPr>
                <w:sz w:val="18"/>
                <w:szCs w:val="18"/>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Series A</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7"/>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$758 million</w:t>
            </w:r>
          </w:p>
        </w:tc>
        <w:tc>
          <w:tcPr>
            <w:tcW w:w="8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 million</w:t>
            </w:r>
          </w:p>
        </w:tc>
      </w:tr>
      <w:tr>
        <w:trPr>
          <w:trHeight w:val="248"/>
        </w:trPr>
        <w:tc>
          <w:tcPr>
            <w:tcW w:w="7620" w:type="dxa"/>
            <w:vAlign w:val="bottom"/>
          </w:tcPr>
          <w:p>
            <w:pPr>
              <w:ind w:left="20"/>
              <w:spacing w:after="0"/>
              <w:rPr>
                <w:sz w:val="20"/>
                <w:szCs w:val="20"/>
                <w:color w:val="auto"/>
              </w:rPr>
            </w:pPr>
            <w:r>
              <w:rPr>
                <w:rFonts w:ascii="Arial" w:cs="Arial" w:eastAsia="Arial" w:hAnsi="Arial"/>
                <w:sz w:val="18"/>
                <w:szCs w:val="18"/>
                <w:color w:val="auto"/>
              </w:rPr>
              <w:t>Remaining escrowed proceeds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$394 million</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$105 million</w:t>
            </w:r>
          </w:p>
        </w:tc>
      </w:tr>
      <w:tr>
        <w:trPr>
          <w:trHeight w:val="26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interest rate per annum</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2.875%</w:t>
            </w:r>
          </w:p>
        </w:tc>
        <w:tc>
          <w:tcPr>
            <w:tcW w:w="80" w:type="dxa"/>
            <w:vAlign w:val="bottom"/>
            <w:shd w:val="clear" w:color="auto" w:fill="CCEEFF"/>
          </w:tcPr>
          <w:p>
            <w:pPr>
              <w:spacing w:after="0"/>
              <w:rPr>
                <w:sz w:val="23"/>
                <w:szCs w:val="23"/>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3.95%</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July 2034</w:t>
            </w: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July 2030</w:t>
            </w:r>
          </w:p>
        </w:tc>
      </w:tr>
    </w:tbl>
    <w:p>
      <w:pPr>
        <w:spacing w:after="0" w:line="3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first quarter of 2022, we repurchased $317 million of unsecured notes on the open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At December 31, 2021, we had approximately $17.2 billion of gross federal net operating losses (NOLs) and $3.0 billion of other carryforwards available to reduce future federal taxable income, of which $6.9 billion will expire beginning in 2024 if unused and $ 13.3 billion can be carried forward indefinitely. We also had approximately $6.0 billion of NOL carryforwards to reduce future state taxable income at December 31, 2021, which will expire in taxable years 2021 through 2041 if unused.</w:t>
      </w:r>
    </w:p>
    <w:p>
      <w:pPr>
        <w:spacing w:after="0" w:line="1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presently have a $34 million valuation allowance on certain net deferred tax assets related to state NOL carryforwards. There can be no assurance that an additional valuation allowance on our net deferred tax assets will not be required. Such valuation allowance could be material.</w:t>
      </w:r>
    </w:p>
    <w:p>
      <w:pPr>
        <w:spacing w:after="0" w:line="13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three months ended March 31, 2022 and 2021, we recorded an income tax benefit of $451 million and $323 million, respectively.</w:t>
      </w:r>
    </w:p>
    <w:p>
      <w:pPr>
        <w:spacing w:after="0" w:line="180" w:lineRule="exact"/>
        <w:rPr>
          <w:sz w:val="20"/>
          <w:szCs w:val="20"/>
          <w:color w:val="auto"/>
        </w:rPr>
      </w:pPr>
    </w:p>
    <w:p>
      <w:pPr>
        <w:ind w:left="260" w:right="6540" w:hanging="252"/>
        <w:spacing w:after="0" w:line="364" w:lineRule="auto"/>
        <w:tabs>
          <w:tab w:leader="none" w:pos="217"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spacing w:after="0" w:line="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primarily utilize broker quotes in a non-active market for valuation of these securities. No changes in valuation techniques or inputs occurred during the three months ended March 31, 2022.</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Fair Value Measurements as of March 31, 2022</w:t>
            </w:r>
          </w:p>
        </w:tc>
        <w:tc>
          <w:tcPr>
            <w:tcW w:w="960" w:type="dxa"/>
            <w:vAlign w:val="bottom"/>
            <w:tcBorders>
              <w:bottom w:val="single" w:sz="8" w:color="auto"/>
            </w:tcBorders>
          </w:tcPr>
          <w:p>
            <w:pPr>
              <w:spacing w:after="0"/>
              <w:rPr>
                <w:sz w:val="17"/>
                <w:szCs w:val="17"/>
                <w:color w:val="auto"/>
              </w:rPr>
            </w:pPr>
          </w:p>
        </w:tc>
      </w:tr>
      <w:tr>
        <w:trPr>
          <w:trHeight w:val="196"/>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94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a substantial portion of the cost of the renovation and expansion of Terminal 8 at John F. Kennedy International Airport.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our equity investments in China Southern Airlines and Vertical. These investments are reflected in other assets on the condensed consolidated balance sheets.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$3.7 billion as of March 31, 2022 and December 31, 2021, which would have been classified as Level 3 in the fair value hierarchy. The fair value of the Convertible Notes, which would have been classified as Level 2, was $1.4 billion as of March 31, 2022 and December 31, 2021.</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2022</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2021</w:t>
            </w:r>
          </w:p>
        </w:tc>
      </w:tr>
      <w:tr>
        <w:trPr>
          <w:trHeight w:val="161"/>
        </w:trPr>
        <w:tc>
          <w:tcPr>
            <w:tcW w:w="5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3"/>
                <w:szCs w:val="13"/>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Fair</w:t>
            </w:r>
          </w:p>
        </w:tc>
      </w:tr>
      <w:tr>
        <w:trPr>
          <w:trHeight w:val="197"/>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7"/>
                <w:szCs w:val="17"/>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9"/>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37,134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37,323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38,567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9"/>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net in the condensed consolidated statements of operations.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first quarter of 2021, we remeasured our retiree medical and other postretirement benefits to account for enhanced healthcare benefits provided to eligible team members who opted into voluntary early retirement programs offered as a result of reductions to our operation due to the COVID-19 pandemic. For the three months ended March 31, 2021, we recognized a $139 million special charge for these enhanced healthcare benefits and increased our postretirement benefits obligation by $139 million.</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March 11, 2021, the American Rescue Plan Act of 2021 (the ARP) was enacted, which included funding relief provisions benefiting single employer qualified retirement benefit pension plans such as those sponsored by us. Based on the ARP provisions applicable to our pension plans, we will have no additional funding requirements until 2023.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Retiree</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Medical and</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Postretirement</w:t>
            </w: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on Investments</w:t>
            </w:r>
          </w:p>
        </w:tc>
        <w:tc>
          <w:tcPr>
            <w:tcW w:w="140" w:type="dxa"/>
            <w:vAlign w:val="bottom"/>
          </w:tcPr>
          <w:p>
            <w:pPr>
              <w:spacing w:after="0"/>
              <w:rPr>
                <w:sz w:val="16"/>
                <w:szCs w:val="16"/>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9"/>
                <w:szCs w:val="9"/>
                <w:b w:val="1"/>
                <w:bCs w:val="1"/>
                <w:color w:val="auto"/>
              </w:rPr>
              <w:t>(1)</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3"/>
                <w:szCs w:val="13"/>
                <w:color w:val="auto"/>
              </w:rPr>
            </w:pPr>
          </w:p>
        </w:tc>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benefit on the condensed consolidated statement of operations.</w:t>
      </w:r>
    </w:p>
    <w:p>
      <w:pPr>
        <w:sectPr>
          <w:pgSz w:w="11900" w:h="16838" w:orient="portrait"/>
          <w:cols w:equalWidth="0" w:num="1">
            <w:col w:w="11240"/>
          </w:cols>
          <w:pgMar w:left="320" w:top="121" w:right="339" w:bottom="1440" w:gutter="0" w:footer="0" w:header="0"/>
        </w:sectPr>
      </w:pP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35"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Amounts reclassified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23495</wp:posOffset>
            </wp:positionV>
            <wp:extent cx="23660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5"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46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1800" w:type="dxa"/>
            <w:vAlign w:val="bottom"/>
            <w:tcBorders>
              <w:top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2022</w:t>
            </w:r>
          </w:p>
        </w:tc>
        <w:tc>
          <w:tcPr>
            <w:tcW w:w="1820" w:type="dxa"/>
            <w:vAlign w:val="bottom"/>
            <w:tcBorders>
              <w:top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640" w:hanging="19"/>
        <w:spacing w:after="0" w:line="245"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140" w:space="720"/>
            <w:col w:w="2380"/>
          </w:cols>
          <w:pgMar w:left="320" w:top="121" w:right="339" w:bottom="1440" w:gutter="0" w:footer="0" w:header="0"/>
          <w:type w:val="continuous"/>
        </w:sectPr>
      </w:pPr>
    </w:p>
    <w:p>
      <w:pPr>
        <w:ind w:left="20"/>
        <w:spacing w:after="0" w:line="236" w:lineRule="auto"/>
        <w:rPr>
          <w:sz w:val="20"/>
          <w:szCs w:val="20"/>
          <w:color w:val="auto"/>
        </w:rPr>
      </w:pPr>
      <w:r>
        <w:rPr>
          <w:rFonts w:ascii="Arial" w:cs="Arial" w:eastAsia="Arial" w:hAnsi="Arial"/>
          <w:sz w:val="18"/>
          <w:szCs w:val="18"/>
          <w:color w:val="auto"/>
        </w:rPr>
        <w:t>Amortization of pension, retiree medical and other</w:t>
      </w:r>
    </w:p>
    <w:p>
      <w:pPr>
        <w:ind w:left="180"/>
        <w:spacing w:after="0"/>
        <w:rPr>
          <w:sz w:val="20"/>
          <w:szCs w:val="20"/>
          <w:color w:val="auto"/>
        </w:rPr>
      </w:pPr>
      <w:r>
        <w:rPr>
          <w:rFonts w:ascii="Arial" w:cs="Arial" w:eastAsia="Arial" w:hAnsi="Arial"/>
          <w:sz w:val="18"/>
          <w:szCs w:val="18"/>
          <w:color w:val="auto"/>
        </w:rPr>
        <w:t>postretirement benefits: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8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3140" w:type="dxa"/>
            <w:vAlign w:val="bottom"/>
          </w:tcPr>
          <w:p>
            <w:pPr>
              <w:ind w:left="120"/>
              <w:spacing w:after="0"/>
              <w:rPr>
                <w:sz w:val="20"/>
                <w:szCs w:val="20"/>
                <w:color w:val="auto"/>
              </w:rPr>
            </w:pPr>
            <w:r>
              <w:rPr>
                <w:rFonts w:ascii="Arial" w:cs="Arial" w:eastAsia="Arial" w:hAnsi="Arial"/>
                <w:sz w:val="18"/>
                <w:szCs w:val="18"/>
                <w:color w:val="auto"/>
              </w:rPr>
              <w:t>Nonoperating other income, net</w:t>
            </w:r>
          </w:p>
        </w:tc>
      </w:tr>
      <w:tr>
        <w:trPr>
          <w:trHeight w:val="230"/>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8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other income, net</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14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Substantially all of our regional carrier arrangements are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Regional expenses for the three months ended March 31, 2022 and 2021 include $80 million and $81 million of depreciation and amortization, respectively, and $1 million and $2 million of aircraft rent, respectively.</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three months ended March 31, 2022 and 2021, we recognized $150 million and $127 million, respectively, of expense under our capacity purchase agreement with Republic Airways Inc. (Republic). We hold a 25% equity interest in Republic Airways Holdings Inc., the parent company of Republic.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ind w:left="340" w:right="1020"/>
        <w:spacing w:after="0" w:line="296"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1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United States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our favor. On March 25, 2022, the U.S. District Court for the Southern District of New York entered judgment affirming the Bankruptcy Court's decision. We believe this lawsuit is without merit and intend to continue to vigorously defend against it, including against any further appeals by plaintiffs.</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(DOJ),</w:t>
      </w:r>
      <w:r>
        <w:rPr>
          <w:rFonts w:ascii="Arial" w:cs="Arial" w:eastAsia="Arial" w:hAnsi="Arial"/>
          <w:sz w:val="18"/>
          <w:szCs w:val="18"/>
          <w:i w:val="1"/>
          <w:iCs w:val="1"/>
          <w:color w:val="auto"/>
        </w:rPr>
        <w:t xml:space="preserve"> </w:t>
      </w:r>
      <w:r>
        <w:rPr>
          <w:rFonts w:ascii="Arial" w:cs="Arial" w:eastAsia="Arial" w:hAnsi="Arial"/>
          <w:sz w:val="18"/>
          <w:szCs w:val="18"/>
          <w:color w:val="auto"/>
        </w:rPr>
        <w:t>joined by Attorneys General from six states and the District of Columbia, filed an antitrust complaint against American and JetBlue Airways Corporation (JetBlue) alleging that American and JetBlue violated U.S. antitrust laws in connection with the previously disclosed Northeast Alliance arrangement (NEA). We believe the complaint is without merit and intend to defend against it vigorously.</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7,818</w:t>
            </w:r>
          </w:p>
        </w:tc>
        <w:tc>
          <w:tcPr>
            <w:tcW w:w="120" w:type="dxa"/>
            <w:vAlign w:val="bottom"/>
          </w:tcPr>
          <w:p>
            <w:pPr>
              <w:spacing w:after="0"/>
              <w:rPr>
                <w:sz w:val="19"/>
                <w:szCs w:val="19"/>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3,179</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Cargo</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2,729</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Regional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nonoperating expense, net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(1,529)</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r>
      <w:tr>
        <w:trPr>
          <w:trHeight w:val="21"/>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03"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retiree medical and other postretirement benefits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Investments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other comprehensive income, net of tax</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r>
      <w:tr>
        <w:trPr>
          <w:trHeight w:val="21"/>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Short-term investments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12,093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12,155</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Restricted cash and short-term investments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990</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1,516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1,484</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Receivables from related parties, net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5,547</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Aircraft fuel, spare parts and supplies,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1,897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1,692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Prepaid expenses and other</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579</w:t>
            </w:r>
          </w:p>
        </w:tc>
        <w:tc>
          <w:tcPr>
            <w:tcW w:w="0" w:type="dxa"/>
            <w:vAlign w:val="bottom"/>
          </w:tcPr>
          <w:p>
            <w:pPr>
              <w:spacing w:after="0"/>
              <w:rPr>
                <w:sz w:val="1"/>
                <w:szCs w:val="1"/>
                <w:color w:val="auto"/>
              </w:rPr>
            </w:pPr>
          </w:p>
        </w:tc>
      </w:tr>
      <w:tr>
        <w:trPr>
          <w:trHeight w:val="195"/>
        </w:trPr>
        <w:tc>
          <w:tcPr>
            <w:tcW w:w="7760" w:type="dxa"/>
            <w:vAlign w:val="bottom"/>
          </w:tcPr>
          <w:p>
            <w:pPr>
              <w:ind w:left="68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23,521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22,712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Flight equipment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38,022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37,520</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Ground property and equipment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8,966</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Equipment purchase deposits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at cost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47,003</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Less accumulated depreciation and amortization</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(18,046)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(17,770)</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property and equipment, net</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29,233</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7,679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7,810</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4,091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Intangibles, net of accumulated amortization of $795 and $786, respectively</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1,988</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Deferred tax asset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3,836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3,408</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1,903</w:t>
            </w:r>
          </w:p>
        </w:tc>
        <w:tc>
          <w:tcPr>
            <w:tcW w:w="0" w:type="dxa"/>
            <w:vAlign w:val="bottom"/>
          </w:tcPr>
          <w:p>
            <w:pPr>
              <w:spacing w:after="0"/>
              <w:rPr>
                <w:sz w:val="1"/>
                <w:szCs w:val="1"/>
                <w:color w:val="auto"/>
              </w:rPr>
            </w:pPr>
          </w:p>
        </w:tc>
      </w:tr>
      <w:tr>
        <w:trPr>
          <w:trHeight w:val="195"/>
        </w:trPr>
        <w:tc>
          <w:tcPr>
            <w:tcW w:w="776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Total other assets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11,661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11,390</w:t>
            </w:r>
          </w:p>
        </w:tc>
        <w:tc>
          <w:tcPr>
            <w:tcW w:w="0" w:type="dxa"/>
            <w:vAlign w:val="bottom"/>
          </w:tcPr>
          <w:p>
            <w:pPr>
              <w:spacing w:after="0"/>
              <w:rPr>
                <w:sz w:val="1"/>
                <w:szCs w:val="1"/>
                <w:color w:val="auto"/>
              </w:rPr>
            </w:pPr>
          </w:p>
        </w:tc>
      </w:tr>
      <w:tr>
        <w:trPr>
          <w:trHeight w:val="221"/>
        </w:trPr>
        <w:tc>
          <w:tcPr>
            <w:tcW w:w="77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72,391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71,145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Current maturities of long-term debt and finance leases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1,945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1,742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payable</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1,630</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Accrued salaries and wages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1,385</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Air traffic liability</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6,087</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Loyalty program liability</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3,110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2,896</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Operating lease liabilities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1,496</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Other accrued liabilities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2,628</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current liabilities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17,864</w:t>
            </w: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Long-term debt and finance leases, net of current maturities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30,352</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Pension and postretirement benefits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4,880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5,020</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Loyalty program liability</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6,239</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Operating lease liabilities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6,475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6,578</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1,266</w:t>
            </w:r>
          </w:p>
        </w:tc>
        <w:tc>
          <w:tcPr>
            <w:tcW w:w="0" w:type="dxa"/>
            <w:vAlign w:val="bottom"/>
          </w:tcPr>
          <w:p>
            <w:pPr>
              <w:spacing w:after="0"/>
              <w:rPr>
                <w:sz w:val="1"/>
                <w:szCs w:val="1"/>
                <w:color w:val="auto"/>
              </w:rPr>
            </w:pPr>
          </w:p>
        </w:tc>
      </w:tr>
      <w:tr>
        <w:trPr>
          <w:trHeight w:val="195"/>
        </w:trPr>
        <w:tc>
          <w:tcPr>
            <w:tcW w:w="7760" w:type="dxa"/>
            <w:vAlign w:val="bottom"/>
          </w:tcPr>
          <w:p>
            <w:pPr>
              <w:ind w:left="680"/>
              <w:spacing w:after="0"/>
              <w:rPr>
                <w:sz w:val="20"/>
                <w:szCs w:val="20"/>
                <w:color w:val="auto"/>
              </w:rPr>
            </w:pPr>
            <w:r>
              <w:rPr>
                <w:rFonts w:ascii="Arial" w:cs="Arial" w:eastAsia="Arial" w:hAnsi="Arial"/>
                <w:sz w:val="15"/>
                <w:szCs w:val="15"/>
                <w:color w:val="auto"/>
              </w:rPr>
              <w:t>Total noncurrent liabilities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49,051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49,455</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776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17,175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17,152</w:t>
            </w: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(6,041)</w:t>
            </w:r>
          </w:p>
        </w:tc>
        <w:tc>
          <w:tcPr>
            <w:tcW w:w="0" w:type="dxa"/>
            <w:vAlign w:val="bottom"/>
          </w:tcPr>
          <w:p>
            <w:pPr>
              <w:spacing w:after="0"/>
              <w:rPr>
                <w:sz w:val="1"/>
                <w:szCs w:val="1"/>
                <w:color w:val="auto"/>
              </w:rPr>
            </w:pPr>
          </w:p>
        </w:tc>
      </w:tr>
      <w:tr>
        <w:trPr>
          <w:trHeight w:val="201"/>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Retained deficit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(8,863)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(7,285)</w:t>
            </w:r>
          </w:p>
        </w:tc>
        <w:tc>
          <w:tcPr>
            <w:tcW w:w="0" w:type="dxa"/>
            <w:vAlign w:val="bottom"/>
          </w:tcPr>
          <w:p>
            <w:pPr>
              <w:spacing w:after="0"/>
              <w:rPr>
                <w:sz w:val="1"/>
                <w:szCs w:val="1"/>
                <w:color w:val="auto"/>
              </w:rPr>
            </w:pPr>
          </w:p>
        </w:tc>
      </w:tr>
      <w:tr>
        <w:trPr>
          <w:trHeight w:val="197"/>
        </w:trPr>
        <w:tc>
          <w:tcPr>
            <w:tcW w:w="7760" w:type="dxa"/>
            <w:vAlign w:val="bottom"/>
            <w:shd w:val="clear" w:color="auto" w:fill="CCEEFF"/>
          </w:tcPr>
          <w:p>
            <w:pPr>
              <w:ind w:left="680"/>
              <w:spacing w:after="0"/>
              <w:rPr>
                <w:sz w:val="20"/>
                <w:szCs w:val="20"/>
                <w:color w:val="auto"/>
              </w:rPr>
            </w:pPr>
            <w:r>
              <w:rPr>
                <w:rFonts w:ascii="Arial" w:cs="Arial" w:eastAsia="Arial" w:hAnsi="Arial"/>
                <w:sz w:val="15"/>
                <w:szCs w:val="15"/>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3,826</w:t>
            </w:r>
          </w:p>
        </w:tc>
        <w:tc>
          <w:tcPr>
            <w:tcW w:w="0" w:type="dxa"/>
            <w:vAlign w:val="bottom"/>
          </w:tcPr>
          <w:p>
            <w:pPr>
              <w:spacing w:after="0"/>
              <w:rPr>
                <w:sz w:val="1"/>
                <w:szCs w:val="1"/>
                <w:color w:val="auto"/>
              </w:rPr>
            </w:pPr>
          </w:p>
        </w:tc>
      </w:tr>
      <w:tr>
        <w:trPr>
          <w:trHeight w:val="195"/>
        </w:trPr>
        <w:tc>
          <w:tcPr>
            <w:tcW w:w="7760" w:type="dxa"/>
            <w:vAlign w:val="bottom"/>
          </w:tcPr>
          <w:p>
            <w:pPr>
              <w:ind w:left="1000"/>
              <w:spacing w:after="0"/>
              <w:rPr>
                <w:sz w:val="20"/>
                <w:szCs w:val="20"/>
                <w:color w:val="auto"/>
              </w:rPr>
            </w:pPr>
            <w:r>
              <w:rPr>
                <w:rFonts w:ascii="Arial" w:cs="Arial" w:eastAsia="Arial" w:hAnsi="Arial"/>
                <w:sz w:val="15"/>
                <w:szCs w:val="15"/>
                <w:b w:val="1"/>
                <w:bCs w:val="1"/>
                <w:color w:val="auto"/>
              </w:rPr>
              <w:t>Total liabilities and stockholder’s equity</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72,391</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71,145</w:t>
            </w:r>
          </w:p>
        </w:tc>
        <w:tc>
          <w:tcPr>
            <w:tcW w:w="0" w:type="dxa"/>
            <w:vAlign w:val="bottom"/>
          </w:tcPr>
          <w:p>
            <w:pPr>
              <w:spacing w:after="0"/>
              <w:rPr>
                <w:sz w:val="1"/>
                <w:szCs w:val="1"/>
                <w:color w:val="auto"/>
              </w:rPr>
            </w:pPr>
          </w:p>
        </w:tc>
      </w:tr>
      <w:tr>
        <w:trPr>
          <w:trHeight w:val="22"/>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net of aircraft purchase deposit returns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Airport construction projects, net of reimbursements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sale-leaseback transactions</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(8,545)</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restricted short-term investments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776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(7,135)</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9,965</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on long-term debt and finance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10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77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increase in cash and restricted cash</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3"/>
        </w:trPr>
        <w:tc>
          <w:tcPr>
            <w:tcW w:w="77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77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(ROU) assets acquired through operating leases</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Property and equipment acquired through finance leases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9"/>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 net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31" w:lineRule="auto"/>
        <w:tabs>
          <w:tab w:leader="none" w:pos="33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48"/>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 Basis of Presentation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2021. American is the principal wholly-owned subsidiary of American Airlines Group Inc. (AAG). All significant intercompany transactions have been eliminated.</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Ongoing global vaccination efforts and the corresponding lifting of government restrictions in and between many markets resulted in a significant recovery in demand for air travel, with $8.9 billion of total revenue in the first quarter of 2022, a recovery of 84% as compared to the first quarter of 2019. The continued impact of the COVID-19 pandemic, including any increases in infection rates, new variants and renewed governmental action to slow the spread of COVID-19 cannot be estimated.</w:t>
      </w:r>
    </w:p>
    <w:p>
      <w:pPr>
        <w:spacing w:after="0" w:line="12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capacity (as measured by available seat miles) continues to be reduced compared to pre-COVID-19 pandemic levels, with total capacity in the first quarter of 2022 down 10.7% as compared to the first quarter of 2019. Domestic capacity in the first quarter of 2022 was down 7.5% while international capacity was down 17.4% as compared to the first quarter of 2019.</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While demand for domestic and short-haul international markets has largely recovered to 2019 levels, uncertainty remains regarding the timing of a full recovery. American will continue to match its forward capacity with observed booking trends for future travel and make further adjustments to American's capacity as needed.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r>
      <w:tr>
        <w:trPr>
          <w:trHeight w:val="224"/>
        </w:trPr>
        <w:tc>
          <w:tcPr>
            <w:tcW w:w="75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40" w:type="dxa"/>
            <w:vAlign w:val="bottom"/>
            <w:shd w:val="clear" w:color="auto" w:fill="CCEEFF"/>
          </w:tcPr>
          <w:p>
            <w:pPr>
              <w:jc w:val="right"/>
              <w:ind w:right="104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2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(1,708)</w:t>
            </w:r>
          </w:p>
        </w:tc>
      </w:tr>
      <w:tr>
        <w:trPr>
          <w:trHeight w:val="270"/>
        </w:trPr>
        <w:tc>
          <w:tcPr>
            <w:tcW w:w="75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2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2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Regional operating special items, net</w:t>
            </w:r>
          </w:p>
        </w:tc>
        <w:tc>
          <w:tcPr>
            <w:tcW w:w="12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special items, net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r>
      <w:tr>
        <w:trPr>
          <w:trHeight w:val="270"/>
        </w:trPr>
        <w:tc>
          <w:tcPr>
            <w:tcW w:w="7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(4)</w:t>
            </w: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special items, net</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Fleet impairment in the first quarter of 2022 included a non-cash impairment charge to write down the carrying value of American's retired Airbus A330 fleet to the estimated fair value due to current market conditions for certain used aircraft. American retired its Airbus A330 fleet in 2020 as a result of the decline in demand for air travel due to the COVID-19 pandemic and these aircraft are classified as long-lived nonoperating assets within other assets on the condensed consolidated balance sheets.</w:t>
      </w:r>
    </w:p>
    <w:p>
      <w:pPr>
        <w:spacing w:after="0" w:line="140" w:lineRule="exact"/>
        <w:rPr>
          <w:rFonts w:ascii="Arial" w:cs="Arial" w:eastAsia="Arial" w:hAnsi="Arial"/>
          <w:sz w:val="23"/>
          <w:szCs w:val="23"/>
          <w:color w:val="auto"/>
          <w:vertAlign w:val="superscript"/>
        </w:rPr>
      </w:pPr>
    </w:p>
    <w:p>
      <w:pPr>
        <w:ind w:left="34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in the first quarter of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the U.S. Department of Treasury pursuant to the payroll support program established under the PSP Extension Law.</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American's operation due to the COVID-19 pandemic. Cash payments primarily associated with American's voluntary early retirement programs were approximately $90 million and $170 million for the first quarter of 2022 and 2021, respectively.</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principally included net unrealized gains and losses associated with American’s equity investment in China Southern Airlines Company Limited (China Southern Airlines) and in the first quarter of 2022, also included American's equity investment in Vertical Aerospace Ltd. (Vertical).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right="9200" w:hanging="252"/>
        <w:spacing w:after="0" w:line="364" w:lineRule="auto"/>
        <w:tabs>
          <w:tab w:leader="none" w:pos="217"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09"/>
        </w:trPr>
        <w:tc>
          <w:tcPr>
            <w:tcW w:w="75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1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7560" w:type="dxa"/>
            <w:vAlign w:val="bottom"/>
          </w:tcPr>
          <w:p>
            <w:pPr>
              <w:ind w:left="220"/>
              <w:spacing w:after="0"/>
              <w:rPr>
                <w:sz w:val="20"/>
                <w:szCs w:val="20"/>
                <w:color w:val="auto"/>
              </w:rPr>
            </w:pPr>
            <w:r>
              <w:rPr>
                <w:rFonts w:ascii="Arial" w:cs="Arial" w:eastAsia="Arial" w:hAnsi="Arial"/>
                <w:sz w:val="18"/>
                <w:szCs w:val="18"/>
                <w:color w:val="auto"/>
              </w:rPr>
              <w:t>Passenger travel</w:t>
            </w:r>
          </w:p>
        </w:tc>
        <w:tc>
          <w:tcPr>
            <w:tcW w:w="1160" w:type="dxa"/>
            <w:vAlign w:val="bottom"/>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7,213</w:t>
            </w:r>
          </w:p>
        </w:tc>
        <w:tc>
          <w:tcPr>
            <w:tcW w:w="120" w:type="dxa"/>
            <w:vAlign w:val="bottom"/>
          </w:tcPr>
          <w:p>
            <w:pPr>
              <w:spacing w:after="0"/>
              <w:rPr>
                <w:sz w:val="19"/>
                <w:szCs w:val="19"/>
                <w:color w:val="auto"/>
              </w:rPr>
            </w:pP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2,893</w:t>
            </w:r>
          </w:p>
        </w:tc>
      </w:tr>
      <w:tr>
        <w:trPr>
          <w:trHeight w:val="229"/>
        </w:trPr>
        <w:tc>
          <w:tcPr>
            <w:tcW w:w="75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3"/>
        </w:trPr>
        <w:tc>
          <w:tcPr>
            <w:tcW w:w="7560" w:type="dxa"/>
            <w:vAlign w:val="bottom"/>
          </w:tcPr>
          <w:p>
            <w:pPr>
              <w:ind w:left="480"/>
              <w:spacing w:after="0"/>
              <w:rPr>
                <w:sz w:val="20"/>
                <w:szCs w:val="20"/>
                <w:color w:val="auto"/>
              </w:rPr>
            </w:pPr>
            <w:r>
              <w:rPr>
                <w:rFonts w:ascii="Arial" w:cs="Arial" w:eastAsia="Arial" w:hAnsi="Arial"/>
                <w:sz w:val="18"/>
                <w:szCs w:val="18"/>
                <w:color w:val="auto"/>
              </w:rPr>
              <w:t>Total passenger revenue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7,818</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3,179</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75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29"/>
        </w:trPr>
        <w:tc>
          <w:tcPr>
            <w:tcW w:w="7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7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3"/>
        </w:trPr>
        <w:tc>
          <w:tcPr>
            <w:tcW w:w="7560" w:type="dxa"/>
            <w:vAlign w:val="bottom"/>
          </w:tcPr>
          <w:p>
            <w:pPr>
              <w:ind w:left="680"/>
              <w:spacing w:after="0"/>
              <w:rPr>
                <w:sz w:val="20"/>
                <w:szCs w:val="20"/>
                <w:color w:val="auto"/>
              </w:rPr>
            </w:pPr>
            <w:r>
              <w:rPr>
                <w:rFonts w:ascii="Arial" w:cs="Arial" w:eastAsia="Arial" w:hAnsi="Arial"/>
                <w:sz w:val="18"/>
                <w:szCs w:val="18"/>
                <w:color w:val="auto"/>
              </w:rPr>
              <w:t>Total operating revenues</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8,896</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w:t>
            </w:r>
          </w:p>
        </w:tc>
      </w:tr>
      <w:tr>
        <w:trPr>
          <w:trHeight w:val="21"/>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40"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March 31, 2022 and 2021, cash payments from co-branded credit card and other partners were $1.4 billion and $1.0 billion, respectively.</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09"/>
        </w:trPr>
        <w:tc>
          <w:tcPr>
            <w:tcW w:w="75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gridSpan w:val="4"/>
          </w:tcPr>
          <w:p>
            <w:pPr>
              <w:jc w:val="right"/>
              <w:ind w:right="135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34</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7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72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-1173480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w:t>
            </w:r>
          </w:p>
        </w:tc>
      </w:tr>
      <w:tr>
        <w:trPr>
          <w:trHeight w:val="229"/>
        </w:trPr>
        <w:tc>
          <w:tcPr>
            <w:tcW w:w="9460" w:type="dxa"/>
            <w:vAlign w:val="bottom"/>
          </w:tcPr>
          <w:p>
            <w:pPr>
              <w:ind w:left="220"/>
              <w:spacing w:after="0"/>
              <w:rPr>
                <w:sz w:val="20"/>
                <w:szCs w:val="20"/>
                <w:color w:val="auto"/>
              </w:rPr>
            </w:pPr>
            <w:r>
              <w:rPr>
                <w:rFonts w:ascii="Arial" w:cs="Arial" w:eastAsia="Arial" w:hAnsi="Arial"/>
                <w:sz w:val="18"/>
                <w:szCs w:val="18"/>
                <w:color w:val="auto"/>
              </w:rPr>
              <w:t>Deferral of revenue</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30"/>
        </w:trPr>
        <w:tc>
          <w:tcPr>
            <w:tcW w:w="94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23"/>
        </w:trPr>
        <w:tc>
          <w:tcPr>
            <w:tcW w:w="94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Balance at March 31, 2022 </w:t>
            </w:r>
            <w:r>
              <w:rPr>
                <w:rFonts w:ascii="Arial" w:cs="Arial" w:eastAsia="Arial" w:hAnsi="Arial"/>
                <w:sz w:val="23"/>
                <w:szCs w:val="23"/>
                <w:color w:val="auto"/>
                <w:vertAlign w:val="superscript"/>
              </w:rPr>
              <w:t>(2)</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9,304</w:t>
            </w:r>
          </w:p>
        </w:tc>
      </w:tr>
      <w:tr>
        <w:trPr>
          <w:trHeight w:val="21"/>
        </w:trPr>
        <w:tc>
          <w:tcPr>
            <w:tcW w:w="9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40"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 credit card. As of March 31, 2022, American's current loyalty program liability was $3.1 billion and represents American's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COVID-19 pandemic, American will continue to monitor redemption patterns and may adjust its estimates in the future.</w:t>
      </w:r>
    </w:p>
    <w:p>
      <w:pPr>
        <w:spacing w:after="0" w:line="13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generally one year. Accordingly, any revenue associated with tickets sold for future travel will be recognized within 12 months. For the three months ended March 31, 2022, $ 2.6 billion of revenue was recognized in passenger revenue that was included in American's air traffic liability at December 31, 2021. In response to the COVID-19 pandemic, American extended the contract duration for certain tickets to September 30, 2022, principally those tickets which were issued in 2020 and 2021. Additionally, tickets to certain international destinations have extended contract duration to December 31, 2022. American also has eliminated change fees for most domestic and international tickets providing more flexibility for customers to change travel plans. Given these changes and the uncertainty surrounding the future demand for air travel, American's estimates of revenue that will be recognized from the air traffic liability for future flown or unused tickets as well as its estimates of refunds may be subject to variability and differ from historical experience.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7"/>
                <w:szCs w:val="17"/>
                <w:color w:val="auto"/>
              </w:rPr>
            </w:pPr>
          </w:p>
        </w:tc>
        <w:tc>
          <w:tcPr>
            <w:tcW w:w="1600" w:type="dxa"/>
            <w:vAlign w:val="bottom"/>
          </w:tcPr>
          <w:p>
            <w:pPr>
              <w:jc w:val="right"/>
              <w:ind w:right="15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2.20%, installments through 2025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Term Loan Facility, variable interest rate of 2.20%, installments through 2027</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December 2016 Term Loan Facility, variable interest rate of 2.84%, installments through</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5.50% senior secured notes, installments beginning in July 2023 until due in April 2026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w w:val="99"/>
              </w:rPr>
              <w:t>AAdvantage Term Loan Facility, variable interest rate of 5.50%, installments beginning in July</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line="243" w:lineRule="exact"/>
              <w:rPr>
                <w:sz w:val="20"/>
                <w:szCs w:val="20"/>
                <w:color w:val="auto"/>
              </w:rPr>
            </w:pPr>
            <w:r>
              <w:rPr>
                <w:rFonts w:ascii="Arial" w:cs="Arial" w:eastAsia="Arial" w:hAnsi="Arial"/>
                <w:sz w:val="18"/>
                <w:szCs w:val="18"/>
                <w:color w:val="auto"/>
              </w:rPr>
              <w:t xml:space="preserve">2023 through April 2028 </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7.13%, averaging 3.81%, maturing from 2022 to 2034</w:t>
            </w:r>
          </w:p>
        </w:tc>
        <w:tc>
          <w:tcPr>
            <w:tcW w:w="26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43"/>
        </w:trPr>
        <w:tc>
          <w:tcPr>
            <w:tcW w:w="7560" w:type="dxa"/>
            <w:vAlign w:val="bottom"/>
          </w:tcPr>
          <w:p>
            <w:pPr>
              <w:ind w:left="300"/>
              <w:spacing w:after="0"/>
              <w:rPr>
                <w:sz w:val="20"/>
                <w:szCs w:val="20"/>
                <w:color w:val="auto"/>
              </w:rPr>
            </w:pPr>
            <w:r>
              <w:rPr>
                <w:rFonts w:ascii="Arial" w:cs="Arial" w:eastAsia="Arial" w:hAnsi="Arial"/>
                <w:sz w:val="18"/>
                <w:szCs w:val="18"/>
                <w:color w:val="auto"/>
              </w:rPr>
              <w:t>1.42% to 4.64%, averaging 2.12%, maturing from 2022 to 2032</w:t>
            </w:r>
          </w:p>
        </w:tc>
        <w:tc>
          <w:tcPr>
            <w:tcW w:w="26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2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7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from 2026 to 2036</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31,853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maturities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29,789</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3112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00"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Collectively referred to as the AAdvantage Financing.</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2022, the maximum availability under American's revolving credit and other facilities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has an undrawn $150 million short-term revolving credit facility, which was set to expire at the beginning of January 2022 but which has been extended through the beginning of January 2023. American also currently has approximately $70 million of available borrowing base under a cargo receivables facility that was entered into in December 2020 and is set to expire in December 2022. The December 2016 Credit Facilities provide for a revolving credit facility that may be established thereunder in the future.</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2022 Financing Activities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2021-1 Aircraft EETCs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November 2021, American created two pass-through trusts which issued approximately $960 million aggregate face amount of Series 2021-1 Class A and Class B EETCs (the 2021-1 Aircraft EETCs) in connection with the financing of 26 aircraft previously delivered or to be delivered to American through September 2022 (the 2021-1 Aircraft). In 2021, approximately $94 million of the proceeds had been used to purchase equipment notes issued by American in connection with the financing of five aircraft under the 2021-1 Aircraft EETCs, all of which was used to repay existing indebtedness. During the first quarter of 2022, approximately $367 million of proceeds had been used to purchase equipment notes issued by American in connection with the financing of nine aircraft under the 2021-1 Aircraft EETCs. Interest and principal payments on equipment notes issued in connection with the 2021-1 Aircraft EETCs are payable semi-annually in January and July each year, with interest payments scheduled to begin in July 2022 and with principal payments scheduled to begin in January 2023. The remaining proceeds of approximately $499 million as of March 31, 2022 were being held in escrow with a depositary for the benefit of the holders of the 2021-1 Aircraft EETCs until such time as American issues additional equipment notes with respect to the remaining 2021-1 Aircraft to the pass-through trusts, which will purchase such additional equipment notes with the escrowed funds. These escrowed funds are not guaranteed by American and are not reported as debt on its condensed consolidated balance sheets because the proceeds held by the depositary for the benefit of the holders of the 2021-1 Aircraft EETCs are not American’s assets.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the 2021-1 Aircraft EETC equipment notes, as of March 31, 2022, is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362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2021-1 Aircraft EETCs</w:t>
            </w:r>
          </w:p>
        </w:tc>
      </w:tr>
      <w:tr>
        <w:trPr>
          <w:trHeight w:val="210"/>
        </w:trPr>
        <w:tc>
          <w:tcPr>
            <w:tcW w:w="7620" w:type="dxa"/>
            <w:vAlign w:val="bottom"/>
          </w:tcPr>
          <w:p>
            <w:pPr>
              <w:spacing w:after="0"/>
              <w:rPr>
                <w:sz w:val="18"/>
                <w:szCs w:val="18"/>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Series A</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Series B</w:t>
            </w:r>
          </w:p>
        </w:tc>
      </w:tr>
      <w:tr>
        <w:trPr>
          <w:trHeight w:val="257"/>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principal issued</w:t>
            </w: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$758 million</w:t>
            </w:r>
          </w:p>
        </w:tc>
        <w:tc>
          <w:tcPr>
            <w:tcW w:w="8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 million</w:t>
            </w:r>
          </w:p>
        </w:tc>
      </w:tr>
      <w:tr>
        <w:trPr>
          <w:trHeight w:val="248"/>
        </w:trPr>
        <w:tc>
          <w:tcPr>
            <w:tcW w:w="7620" w:type="dxa"/>
            <w:vAlign w:val="bottom"/>
          </w:tcPr>
          <w:p>
            <w:pPr>
              <w:ind w:left="20"/>
              <w:spacing w:after="0"/>
              <w:rPr>
                <w:sz w:val="20"/>
                <w:szCs w:val="20"/>
                <w:color w:val="auto"/>
              </w:rPr>
            </w:pPr>
            <w:r>
              <w:rPr>
                <w:rFonts w:ascii="Arial" w:cs="Arial" w:eastAsia="Arial" w:hAnsi="Arial"/>
                <w:sz w:val="18"/>
                <w:szCs w:val="18"/>
                <w:color w:val="auto"/>
              </w:rPr>
              <w:t>Remaining escrowed proceeds</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$394 million</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$105 million</w:t>
            </w:r>
          </w:p>
        </w:tc>
      </w:tr>
      <w:tr>
        <w:trPr>
          <w:trHeight w:val="26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interest rate per annum</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2.875%</w:t>
            </w:r>
          </w:p>
        </w:tc>
        <w:tc>
          <w:tcPr>
            <w:tcW w:w="80" w:type="dxa"/>
            <w:vAlign w:val="bottom"/>
            <w:shd w:val="clear" w:color="auto" w:fill="CCEEFF"/>
          </w:tcPr>
          <w:p>
            <w:pPr>
              <w:spacing w:after="0"/>
              <w:rPr>
                <w:sz w:val="23"/>
                <w:szCs w:val="23"/>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3.95%</w:t>
            </w: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color w:val="auto"/>
              </w:rPr>
              <w:t>July 2034</w:t>
            </w: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July 2030</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December 31, 2021, American had approximately $17.1 billion of gross federal net operating losses (NOLs) and $2.4 billion of other carryforwards available to reduce future federal taxable income, of which $7.3 billion will expire beginning in 2024 if unused and $12.2 billion can be carried forward indefinitely. American is a member of AAG’s consolidated federal and certain state income tax returns. American also had approximately $6.0 billion of NOL carryforwards to reduce future state taxable income at December 31, 2021, which will expire in taxable years 2021 through 2041 if unused.</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presently has a $24 million valuation allowance on certain net deferred tax assets related to state NOL carryforwards. There can be no assurance that an additional valuation allowance on American's net deferred tax assets will not be required. Such valuation allowance could be material.</w:t>
      </w:r>
    </w:p>
    <w:p>
      <w:pPr>
        <w:spacing w:after="0" w:line="13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three months ended March 31, 2022 and 2021, American recorded an income tax benefit of $436 million and $314 million,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right="6540" w:hanging="252"/>
        <w:spacing w:after="0" w:line="364" w:lineRule="auto"/>
        <w:tabs>
          <w:tab w:leader="none" w:pos="217"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spacing w:after="0" w:line="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primarily utilize broker quotes in a non-active market for valuation of these securities. No changes in valuation techniques or inputs occurred during the three months ended March 31, 2022.</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4"/>
                <w:szCs w:val="14"/>
                <w:b w:val="1"/>
                <w:bCs w:val="1"/>
                <w:color w:val="auto"/>
              </w:rPr>
              <w:t>Fair Value Measurements as of March 31, 2022</w:t>
            </w:r>
          </w:p>
        </w:tc>
        <w:tc>
          <w:tcPr>
            <w:tcW w:w="1100" w:type="dxa"/>
            <w:vAlign w:val="bottom"/>
            <w:tcBorders>
              <w:bottom w:val="single" w:sz="8" w:color="auto"/>
            </w:tcBorders>
          </w:tcPr>
          <w:p>
            <w:pPr>
              <w:spacing w:after="0"/>
              <w:rPr>
                <w:sz w:val="17"/>
                <w:szCs w:val="17"/>
                <w:color w:val="auto"/>
              </w:rPr>
            </w:pPr>
          </w:p>
        </w:tc>
      </w:tr>
      <w:tr>
        <w:trPr>
          <w:trHeight w:val="196"/>
        </w:trPr>
        <w:tc>
          <w:tcPr>
            <w:tcW w:w="5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32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458</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12,093</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5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collateral associated with the payment of interest for the AAdvantage Financing and money market funds to be used to finance a substantial portion of the cost of the renovation and expansion of Terminal 8 at John F. Kennedy International Airport.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American's equity investments in China Southern Airlines and Vertical. These investments are reflected in other assets on the condensed consolidated balance sheets.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2022</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2021</w:t>
            </w:r>
          </w:p>
        </w:tc>
      </w:tr>
      <w:tr>
        <w:trPr>
          <w:trHeight w:val="147"/>
        </w:trPr>
        <w:tc>
          <w:tcPr>
            <w:tcW w:w="5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2"/>
                <w:szCs w:val="12"/>
                <w:color w:val="auto"/>
              </w:rPr>
            </w:pPr>
          </w:p>
        </w:tc>
        <w:tc>
          <w:tcPr>
            <w:tcW w:w="1020" w:type="dxa"/>
            <w:vAlign w:val="bottom"/>
            <w:gridSpan w:val="2"/>
          </w:tcPr>
          <w:p>
            <w:pPr>
              <w:jc w:val="center"/>
              <w:ind w:right="600"/>
              <w:spacing w:after="0" w:line="147"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2"/>
                <w:szCs w:val="12"/>
                <w:color w:val="auto"/>
              </w:rPr>
            </w:pPr>
          </w:p>
        </w:tc>
        <w:tc>
          <w:tcPr>
            <w:tcW w:w="1100" w:type="dxa"/>
            <w:vAlign w:val="bottom"/>
          </w:tcPr>
          <w:p>
            <w:pPr>
              <w:jc w:val="center"/>
              <w:ind w:right="242"/>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6"/>
                <w:szCs w:val="16"/>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6"/>
                <w:szCs w:val="16"/>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31,837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31,357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32,999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95"/>
        </w:trPr>
        <w:tc>
          <w:tcPr>
            <w:tcW w:w="58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net in the condensed consolidated statements of operations.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During the first quarter of 2021, American remeasured its retiree medical and other postretirement benefits to account for enhanced healthcare benefits provided to eligible team members who opted into voluntary early retirement programs offered as a result of reductions to its operation due to the COVID-19 pandemic. For the three months ended March 31, 2021, American recognized a $139 million special charge for these enhanced healthcare benefits and increased its postretirement benefits obligation by $139 million.</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On March 11, 2021, the American Rescue Plan Act of 2021 (the ARP) was enacted, which included funding relief provisions benefiting single employer qualified retirement benefit pension plans such as those sponsored by American. Based on the ARP provisions applicable to its pension plans, American will have no additional funding requirements until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209" w:lineRule="exact"/>
        <w:rPr>
          <w:sz w:val="20"/>
          <w:szCs w:val="20"/>
          <w:color w:val="auto"/>
        </w:rPr>
      </w:pPr>
    </w:p>
    <w:p>
      <w:pPr>
        <w:jc w:val="center"/>
        <w:ind w:left="1240"/>
        <w:spacing w:after="0"/>
        <w:rPr>
          <w:sz w:val="20"/>
          <w:szCs w:val="20"/>
          <w:color w:val="auto"/>
        </w:rPr>
      </w:pPr>
      <w:r>
        <w:rPr>
          <w:rFonts w:ascii="Arial" w:cs="Arial" w:eastAsia="Arial" w:hAnsi="Arial"/>
          <w:sz w:val="14"/>
          <w:szCs w:val="14"/>
          <w:b w:val="1"/>
          <w:bCs w:val="1"/>
          <w:color w:val="auto"/>
        </w:rPr>
        <w:t>Pension,</w:t>
      </w:r>
    </w:p>
    <w:p>
      <w:pPr>
        <w:jc w:val="center"/>
        <w:ind w:left="1240"/>
        <w:spacing w:after="0" w:line="221" w:lineRule="auto"/>
        <w:rPr>
          <w:sz w:val="20"/>
          <w:szCs w:val="20"/>
          <w:color w:val="auto"/>
        </w:rPr>
      </w:pPr>
      <w:r>
        <w:rPr>
          <w:rFonts w:ascii="Arial" w:cs="Arial" w:eastAsia="Arial" w:hAnsi="Arial"/>
          <w:sz w:val="14"/>
          <w:szCs w:val="14"/>
          <w:b w:val="1"/>
          <w:bCs w:val="1"/>
          <w:color w:val="auto"/>
        </w:rPr>
        <w:t>Retiree</w:t>
      </w:r>
    </w:p>
    <w:p>
      <w:pPr>
        <w:ind w:left="5840"/>
        <w:spacing w:after="0" w:line="221" w:lineRule="auto"/>
        <w:rPr>
          <w:sz w:val="20"/>
          <w:szCs w:val="20"/>
          <w:color w:val="auto"/>
        </w:rPr>
      </w:pPr>
      <w:r>
        <w:rPr>
          <w:rFonts w:ascii="Arial" w:cs="Arial" w:eastAsia="Arial" w:hAnsi="Arial"/>
          <w:sz w:val="14"/>
          <w:szCs w:val="14"/>
          <w:b w:val="1"/>
          <w:bCs w:val="1"/>
          <w:color w:val="auto"/>
        </w:rPr>
        <w:t>Medical and</w:t>
      </w:r>
    </w:p>
    <w:tbl>
      <w:tblPr>
        <w:tblLayout w:type="fixed"/>
        <w:tblInd w:w="0" w:type="dxa"/>
        <w:tblCellMar>
          <w:top w:w="0" w:type="dxa"/>
          <w:left w:w="0" w:type="dxa"/>
          <w:bottom w:w="0" w:type="dxa"/>
          <w:right w:w="0" w:type="dxa"/>
        </w:tblCellMar>
      </w:tblPr>
      <w:tr>
        <w:trPr>
          <w:trHeight w:val="131"/>
        </w:trPr>
        <w:tc>
          <w:tcPr>
            <w:tcW w:w="20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1"/>
                <w:szCs w:val="11"/>
                <w:color w:val="auto"/>
              </w:rPr>
            </w:pPr>
          </w:p>
        </w:tc>
        <w:tc>
          <w:tcPr>
            <w:tcW w:w="1120" w:type="dxa"/>
            <w:vAlign w:val="bottom"/>
          </w:tcPr>
          <w:p>
            <w:pPr>
              <w:jc w:val="center"/>
              <w:ind w:right="57"/>
              <w:spacing w:after="0" w:line="131" w:lineRule="exact"/>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Postretirement</w:t>
            </w: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on Investments</w:t>
            </w:r>
          </w:p>
        </w:tc>
        <w:tc>
          <w:tcPr>
            <w:tcW w:w="140" w:type="dxa"/>
            <w:vAlign w:val="bottom"/>
          </w:tcPr>
          <w:p>
            <w:pPr>
              <w:spacing w:after="0"/>
              <w:rPr>
                <w:sz w:val="16"/>
                <w:szCs w:val="16"/>
                <w:color w:val="auto"/>
              </w:rPr>
            </w:pPr>
          </w:p>
        </w:tc>
        <w:tc>
          <w:tcPr>
            <w:tcW w:w="1120" w:type="dxa"/>
            <w:vAlign w:val="bottom"/>
          </w:tcPr>
          <w:p>
            <w:pPr>
              <w:jc w:val="center"/>
              <w:ind w:right="57"/>
              <w:spacing w:after="0" w:line="189" w:lineRule="exact"/>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8"/>
                <w:szCs w:val="18"/>
                <w:b w:val="1"/>
                <w:bCs w:val="1"/>
                <w:color w:val="auto"/>
                <w:w w:val="98"/>
                <w:vertAlign w:val="superscript"/>
              </w:rPr>
              <w:t>(1)</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29"/>
        </w:trPr>
        <w:tc>
          <w:tcPr>
            <w:tcW w:w="560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benefit on the condensed consolidated statement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Amounts reclassified from AOCI</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80"/>
        </w:trPr>
        <w:tc>
          <w:tcPr>
            <w:tcW w:w="4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760" w:type="dxa"/>
            <w:vAlign w:val="bottom"/>
            <w:gridSpan w:val="3"/>
            <w:vMerge w:val="restart"/>
          </w:tcPr>
          <w:p>
            <w:pPr>
              <w:jc w:val="right"/>
              <w:ind w:right="216"/>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4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gridSpan w:val="3"/>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10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condensed consolidated</w:t>
            </w:r>
          </w:p>
        </w:tc>
        <w:tc>
          <w:tcPr>
            <w:tcW w:w="0" w:type="dxa"/>
            <w:vAlign w:val="bottom"/>
          </w:tcPr>
          <w:p>
            <w:pPr>
              <w:spacing w:after="0"/>
              <w:rPr>
                <w:sz w:val="1"/>
                <w:szCs w:val="1"/>
                <w:color w:val="auto"/>
              </w:rPr>
            </w:pPr>
          </w:p>
        </w:tc>
      </w:tr>
      <w:tr>
        <w:trPr>
          <w:trHeight w:val="198"/>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AOCI Components</w:t>
            </w:r>
          </w:p>
        </w:tc>
        <w:tc>
          <w:tcPr>
            <w:tcW w:w="420" w:type="dxa"/>
            <w:vAlign w:val="bottom"/>
          </w:tcPr>
          <w:p>
            <w:pPr>
              <w:spacing w:after="0"/>
              <w:rPr>
                <w:sz w:val="17"/>
                <w:szCs w:val="17"/>
                <w:color w:val="auto"/>
              </w:rPr>
            </w:pPr>
          </w:p>
        </w:tc>
        <w:tc>
          <w:tcPr>
            <w:tcW w:w="1340" w:type="dxa"/>
            <w:vAlign w:val="bottom"/>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300" w:type="dxa"/>
            <w:vAlign w:val="bottom"/>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169"/>
        </w:trPr>
        <w:tc>
          <w:tcPr>
            <w:tcW w:w="42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Amortization of pension, retiree medical and other</w:t>
            </w: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Nonoperating other income, net</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other income, net</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Substantially all of American's regional carrier arrangements are in the form of capacity purchase agreements. Expenses associated with American Eagle operations are classified as regional expenses on the condensed consolidated statements of operations.</w:t>
      </w:r>
    </w:p>
    <w:p>
      <w:pPr>
        <w:spacing w:after="0" w:line="12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Regional expenses for the three months ended March 31, 2022 and 2021 include $66 million and $68 million of depreciation and amortization, respectively, and $1 million and $2 million of aircraft rent, respectively.</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three months ended March 31, 2022 and 2021, American recognized $150 million and $127 million, respectively, of expense under its capacity purchase agreement with Republic Airways Inc. (Republic). American holds a 25% equity interest in Republic Airways Holdings Inc., the parent company of Republic.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Transactions with Related Parties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7"/>
                <w:szCs w:val="17"/>
                <w:color w:val="auto"/>
              </w:rPr>
            </w:pPr>
          </w:p>
        </w:tc>
        <w:tc>
          <w:tcPr>
            <w:tcW w:w="1620" w:type="dxa"/>
            <w:vAlign w:val="bottom"/>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752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AAG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center"/>
              <w:ind w:left="875"/>
              <w:spacing w:after="0"/>
              <w:rPr>
                <w:sz w:val="20"/>
                <w:szCs w:val="20"/>
                <w:color w:val="auto"/>
              </w:rPr>
            </w:pPr>
            <w:r>
              <w:rPr>
                <w:rFonts w:ascii="Arial" w:cs="Arial" w:eastAsia="Arial" w:hAnsi="Arial"/>
                <w:sz w:val="18"/>
                <w:szCs w:val="18"/>
                <w:color w:val="auto"/>
                <w:w w:val="97"/>
              </w:rPr>
              <w:t>8,073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7,613</w:t>
            </w:r>
          </w:p>
        </w:tc>
      </w:tr>
      <w:tr>
        <w:trPr>
          <w:trHeight w:val="230"/>
        </w:trPr>
        <w:tc>
          <w:tcPr>
            <w:tcW w:w="75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875"/>
              <w:spacing w:after="0"/>
              <w:rPr>
                <w:sz w:val="20"/>
                <w:szCs w:val="20"/>
                <w:color w:val="auto"/>
              </w:rPr>
            </w:pPr>
            <w:r>
              <w:rPr>
                <w:rFonts w:ascii="Arial" w:cs="Arial" w:eastAsia="Arial" w:hAnsi="Arial"/>
                <w:sz w:val="18"/>
                <w:szCs w:val="18"/>
                <w:color w:val="auto"/>
                <w:w w:val="98"/>
              </w:rPr>
              <w:t>(2,119)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915"/>
              <w:spacing w:after="0"/>
              <w:rPr>
                <w:sz w:val="20"/>
                <w:szCs w:val="20"/>
                <w:color w:val="auto"/>
              </w:rPr>
            </w:pPr>
            <w:r>
              <w:rPr>
                <w:rFonts w:ascii="Arial" w:cs="Arial" w:eastAsia="Arial" w:hAnsi="Arial"/>
                <w:sz w:val="18"/>
                <w:szCs w:val="18"/>
                <w:color w:val="auto"/>
              </w:rPr>
              <w:t>(2,066)</w:t>
            </w:r>
          </w:p>
        </w:tc>
      </w:tr>
      <w:tr>
        <w:trPr>
          <w:trHeight w:val="248"/>
        </w:trPr>
        <w:tc>
          <w:tcPr>
            <w:tcW w:w="7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center"/>
              <w:ind w:left="875"/>
              <w:spacing w:after="0"/>
              <w:rPr>
                <w:sz w:val="20"/>
                <w:szCs w:val="20"/>
                <w:color w:val="auto"/>
              </w:rPr>
            </w:pPr>
            <w:r>
              <w:rPr>
                <w:rFonts w:ascii="Arial" w:cs="Arial" w:eastAsia="Arial" w:hAnsi="Arial"/>
                <w:sz w:val="18"/>
                <w:szCs w:val="18"/>
                <w:color w:val="auto"/>
                <w:w w:val="97"/>
              </w:rPr>
              <w:t>5,954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97"/>
              </w:rPr>
              <w:t>5,547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The increase in American’s net related party receivable from AAG is primarily due to American providing the cash funding for AAG's repurchase of unsecured notes on the open market.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American reached a settlement agreement with the plaintiffs in the amount of $45 million to resolve all class claims in the U.S. lawsuits. That settlement was approved by the DC Court on May 13, 2019, however three parties who objected to the settlement have appealed that decision to the United States Court of Appeals for the District of Columbia. American believes these appeals are without merit and intends to vigorously defend against them.</w:t>
      </w:r>
    </w:p>
    <w:p>
      <w:pPr>
        <w:spacing w:after="0" w:line="1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United States Bankruptcy Court for the Southern District of New York (Bankruptcy Court). The complaint named as defendants US Airways Group, US Airways, Inc., AMR Corporation and American, alleged that the effect of the merger of US Airways Group and AMR Corporation (the Merger) may be to create a monopoly in violation of Section 7 of the Clayton Antitrust Act, and sought injunctive relief and/or divestiture. On November 27, 2013, the Bankruptcy Court denied plaintiffs’ motion to preliminarily enjoin the Merger. On August 29, 2018,</w:t>
      </w:r>
    </w:p>
    <w:p>
      <w:pPr>
        <w:sectPr>
          <w:pgSz w:w="11900" w:h="16838" w:orient="portrait"/>
          <w:cols w:equalWidth="0" w:num="1">
            <w:col w:w="11240"/>
          </w:cols>
          <w:pgMar w:left="320" w:top="122" w:right="3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American’s favor. On March 25, 2022, the U.S. District Court for the Southern District of New York entered judgment affirming the Bankruptcy Court's decision. American believes this lawsuit is without merit and intends to continue to vigorously defend against it, including against any further appeals by plaintiffs.</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(DOJ),</w:t>
      </w:r>
      <w:r>
        <w:rPr>
          <w:rFonts w:ascii="Arial" w:cs="Arial" w:eastAsia="Arial" w:hAnsi="Arial"/>
          <w:sz w:val="18"/>
          <w:szCs w:val="18"/>
          <w:i w:val="1"/>
          <w:iCs w:val="1"/>
          <w:color w:val="auto"/>
        </w:rPr>
        <w:t xml:space="preserve"> </w:t>
      </w:r>
      <w:r>
        <w:rPr>
          <w:rFonts w:ascii="Arial" w:cs="Arial" w:eastAsia="Arial" w:hAnsi="Arial"/>
          <w:sz w:val="18"/>
          <w:szCs w:val="18"/>
          <w:color w:val="auto"/>
        </w:rPr>
        <w:t>joined by Attorneys General from six states and the District of Columbia, filed an antitrust complaint against American and JetBlue Airways Corporation (JetBlue) alleging that American and JetBlue violated U.S. antitrust laws in connection with the previously disclosed Northeast Alliance arrangement (NEA). American believes this complaint is without merit and intends to defend against it vigorously.</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2021 (the 2021 Form 10-K). The information contained herein is not a comprehensive discussion and analysis of the financial condition and results of operations of AAG and American, but rather updates disclosures made in the 2021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Ongoing global vaccination efforts and the corresponding lifting of government restrictions in and between many markets resulted in a significant recovery in demand for air travel, with $8.9 billion of total revenue in the first quarter of 2022, a recovery of 84% as compared to the first quarter of 2019. The continued impact of the COVID-19 pandemic, including any increases in infection rates, new variants and renewed governmental action to slow the spread of COVID-19 cannot be estimated.</w:t>
      </w:r>
    </w:p>
    <w:p>
      <w:pPr>
        <w:spacing w:after="0" w:line="128"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Our capacity (as measured by available seat miles) continues to be reduced compared to pre-COVID-19 pandemic levels, with total capacity in the first quarter of 2022 down 10.7% as compared to the first quarter of 2019. Domestic capacity in the first quarter of 2022 was down 7.5% while international capacity was down 17.4% as compared to the first quarter of 2019.</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While demand for domestic and short-haul international markets has largely recovered to 2019 levels, uncertainty remains regarding the timing of a full recovery. We will continue to match our forward capacity with observed booking trends for future travel and make further adjustments to our capacity as needed.</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Liquidity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March 31, 2022, we had $15.5 billion in total available liquidity, consisting of $12.5 billion in unrestricted cash and short-term investments, $2.8 billion in undrawn capacity under revolving credit facilities and a total of $220 million in undrawn short-term revolving and other facilities.</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During the first three months of 2022, we completed the following financing transactions (see Note 5 to AAG’s Condensed Consolidated Financial Statements in Part I, Item 1A for further information):</w:t>
      </w:r>
    </w:p>
    <w:p>
      <w:pPr>
        <w:spacing w:after="0" w:line="99" w:lineRule="exact"/>
        <w:rPr>
          <w:sz w:val="20"/>
          <w:szCs w:val="20"/>
          <w:color w:val="auto"/>
        </w:rPr>
      </w:pPr>
    </w:p>
    <w:p>
      <w:pPr>
        <w:ind w:left="660" w:hanging="40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received approximately $367 million in proceeds from enhanced equipment trust certificates (EETCs); and</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repurchased $317 million of unsecured notes on the open market.</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covenants requiring us to meet certain loan to value, collateral coverage and/or peak debt service coverage ratios.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Given our current assumptions about the future impact of the COVID-19 pandemic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First Quarter 2022 Results</w:t>
      </w:r>
    </w:p>
    <w:p>
      <w:pPr>
        <w:spacing w:after="0" w:line="88"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center"/>
              <w:ind w:left="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93"/>
              <w:spacing w:after="0" w:line="121" w:lineRule="exact"/>
              <w:rPr>
                <w:sz w:val="20"/>
                <w:szCs w:val="20"/>
                <w:color w:val="auto"/>
              </w:rPr>
            </w:pPr>
            <w:r>
              <w:rPr>
                <w:rFonts w:ascii="Arial" w:cs="Arial" w:eastAsia="Arial" w:hAnsi="Arial"/>
                <w:sz w:val="13"/>
                <w:szCs w:val="13"/>
                <w:b w:val="1"/>
                <w:bCs w:val="1"/>
                <w:color w:val="auto"/>
              </w:rPr>
              <w:t>Increase</w:t>
            </w:r>
          </w:p>
        </w:tc>
        <w:tc>
          <w:tcPr>
            <w:tcW w:w="1260" w:type="dxa"/>
            <w:vAlign w:val="bottom"/>
          </w:tcPr>
          <w:p>
            <w:pPr>
              <w:jc w:val="center"/>
              <w:ind w:left="36"/>
              <w:spacing w:after="0" w:line="121"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7"/>
        </w:trPr>
        <w:tc>
          <w:tcPr>
            <w:tcW w:w="20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center"/>
              <w:ind w:left="36"/>
              <w:spacing w:after="0" w:line="197" w:lineRule="exact"/>
              <w:rPr>
                <w:sz w:val="20"/>
                <w:szCs w:val="20"/>
                <w:color w:val="auto"/>
              </w:rPr>
            </w:pPr>
            <w:r>
              <w:rPr>
                <w:rFonts w:ascii="Arial" w:cs="Arial" w:eastAsia="Arial" w:hAnsi="Arial"/>
                <w:sz w:val="14"/>
                <w:szCs w:val="14"/>
                <w:b w:val="1"/>
                <w:bCs w:val="1"/>
                <w:color w:val="auto"/>
                <w:w w:val="99"/>
              </w:rPr>
              <w:t xml:space="preserve">(Decrease) </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7"/>
          </w:tcPr>
          <w:p>
            <w:pPr>
              <w:jc w:val="right"/>
              <w:ind w:right="153"/>
              <w:spacing w:after="0"/>
              <w:rPr>
                <w:sz w:val="20"/>
                <w:szCs w:val="20"/>
                <w:color w:val="auto"/>
              </w:rPr>
            </w:pPr>
            <w:r>
              <w:rPr>
                <w:rFonts w:ascii="Arial" w:cs="Arial" w:eastAsia="Arial" w:hAnsi="Arial"/>
                <w:sz w:val="14"/>
                <w:szCs w:val="14"/>
                <w:b w:val="1"/>
                <w:bCs w:val="1"/>
                <w:color w:val="auto"/>
              </w:rPr>
              <w:t>(In millions, except percentage changes)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260" w:type="dxa"/>
            <w:vAlign w:val="bottom"/>
            <w:shd w:val="clear" w:color="auto" w:fill="CCEEFF"/>
          </w:tcPr>
          <w:p>
            <w:pPr>
              <w:jc w:val="center"/>
              <w:ind w:left="76"/>
              <w:spacing w:after="0" w:line="231"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(3)</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4,891</w:t>
            </w:r>
          </w:p>
        </w:tc>
        <w:tc>
          <w:tcPr>
            <w:tcW w:w="1260" w:type="dxa"/>
            <w:vAlign w:val="bottom"/>
          </w:tcPr>
          <w:p>
            <w:pPr>
              <w:jc w:val="center"/>
              <w:ind w:left="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loss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loss – GAAP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1260" w:type="dxa"/>
            <w:vAlign w:val="bottom"/>
            <w:tcBorders>
              <w:bottom w:val="single" w:sz="8" w:color="CCEEFF"/>
            </w:tcBorders>
          </w:tcPr>
          <w:p>
            <w:pPr>
              <w:jc w:val="center"/>
              <w:ind w:lef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loss excluding net special items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2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-2468245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-2468245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-2468245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6" w:lineRule="exact"/>
        <w:rPr>
          <w:sz w:val="20"/>
          <w:szCs w:val="20"/>
          <w:color w:val="auto"/>
        </w:rPr>
      </w:pPr>
    </w:p>
    <w:p>
      <w:pPr>
        <w:ind w:left="340" w:hanging="332"/>
        <w:spacing w:after="0" w:line="231"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net special items.</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Fluctuations may not be meaningful due to the volatility caused by the COVID-19 pandemic.</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Loss and Net Loss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Pre-tax loss and net loss were $2.1 billion and $1.6 billion, respectively, in the first quarter of 2022. This compares to first quarter 2021 pre-tax loss and net loss of $ 1.6 billion and $ 1.3 billion, respectively. The quarter-over-quarter increase in our pre-tax loss on a GAAP basis was driven by higher aircraft fuel and related taxes and other operating expenses, primarily as a result of a 64.7% increase in the average price per gallon of aircraft fuel and a 57.6% increase in capacity as compared to the first quarter of 2021. The first quarter of 2021 also includes the recognition of $ 1.9 billion of net special credits principally related to PSP Financial Assistance. These increases in operating expenses were offset in part by higher revenues driven by a significant recovery in domestic and short-haul international demand. See Note 2 to AAG's Condensed Consolidated Financial Statement in Part I, Item 1A for further information on net special items.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Excluding the effects of pre-tax net special items, pre-tax loss was $1.9 billion and $3.5 billion in the first quarter of 2022 and 2021, respectively. The quarter-over-quarter improvement in our pre-tax loss excluding pre-tax net special items was primarily due to higher revenues driven by a significant recovery in domestic and short-haul international demand, offset in part by an increase in our aircraft fuel and related taxes and other operating expenses primarily as a result of a 64.7% increase in the average price per gallon of aircraft fuel and a 57.6% increase in capacity as compared to the first quarter of 2021.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first quarter of 2022, we reported total operating revenues of $8.9 billion, an increase of $4.9 billion as compared to the first quarter of 2021. Passenger revenue was $7.8 billion in the first quarter of 2022, an increase of $4.6 billion as compared to the first quarter of 2021. The increase in passenger revenue in the first quarter of 2022 was due to a 97.2% increase in revenue passenger miles (RPMs) driven by a significant recovery in domestic and short-haul international demand, resulting in a 74.4% load factor in the first quarter of 2022.</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first quarter of 2022, cargo revenue was $364 million, an increase of $49 million, or 15.4%, as compared to the first quarter of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cargo revenue was primarily due to a 14.6% increase in cargo yield as a result of higher rates.</w:t>
      </w:r>
    </w:p>
    <w:p>
      <w:pPr>
        <w:spacing w:after="0" w:line="15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$203 million, or 39.6%, as compared to the first quarter of 2021, driven primarily by higher revenue associated with our loyalty program. During the three months ended March 31, 2022 and 2021, cash payments from co-branded credit card and other partners were $1.4 billion and $1.0 billion, respectively.</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total revenue per available seat mile (TRASM) was 14.95 cents in the first quarter of 2022, a 40.8% increase as compared to 10.61 cents in the first quarter of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Aircraft fuel expense was $2.5 billion in the first quarter of 2022, which was $1.5 billion higher as compared to the first quarter of 2021. This increase was primarily driven by a 64.7% increase in the average price per gallon of aircraft fuel including related taxes to $2.80 in the first quarter of 2022 from $1.70 in the first quarter of 2021 and a 47.0% increase in gallons of fuel consumed principally due to increased capacity.</w:t>
      </w:r>
    </w:p>
    <w:p>
      <w:pPr>
        <w:spacing w:after="0" w:line="1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March 31, 2022,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In particular, the onset of the COVID-19 pandemic resulted in a very rapid deterioration in general economic conditions.</w:t>
      </w:r>
    </w:p>
    <w:p>
      <w:pPr>
        <w:spacing w:after="0" w:line="11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2022 first quarter total operating cost per available seat mile (CASM) was 17.84 cents, an increase of 26.6%, from 14.09 cents in the first quarter of 2021. This increase in CASM was primarily driven by higher aircraft fuel and related taxes and other operating expenses as described above. In addition, the 2021 first quarter CASM includes the recognition of $1.9 billion of net special credits principally related to PSP Financial Assistance.</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2022 first quarter CASM excluding net special items and fuel was 13.38 cents, a decrease of 18.7%, from 16.45 cents in the first quarter of 2021. This decrease in CASM excluding net special items and fuel was primarily driven by higher capacity due to increased passenger demand as described above.</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 xml:space="preserve">For a reconciliation of CASM to CASM excluding net special items and fuel, see below </w:t>
      </w:r>
      <w:r>
        <w:rPr>
          <w:rFonts w:ascii="Arial" w:cs="Arial" w:eastAsia="Arial" w:hAnsi="Arial"/>
          <w:sz w:val="18"/>
          <w:szCs w:val="18"/>
          <w:i w:val="1"/>
          <w:iCs w:val="1"/>
          <w:color w:val="auto"/>
        </w:rPr>
        <w:t>“Reconciliation of GAAP to 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following table presents the reconciliation of pre-tax loss (GAAP measure) to pre-tax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72"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195"/>
        </w:trPr>
        <w:tc>
          <w:tcPr>
            <w:tcW w:w="20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6"/>
                <w:szCs w:val="16"/>
                <w:color w:val="auto"/>
              </w:rPr>
            </w:pPr>
          </w:p>
        </w:tc>
      </w:tr>
      <w:tr>
        <w:trPr>
          <w:trHeight w:val="231"/>
        </w:trPr>
        <w:tc>
          <w:tcPr>
            <w:tcW w:w="7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Loss Excluding Net Special Items:</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Pre-tax loss – GAAP</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29"/>
        </w:trPr>
        <w:tc>
          <w:tcPr>
            <w:tcW w:w="7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Operating special items,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(1,923)</w:t>
            </w:r>
          </w:p>
        </w:tc>
      </w:tr>
      <w:tr>
        <w:trPr>
          <w:trHeight w:val="230"/>
        </w:trPr>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Nonoperating special items, net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pre-tax net special items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loss excluding net special items</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80" w:type="dxa"/>
            <w:vAlign w:val="bottom"/>
            <w:tcBorders>
              <w:bottom w:val="single" w:sz="8" w:color="auto"/>
            </w:tcBorders>
          </w:tcPr>
          <w:p>
            <w:pPr>
              <w:spacing w:after="0"/>
              <w:rPr>
                <w:sz w:val="13"/>
                <w:szCs w:val="13"/>
                <w:color w:val="auto"/>
              </w:rPr>
            </w:pPr>
          </w:p>
        </w:tc>
        <w:tc>
          <w:tcPr>
            <w:tcW w:w="5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-1336675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jc w:val="center"/>
        <w:ind w:left="5520" w:right="600" w:hanging="5512"/>
        <w:spacing w:after="0" w:line="721" w:lineRule="auto"/>
        <w:tabs>
          <w:tab w:leader="none" w:pos="322"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and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fuel and net special items allows management an additional tool to understand and analyze our non-fuel costs and core operating performance. Amounts may not recalculate due to rounding.</w:t>
      </w:r>
    </w:p>
    <w:p>
      <w:pPr>
        <w:spacing w:after="0" w:line="99"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Borders>
              <w:bottom w:val="single" w:sz="8" w:color="CCEEFF"/>
            </w:tcBorders>
          </w:tcPr>
          <w:p>
            <w:pPr>
              <w:spacing w:after="0"/>
              <w:rPr>
                <w:sz w:val="17"/>
                <w:szCs w:val="17"/>
                <w:color w:val="auto"/>
              </w:rPr>
            </w:pPr>
          </w:p>
        </w:tc>
        <w:tc>
          <w:tcPr>
            <w:tcW w:w="54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210"/>
        </w:trPr>
        <w:tc>
          <w:tcPr>
            <w:tcW w:w="75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CASM Excluding Net Special Items and Fuel:</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95"/>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1"/>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r>
      <w:tr>
        <w:trPr>
          <w:trHeight w:val="229"/>
        </w:trPr>
        <w:tc>
          <w:tcPr>
            <w:tcW w:w="7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gridSpan w:val="2"/>
            <w:shd w:val="clear" w:color="auto" w:fill="CCEEFF"/>
          </w:tcPr>
          <w:p>
            <w:pPr>
              <w:jc w:val="center"/>
              <w:ind w:right="3860"/>
              <w:spacing w:after="0"/>
              <w:rPr>
                <w:sz w:val="20"/>
                <w:szCs w:val="20"/>
                <w:color w:val="auto"/>
              </w:rPr>
            </w:pPr>
            <w:r>
              <w:rPr>
                <w:rFonts w:ascii="Arial" w:cs="Arial" w:eastAsia="Arial" w:hAnsi="Arial"/>
                <w:sz w:val="18"/>
                <w:szCs w:val="18"/>
                <w:color w:val="auto"/>
                <w:w w:val="99"/>
              </w:rPr>
              <w:t>Mainline operating special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30"/>
        </w:trPr>
        <w:tc>
          <w:tcPr>
            <w:tcW w:w="7560" w:type="dxa"/>
            <w:vAlign w:val="bottom"/>
            <w:gridSpan w:val="2"/>
          </w:tcPr>
          <w:p>
            <w:pPr>
              <w:jc w:val="center"/>
              <w:ind w:right="3820"/>
              <w:spacing w:after="0"/>
              <w:rPr>
                <w:sz w:val="20"/>
                <w:szCs w:val="20"/>
                <w:color w:val="auto"/>
              </w:rPr>
            </w:pPr>
            <w:r>
              <w:rPr>
                <w:rFonts w:ascii="Arial" w:cs="Arial" w:eastAsia="Arial" w:hAnsi="Arial"/>
                <w:sz w:val="18"/>
                <w:szCs w:val="18"/>
                <w:color w:val="auto"/>
                <w:w w:val="99"/>
              </w:rPr>
              <w:t>Regional operating special items, net</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2080" w:type="dxa"/>
            <w:vAlign w:val="bottom"/>
            <w:shd w:val="clear" w:color="auto" w:fill="CCEEFF"/>
          </w:tcPr>
          <w:p>
            <w:pPr>
              <w:spacing w:after="0"/>
              <w:rPr>
                <w:sz w:val="15"/>
                <w:szCs w:val="15"/>
                <w:color w:val="auto"/>
              </w:rPr>
            </w:pPr>
          </w:p>
        </w:tc>
        <w:tc>
          <w:tcPr>
            <w:tcW w:w="54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59,533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37,764</w:t>
            </w:r>
          </w:p>
        </w:tc>
      </w:tr>
      <w:tr>
        <w:trPr>
          <w:trHeight w:val="203"/>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14.09</w:t>
            </w:r>
          </w:p>
        </w:tc>
      </w:tr>
      <w:tr>
        <w:trPr>
          <w:trHeight w:val="229"/>
        </w:trPr>
        <w:tc>
          <w:tcPr>
            <w:tcW w:w="75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Mainline operating special items,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29"/>
        </w:trPr>
        <w:tc>
          <w:tcPr>
            <w:tcW w:w="7560" w:type="dxa"/>
            <w:vAlign w:val="bottom"/>
            <w:gridSpan w:val="2"/>
            <w:shd w:val="clear" w:color="auto" w:fill="CCEEFF"/>
          </w:tcPr>
          <w:p>
            <w:pPr>
              <w:jc w:val="center"/>
              <w:ind w:right="3900"/>
              <w:spacing w:after="0"/>
              <w:rPr>
                <w:sz w:val="20"/>
                <w:szCs w:val="20"/>
                <w:color w:val="auto"/>
              </w:rPr>
            </w:pPr>
            <w:r>
              <w:rPr>
                <w:rFonts w:ascii="Arial" w:cs="Arial" w:eastAsia="Arial" w:hAnsi="Arial"/>
                <w:sz w:val="18"/>
                <w:szCs w:val="18"/>
                <w:color w:val="auto"/>
                <w:w w:val="99"/>
              </w:rPr>
              <w:t>Regional operating special items, net</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230"/>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48"/>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-2622550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jc w:val="center"/>
        <w:ind w:left="5520" w:right="600" w:hanging="5512"/>
        <w:spacing w:after="0" w:line="721" w:lineRule="auto"/>
        <w:tabs>
          <w:tab w:leader="none" w:pos="322"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29" w:lineRule="exact"/>
        <w:rPr>
          <w:sz w:val="20"/>
          <w:szCs w:val="20"/>
          <w:color w:val="auto"/>
        </w:rPr>
      </w:pPr>
    </w:p>
    <w:p>
      <w:pPr>
        <w:ind w:right="20" w:firstLine="243"/>
        <w:spacing w:after="0" w:line="287" w:lineRule="auto"/>
        <w:rPr>
          <w:sz w:val="20"/>
          <w:szCs w:val="20"/>
          <w:color w:val="auto"/>
        </w:rPr>
      </w:pPr>
      <w:r>
        <w:rPr>
          <w:rFonts w:ascii="Arial" w:cs="Arial" w:eastAsia="Arial" w:hAnsi="Arial"/>
          <w:sz w:val="18"/>
          <w:szCs w:val="18"/>
          <w:color w:val="auto"/>
        </w:rPr>
        <w:t>The table below sets forth selected operating data for the three months ended March 31, 2022 and 2021. Amounts may not recalculate due to rounding.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5"/>
        </w:trPr>
        <w:tc>
          <w:tcPr>
            <w:tcW w:w="752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5"/>
        </w:trPr>
        <w:tc>
          <w:tcPr>
            <w:tcW w:w="75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Increase</w:t>
            </w:r>
          </w:p>
        </w:tc>
      </w:tr>
      <w:tr>
        <w:trPr>
          <w:trHeight w:val="224"/>
        </w:trPr>
        <w:tc>
          <w:tcPr>
            <w:tcW w:w="7520" w:type="dxa"/>
            <w:vAlign w:val="bottom"/>
            <w:shd w:val="clear" w:color="auto" w:fill="CCEEFF"/>
          </w:tcPr>
          <w:p>
            <w:pPr>
              <w:ind w:left="180"/>
              <w:spacing w:after="0" w:line="224"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97.2%</w:t>
            </w:r>
          </w:p>
        </w:tc>
      </w:tr>
      <w:tr>
        <w:trPr>
          <w:trHeight w:val="229"/>
        </w:trPr>
        <w:tc>
          <w:tcPr>
            <w:tcW w:w="75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8"/>
                <w:szCs w:val="18"/>
                <w:color w:val="auto"/>
              </w:rPr>
              <w:t>59,533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37,764</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57.6%</w:t>
            </w:r>
          </w:p>
        </w:tc>
      </w:tr>
      <w:tr>
        <w:trPr>
          <w:trHeight w:val="229"/>
        </w:trPr>
        <w:tc>
          <w:tcPr>
            <w:tcW w:w="75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14.9pts</w:t>
            </w:r>
          </w:p>
        </w:tc>
      </w:tr>
      <w:tr>
        <w:trPr>
          <w:trHeight w:val="230"/>
        </w:trPr>
        <w:tc>
          <w:tcPr>
            <w:tcW w:w="75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116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14.15</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24.7%</w:t>
            </w:r>
          </w:p>
        </w:tc>
      </w:tr>
      <w:tr>
        <w:trPr>
          <w:trHeight w:val="229"/>
        </w:trPr>
        <w:tc>
          <w:tcPr>
            <w:tcW w:w="75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56.0%</w:t>
            </w:r>
          </w:p>
        </w:tc>
      </w:tr>
      <w:tr>
        <w:trPr>
          <w:trHeight w:val="229"/>
        </w:trPr>
        <w:tc>
          <w:tcPr>
            <w:tcW w:w="75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116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40.8%</w:t>
            </w:r>
          </w:p>
        </w:tc>
      </w:tr>
      <w:tr>
        <w:trPr>
          <w:trHeight w:val="230"/>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consumption (gallons in millions)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47.0%</w:t>
            </w:r>
          </w:p>
        </w:tc>
      </w:tr>
      <w:tr>
        <w:trPr>
          <w:trHeight w:val="229"/>
        </w:trPr>
        <w:tc>
          <w:tcPr>
            <w:tcW w:w="7520" w:type="dxa"/>
            <w:vAlign w:val="bottom"/>
          </w:tcPr>
          <w:p>
            <w:pPr>
              <w:ind w:left="18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1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97"/>
              </w:rPr>
              <w:t>64.7%</w:t>
            </w:r>
          </w:p>
        </w:tc>
      </w:tr>
      <w:tr>
        <w:trPr>
          <w:trHeight w:val="230"/>
        </w:trPr>
        <w:tc>
          <w:tcPr>
            <w:tcW w:w="75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26.6%</w:t>
            </w:r>
          </w:p>
        </w:tc>
      </w:tr>
      <w:tr>
        <w:trPr>
          <w:trHeight w:val="229"/>
        </w:trPr>
        <w:tc>
          <w:tcPr>
            <w:tcW w:w="75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116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1,399</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rPr>
              <w:t>3.9%</w:t>
            </w:r>
          </w:p>
        </w:tc>
      </w:tr>
      <w:tr>
        <w:trPr>
          <w:trHeight w:val="229"/>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113,200</w:t>
            </w:r>
          </w:p>
        </w:tc>
        <w:tc>
          <w:tcPr>
            <w:tcW w:w="12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7"/>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112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19"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Excludes 29 mainline aircraft and 12 regional aircraft that are in temporary storage at March 31, 2022 as follows: 29 Boeing 737-800, 11 Embraer 145 and one Embraer 170.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9"/>
          </w:tcPr>
          <w:p>
            <w:pPr>
              <w:jc w:val="center"/>
              <w:ind w:right="7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jc w:val="center"/>
              <w:ind w:left="115"/>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gridSpan w:val="2"/>
          </w:tcPr>
          <w:p>
            <w:pPr>
              <w:jc w:val="center"/>
              <w:ind w:right="29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ind w:left="400"/>
              <w:spacing w:after="0"/>
              <w:rPr>
                <w:sz w:val="20"/>
                <w:szCs w:val="20"/>
                <w:color w:val="auto"/>
              </w:rPr>
            </w:pPr>
            <w:r>
              <w:rPr>
                <w:rFonts w:ascii="Arial" w:cs="Arial" w:eastAsia="Arial" w:hAnsi="Arial"/>
                <w:sz w:val="14"/>
                <w:szCs w:val="14"/>
                <w:b w:val="1"/>
                <w:bCs w:val="1"/>
                <w:color w:val="auto"/>
              </w:rPr>
              <w:t>Increase</w:t>
            </w:r>
          </w:p>
        </w:tc>
        <w:tc>
          <w:tcPr>
            <w:tcW w:w="1000" w:type="dxa"/>
            <w:vAlign w:val="bottom"/>
            <w:gridSpan w:val="2"/>
          </w:tcPr>
          <w:p>
            <w:pPr>
              <w:jc w:val="center"/>
              <w:ind w:right="296"/>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380" w:type="dxa"/>
            <w:vAlign w:val="bottom"/>
            <w:tcBorders>
              <w:top w:val="single" w:sz="8" w:color="auto"/>
            </w:tcBorders>
            <w:gridSpan w:val="11"/>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7,818</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3,179</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Cargo</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19"/>
                <w:szCs w:val="19"/>
                <w:color w:val="auto"/>
              </w:rPr>
            </w:pPr>
          </w:p>
        </w:tc>
        <w:tc>
          <w:tcPr>
            <w:tcW w:w="1000" w:type="dxa"/>
            <w:vAlign w:val="bottom"/>
            <w:gridSpan w:val="2"/>
          </w:tcPr>
          <w:p>
            <w:pPr>
              <w:jc w:val="center"/>
              <w:ind w:right="296"/>
              <w:spacing w:after="0"/>
              <w:rPr>
                <w:sz w:val="20"/>
                <w:szCs w:val="20"/>
                <w:color w:val="auto"/>
              </w:rPr>
            </w:pPr>
            <w:r>
              <w:rPr>
                <w:rFonts w:ascii="Arial" w:cs="Arial" w:eastAsia="Arial" w:hAnsi="Arial"/>
                <w:sz w:val="18"/>
                <w:szCs w:val="18"/>
                <w:color w:val="auto"/>
                <w:w w:val="96"/>
              </w:rPr>
              <w:t>15.4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296"/>
              <w:spacing w:after="0"/>
              <w:rPr>
                <w:sz w:val="20"/>
                <w:szCs w:val="20"/>
                <w:color w:val="auto"/>
              </w:rPr>
            </w:pPr>
            <w:r>
              <w:rPr>
                <w:rFonts w:ascii="Arial" w:cs="Arial" w:eastAsia="Arial" w:hAnsi="Arial"/>
                <w:sz w:val="18"/>
                <w:szCs w:val="18"/>
                <w:color w:val="auto"/>
                <w:w w:val="96"/>
              </w:rPr>
              <w:t>39.6</w:t>
            </w:r>
          </w:p>
        </w:tc>
        <w:tc>
          <w:tcPr>
            <w:tcW w:w="0" w:type="dxa"/>
            <w:vAlign w:val="bottom"/>
          </w:tcPr>
          <w:p>
            <w:pPr>
              <w:spacing w:after="0"/>
              <w:rPr>
                <w:sz w:val="1"/>
                <w:szCs w:val="1"/>
                <w:color w:val="auto"/>
              </w:rPr>
            </w:pPr>
          </w:p>
        </w:tc>
      </w:tr>
      <w:tr>
        <w:trPr>
          <w:trHeight w:val="223"/>
        </w:trPr>
        <w:tc>
          <w:tcPr>
            <w:tcW w:w="416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8,899</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9"/>
                <w:szCs w:val="19"/>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60" w:type="dxa"/>
            <w:vAlign w:val="bottom"/>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9180" w:type="dxa"/>
            <w:vAlign w:val="bottom"/>
            <w:gridSpan w:val="17"/>
          </w:tcPr>
          <w:p>
            <w:pPr>
              <w:ind w:left="26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Increase</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vs. Three Months Ended March 31, 2021</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4"/>
          </w:tcPr>
          <w:p>
            <w:pPr>
              <w:jc w:val="center"/>
              <w:ind w:right="348"/>
              <w:spacing w:after="0" w:line="142" w:lineRule="exact"/>
              <w:rPr>
                <w:sz w:val="20"/>
                <w:szCs w:val="20"/>
                <w:color w:val="auto"/>
              </w:rPr>
            </w:pPr>
            <w:r>
              <w:rPr>
                <w:rFonts w:ascii="Arial" w:cs="Arial" w:eastAsia="Arial" w:hAnsi="Arial"/>
                <w:sz w:val="14"/>
                <w:szCs w:val="14"/>
                <w:b w:val="1"/>
                <w:bCs w:val="1"/>
                <w:color w:val="auto"/>
              </w:rPr>
              <w:t>Three Months Ended</w:t>
            </w:r>
          </w:p>
        </w:tc>
        <w:tc>
          <w:tcPr>
            <w:tcW w:w="6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RPMs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ASMs</w:t>
            </w:r>
          </w:p>
        </w:tc>
        <w:tc>
          <w:tcPr>
            <w:tcW w:w="1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Load</w:t>
            </w:r>
          </w:p>
        </w:tc>
        <w:tc>
          <w:tcPr>
            <w:tcW w:w="10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Passenger</w:t>
            </w:r>
          </w:p>
        </w:tc>
        <w:tc>
          <w:tcPr>
            <w:tcW w:w="100" w:type="dxa"/>
            <w:vAlign w:val="bottom"/>
          </w:tcPr>
          <w:p>
            <w:pPr>
              <w:spacing w:after="0"/>
              <w:rPr>
                <w:sz w:val="12"/>
                <w:szCs w:val="12"/>
                <w:color w:val="auto"/>
              </w:rPr>
            </w:pP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8"/>
              </w:rPr>
              <w:t>14.9pts</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24.7%</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-1910715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-1910715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-1910715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increased $4.6 billion in the first quarter of 2022 from the first quarter of 2021 primarily due to a 97.2% increase in RPMs driven by a significant recovery in domestic and short-haul international demand, resulting in a 74.4% load factor in the first quarter of 2022.</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increased $49 million, or 15.4%, in the first quarter of 2022 from the first quarter of 2021 primarily due to a 14.6% increase in cargo yield as a result of higher rates.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operating revenue increased $203 million, or 39.6%, as compared to the first quarter of 2021, driven primarily by higher revenue associated with our loyalty program.</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Total operating revenues in the first quarter of 2022 increased $4.9 billion from the first quarter of 2021 driven principally by the increase in passenger revenue as described above. Our TRASM increased 40.8% to 14.95 cents in the first quarter of 2022 from 10.61 cents in the first quarter of 2021.</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5"/>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Pr>
          <w:p>
            <w:pPr>
              <w:jc w:val="center"/>
              <w:ind w:left="33"/>
              <w:spacing w:after="0"/>
              <w:rPr>
                <w:sz w:val="20"/>
                <w:szCs w:val="20"/>
                <w:color w:val="auto"/>
              </w:rPr>
            </w:pPr>
            <w:r>
              <w:rPr>
                <w:rFonts w:ascii="Arial" w:cs="Arial" w:eastAsia="Arial" w:hAnsi="Arial"/>
                <w:sz w:val="14"/>
                <w:szCs w:val="14"/>
                <w:b w:val="1"/>
                <w:bCs w:val="1"/>
                <w:color w:val="auto"/>
              </w:rPr>
              <w:t>Percent</w:t>
            </w:r>
          </w:p>
        </w:tc>
      </w:tr>
      <w:tr>
        <w:trPr>
          <w:trHeight w:val="196"/>
        </w:trPr>
        <w:tc>
          <w:tcPr>
            <w:tcW w:w="5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Increase</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Increase</w:t>
            </w:r>
          </w:p>
        </w:tc>
      </w:tr>
      <w:tr>
        <w:trPr>
          <w:trHeight w:val="195"/>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4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5"/>
              </w:rPr>
              <w:t>nm</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rPr>
              <w:t>15.5</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rPr>
              <w:t>68.3</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rPr>
              <w:t>64.0</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rPr>
              <w:t>18.9</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5"/>
              </w:rPr>
              <w:t>0.7</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5"/>
              </w:rPr>
              <w:t>nm</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5"/>
              </w:rPr>
              <w:t>2.8</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4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5"/>
              </w:rPr>
              <w:t>nm</w:t>
            </w:r>
          </w:p>
        </w:tc>
      </w:tr>
      <w:tr>
        <w:trPr>
          <w:trHeight w:val="22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48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rPr>
              <w:t>79.5</w:t>
            </w:r>
          </w:p>
        </w:tc>
      </w:tr>
      <w:tr>
        <w:trPr>
          <w:trHeight w:val="248"/>
        </w:trPr>
        <w:tc>
          <w:tcPr>
            <w:tcW w:w="5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48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rPr>
              <w:t>99.6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-1782445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-1782445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-1782445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Total operating expenses increased $5.3 billion, or 99.6%, in the first quarter of 2022 from the first quarter of 2021 driven by higher aircraft fuel and related taxes and other expenses, primarily as a result of an increase in the average price per gallon of aircraft fuel and increased capacity, as well as an increase in net operating special items principally</w:t>
      </w:r>
    </w:p>
    <w:p>
      <w:pPr>
        <w:sectPr>
          <w:pgSz w:w="11900" w:h="16838" w:orient="portrait"/>
          <w:cols w:equalWidth="0" w:num="1">
            <w:col w:w="11240"/>
          </w:cols>
          <w:pgMar w:left="320" w:top="122"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related to the PSP Financial Assistance recognized as a net special credit in the first quarter of 2021. See further discussion of operating special items, net below.</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increased $1.5 billion in the first quarter of 2022 from the first quarter of 2021 primarily due to a 64.7% increase in the average price per gallon of aircraft fuel including related taxes to $2.80 in the first quarter of 2022 from $1.70 in the first quarter of 2021 and a 47.0% increase in gallons of fuel consumed principally due to increased capacity.</w:t>
      </w:r>
    </w:p>
    <w:p>
      <w:pPr>
        <w:spacing w:after="0" w:line="11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Salaries, wages and benefits increased $424 million, or 15.5%, in the first quarter of 2022 from the first quarter of 2021 primarily due to a 12.2% increase in full-time equivalent employees from the first quarter of 2021.</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$241 million, or 64.0%, in the first quarter of 2022 from the first quarter of 2021 primarily due to increased capacity and an increase in the volume of engine overhauls performed under time and material contracts where expense is incurred and recognized as maintenance is performed.</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Selling expenses increased $ 181 million in the first quarter of 2022 from the first quarter of 2021 due to higher credit card fees, commission expense and booking fees driven by the overall increase in revenues.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operating expenses increased $569 million, or 79.5%, in the first quarter of 2022 from the first quarter of 2021 primarily as a result of increased capacity and expenses associated with improving our product offerings, customer experience and operational reliability.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7"/>
                <w:szCs w:val="17"/>
                <w:color w:val="auto"/>
              </w:rPr>
            </w:pPr>
          </w:p>
        </w:tc>
      </w:tr>
      <w:tr>
        <w:trPr>
          <w:trHeight w:val="231"/>
        </w:trPr>
        <w:tc>
          <w:tcPr>
            <w:tcW w:w="776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(1,708)</w:t>
            </w:r>
          </w:p>
        </w:tc>
      </w:tr>
      <w:tr>
        <w:trPr>
          <w:trHeight w:val="270"/>
        </w:trPr>
        <w:tc>
          <w:tcPr>
            <w:tcW w:w="77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7760" w:type="dxa"/>
            <w:vAlign w:val="bottom"/>
          </w:tcPr>
          <w:p>
            <w:pPr>
              <w:ind w:left="220"/>
              <w:spacing w:after="0"/>
              <w:rPr>
                <w:sz w:val="20"/>
                <w:szCs w:val="20"/>
                <w:color w:val="auto"/>
              </w:rPr>
            </w:pPr>
            <w:r>
              <w:rPr>
                <w:rFonts w:ascii="Arial" w:cs="Arial" w:eastAsia="Arial" w:hAnsi="Arial"/>
                <w:sz w:val="18"/>
                <w:szCs w:val="18"/>
                <w:color w:val="auto"/>
              </w:rPr>
              <w:t>Operating special items, net</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r>
      <w:tr>
        <w:trPr>
          <w:trHeight w:val="20"/>
        </w:trPr>
        <w:tc>
          <w:tcPr>
            <w:tcW w:w="7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-1971040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Fleet impairment in the first quarter of 2022 included a non-cash impairment charge to write down the carrying value of our retired Airbus A330 fleet to the estimated fair value due to current market conditions for certain used aircraft. We retired our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in the first quarter of 2021 included a non-cash impairment charge to write down regional aircraft resulting from the retirement of the remaining Embraer 140 fleet earlier than planned.</w:t>
      </w:r>
    </w:p>
    <w:p>
      <w:pPr>
        <w:spacing w:after="0" w:line="9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the U.S. Department of Treasury pursuant to the payroll support program established under the PSP Extension Law.</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 Cash payments primarily associated with our voluntary early retirement programs were approximately $90 million and $170 million for the first quarter of 2022 and 2021,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60" w:type="dxa"/>
            <w:vAlign w:val="bottom"/>
            <w:gridSpan w:val="3"/>
            <w:vMerge w:val="restart"/>
          </w:tcPr>
          <w:p>
            <w:pPr>
              <w:jc w:val="right"/>
              <w:ind w:right="599"/>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right"/>
              <w:ind w:right="317"/>
              <w:spacing w:after="0" w:line="118" w:lineRule="exact"/>
              <w:rPr>
                <w:sz w:val="20"/>
                <w:szCs w:val="20"/>
                <w:color w:val="auto"/>
              </w:rPr>
            </w:pPr>
            <w:r>
              <w:rPr>
                <w:rFonts w:ascii="Arial" w:cs="Arial" w:eastAsia="Arial" w:hAnsi="Arial"/>
                <w:sz w:val="13"/>
                <w:szCs w:val="13"/>
                <w:b w:val="1"/>
                <w:bCs w:val="1"/>
                <w:color w:val="auto"/>
              </w:rPr>
              <w:t>Increase</w:t>
            </w:r>
          </w:p>
        </w:tc>
        <w:tc>
          <w:tcPr>
            <w:tcW w:w="1480" w:type="dxa"/>
            <w:vAlign w:val="bottom"/>
          </w:tcPr>
          <w:p>
            <w:pPr>
              <w:jc w:val="center"/>
              <w:ind w:left="1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8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480" w:type="dxa"/>
            <w:vAlign w:val="bottom"/>
          </w:tcPr>
          <w:p>
            <w:pPr>
              <w:jc w:val="right"/>
              <w:ind w:right="438"/>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8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524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80" w:type="dxa"/>
            <w:vAlign w:val="bottom"/>
          </w:tcPr>
          <w:p>
            <w:pPr>
              <w:jc w:val="right"/>
              <w:ind w:right="438"/>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-762000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Interest expense, net increased in the first quarter of 2022 compared to the first quarter of 2021 primarily due to the impact of the AAdvantage Financing issued at the end of the first quarter of 2021, which improved our liquidity position in response to the COVID-19 pandemic.</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In the first quarter of 2022, other nonoperating income, net primarily included $106 million of non-service related pension and other postretirement benefit plan income.</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first quarter of 2021, other nonoperating income, net included $87 million of non-service related pension and other postretirement benefit plan income and $23 million of net special credits principally for mark-to-market net unrealized gains associated with our equity investment in China Southern Airlines and other instruments, offset in part by non-cash charges associated with debt refinancings and extinguishments.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first quarter of 2022, we recorded an income tax benefit of $451 million. Substantially all of our income or loss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38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5"/>
        </w:trPr>
        <w:tc>
          <w:tcPr>
            <w:tcW w:w="5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20" w:type="dxa"/>
            <w:vAlign w:val="bottom"/>
          </w:tcPr>
          <w:p>
            <w:pPr>
              <w:jc w:val="center"/>
              <w:ind w:left="16"/>
              <w:spacing w:after="0"/>
              <w:rPr>
                <w:sz w:val="20"/>
                <w:szCs w:val="20"/>
                <w:color w:val="auto"/>
              </w:rPr>
            </w:pPr>
            <w:r>
              <w:rPr>
                <w:rFonts w:ascii="Arial" w:cs="Arial" w:eastAsia="Arial" w:hAnsi="Arial"/>
                <w:sz w:val="14"/>
                <w:szCs w:val="14"/>
                <w:b w:val="1"/>
                <w:bCs w:val="1"/>
                <w:color w:val="auto"/>
              </w:rPr>
              <w:t>Percent</w:t>
            </w:r>
          </w:p>
        </w:tc>
      </w:tr>
      <w:tr>
        <w:trPr>
          <w:trHeight w:val="196"/>
        </w:trPr>
        <w:tc>
          <w:tcPr>
            <w:tcW w:w="52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Increase</w:t>
            </w:r>
          </w:p>
        </w:tc>
        <w:tc>
          <w:tcPr>
            <w:tcW w:w="152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Increase</w:t>
            </w:r>
          </w:p>
        </w:tc>
      </w:tr>
      <w:tr>
        <w:trPr>
          <w:trHeight w:val="195"/>
        </w:trPr>
        <w:tc>
          <w:tcPr>
            <w:tcW w:w="5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20" w:type="dxa"/>
            <w:vAlign w:val="bottom"/>
          </w:tcPr>
          <w:p>
            <w:pPr>
              <w:spacing w:after="0"/>
              <w:rPr>
                <w:sz w:val="16"/>
                <w:szCs w:val="16"/>
                <w:color w:val="auto"/>
              </w:rPr>
            </w:pPr>
          </w:p>
        </w:tc>
      </w:tr>
      <w:tr>
        <w:trPr>
          <w:trHeight w:val="231"/>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7,818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3,179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52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rPr>
              <w:t>nm</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Cargo</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520" w:type="dxa"/>
            <w:vAlign w:val="bottom"/>
          </w:tcPr>
          <w:p>
            <w:pPr>
              <w:jc w:val="center"/>
              <w:ind w:left="16"/>
              <w:spacing w:after="0"/>
              <w:rPr>
                <w:sz w:val="20"/>
                <w:szCs w:val="20"/>
                <w:color w:val="auto"/>
              </w:rPr>
            </w:pPr>
            <w:r>
              <w:rPr>
                <w:rFonts w:ascii="Arial" w:cs="Arial" w:eastAsia="Arial" w:hAnsi="Arial"/>
                <w:sz w:val="18"/>
                <w:szCs w:val="18"/>
                <w:color w:val="auto"/>
                <w:w w:val="96"/>
              </w:rPr>
              <w:t>15.4</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52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6"/>
              </w:rPr>
              <w:t>39.1</w:t>
            </w: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Total operating revenues</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8,896</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w:t>
            </w:r>
          </w:p>
        </w:tc>
        <w:tc>
          <w:tcPr>
            <w:tcW w:w="1520" w:type="dxa"/>
            <w:vAlign w:val="bottom"/>
          </w:tcPr>
          <w:p>
            <w:pPr>
              <w:jc w:val="center"/>
              <w:ind w:left="16"/>
              <w:spacing w:after="0"/>
              <w:rPr>
                <w:sz w:val="20"/>
                <w:szCs w:val="20"/>
                <w:color w:val="auto"/>
              </w:rPr>
            </w:pPr>
            <w:r>
              <w:rPr>
                <w:rFonts w:ascii="Arial" w:cs="Arial" w:eastAsia="Arial" w:hAnsi="Arial"/>
                <w:sz w:val="18"/>
                <w:szCs w:val="18"/>
                <w:color w:val="auto"/>
              </w:rPr>
              <w:t>nm</w:t>
            </w:r>
          </w:p>
        </w:tc>
      </w:tr>
      <w:tr>
        <w:trPr>
          <w:trHeight w:val="21"/>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-762635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-762635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-762635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Passenger revenue increased $4.6 billion in the first quarter of 2022 from the first quarter of 2021 primarily due to an increase in RPMs driven by a significant recovery in domestic and short-haul international demand, resulting in an increased load factor in the first quarter of 2022.</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Cargo revenue increased $49 million, or 15.4%, in the first quarter of 2022 from the first quarter of 2021 primarily due to an increase in cargo yield as a result of higher rates.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operating revenue increased $200 million, or 39.1%, as compared to the first quarter of 2021, driven primarily by higher revenue associated with American's loyalty program.</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Total operating revenues in the first quarter of 2022 increased $4.9 billion from the first quarter of 2021 driven principally by the increase in passenger revenue as described above.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9"/>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20" w:type="dxa"/>
            <w:vAlign w:val="bottom"/>
          </w:tcPr>
          <w:p>
            <w:pPr>
              <w:jc w:val="center"/>
              <w:ind w:left="13"/>
              <w:spacing w:after="0"/>
              <w:rPr>
                <w:sz w:val="20"/>
                <w:szCs w:val="20"/>
                <w:color w:val="auto"/>
              </w:rPr>
            </w:pPr>
            <w:r>
              <w:rPr>
                <w:rFonts w:ascii="Arial" w:cs="Arial" w:eastAsia="Arial" w:hAnsi="Arial"/>
                <w:sz w:val="14"/>
                <w:szCs w:val="14"/>
                <w:b w:val="1"/>
                <w:bCs w:val="1"/>
                <w:color w:val="auto"/>
              </w:rPr>
              <w:t>Percent</w:t>
            </w:r>
          </w:p>
        </w:tc>
      </w:tr>
      <w:tr>
        <w:trPr>
          <w:trHeight w:val="196"/>
        </w:trPr>
        <w:tc>
          <w:tcPr>
            <w:tcW w:w="5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Increase</w:t>
            </w:r>
          </w:p>
        </w:tc>
        <w:tc>
          <w:tcPr>
            <w:tcW w:w="152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Increase</w:t>
            </w:r>
          </w:p>
        </w:tc>
      </w:tr>
      <w:tr>
        <w:trPr>
          <w:trHeight w:val="195"/>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20" w:type="dxa"/>
            <w:vAlign w:val="bottom"/>
          </w:tcPr>
          <w:p>
            <w:pPr>
              <w:spacing w:after="0"/>
              <w:rPr>
                <w:sz w:val="16"/>
                <w:szCs w:val="16"/>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5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rPr>
              <w:t>nm</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w:t>
            </w:r>
          </w:p>
        </w:tc>
        <w:tc>
          <w:tcPr>
            <w:tcW w:w="1520" w:type="dxa"/>
            <w:vAlign w:val="bottom"/>
          </w:tcPr>
          <w:p>
            <w:pPr>
              <w:jc w:val="center"/>
              <w:ind w:left="13"/>
              <w:spacing w:after="0"/>
              <w:rPr>
                <w:sz w:val="20"/>
                <w:szCs w:val="20"/>
                <w:color w:val="auto"/>
              </w:rPr>
            </w:pPr>
            <w:r>
              <w:rPr>
                <w:rFonts w:ascii="Arial" w:cs="Arial" w:eastAsia="Arial" w:hAnsi="Arial"/>
                <w:sz w:val="18"/>
                <w:szCs w:val="18"/>
                <w:color w:val="auto"/>
                <w:w w:val="96"/>
              </w:rPr>
              <w:t>15.5</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5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6"/>
              </w:rPr>
              <w:t>63.8</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w:t>
            </w:r>
          </w:p>
        </w:tc>
        <w:tc>
          <w:tcPr>
            <w:tcW w:w="1520" w:type="dxa"/>
            <w:vAlign w:val="bottom"/>
          </w:tcPr>
          <w:p>
            <w:pPr>
              <w:jc w:val="center"/>
              <w:ind w:left="13"/>
              <w:spacing w:after="0"/>
              <w:rPr>
                <w:sz w:val="20"/>
                <w:szCs w:val="20"/>
                <w:color w:val="auto"/>
              </w:rPr>
            </w:pPr>
            <w:r>
              <w:rPr>
                <w:rFonts w:ascii="Arial" w:cs="Arial" w:eastAsia="Arial" w:hAnsi="Arial"/>
                <w:sz w:val="18"/>
                <w:szCs w:val="18"/>
                <w:color w:val="auto"/>
                <w:w w:val="96"/>
              </w:rPr>
              <w:t>64.0</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5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6"/>
              </w:rPr>
              <w:t>18.9</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520" w:type="dxa"/>
            <w:vAlign w:val="bottom"/>
          </w:tcPr>
          <w:p>
            <w:pPr>
              <w:jc w:val="center"/>
              <w:ind w:left="13"/>
              <w:spacing w:after="0"/>
              <w:rPr>
                <w:sz w:val="20"/>
                <w:szCs w:val="20"/>
                <w:color w:val="auto"/>
              </w:rPr>
            </w:pPr>
            <w:r>
              <w:rPr>
                <w:rFonts w:ascii="Arial" w:cs="Arial" w:eastAsia="Arial" w:hAnsi="Arial"/>
                <w:sz w:val="18"/>
                <w:szCs w:val="18"/>
                <w:color w:val="auto"/>
              </w:rPr>
              <w:t>0.7</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5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rPr>
              <w:t>nm</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520" w:type="dxa"/>
            <w:vAlign w:val="bottom"/>
          </w:tcPr>
          <w:p>
            <w:pPr>
              <w:jc w:val="center"/>
              <w:ind w:left="13"/>
              <w:spacing w:after="0"/>
              <w:rPr>
                <w:sz w:val="20"/>
                <w:szCs w:val="20"/>
                <w:color w:val="auto"/>
              </w:rPr>
            </w:pPr>
            <w:r>
              <w:rPr>
                <w:rFonts w:ascii="Arial" w:cs="Arial" w:eastAsia="Arial" w:hAnsi="Arial"/>
                <w:sz w:val="18"/>
                <w:szCs w:val="18"/>
                <w:color w:val="auto"/>
              </w:rPr>
              <w:t>2.8</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5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rPr>
              <w:t>nm</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520" w:type="dxa"/>
            <w:vAlign w:val="bottom"/>
            <w:tcBorders>
              <w:bottom w:val="single" w:sz="8" w:color="CCEEFF"/>
            </w:tcBorders>
          </w:tcPr>
          <w:p>
            <w:pPr>
              <w:jc w:val="center"/>
              <w:ind w:left="13"/>
              <w:spacing w:after="0"/>
              <w:rPr>
                <w:sz w:val="20"/>
                <w:szCs w:val="20"/>
                <w:color w:val="auto"/>
              </w:rPr>
            </w:pPr>
            <w:r>
              <w:rPr>
                <w:rFonts w:ascii="Arial" w:cs="Arial" w:eastAsia="Arial" w:hAnsi="Arial"/>
                <w:sz w:val="18"/>
                <w:szCs w:val="18"/>
                <w:color w:val="auto"/>
                <w:w w:val="96"/>
              </w:rPr>
              <w:t>79.3</w:t>
            </w:r>
          </w:p>
        </w:tc>
      </w:tr>
      <w:tr>
        <w:trPr>
          <w:trHeight w:val="248"/>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5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6"/>
              </w:rPr>
              <w:t>99.0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-1782445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-1782445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-1782445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Total operating expenses increased $5.3 billion, or 99.0%, in the first quarter of 2022 from the first quarter of 2021 driven by higher aircraft fuel and related taxes and other expenses, primarily as a result of an increase in the average price per gallon of aircraft fuel and increased capacity, as well as an increase in net operating special items principally related to the PSP Financial Assistance recognized as a net special credit in the first quarter of 2021. See further discussion of operating special items, net below.</w:t>
      </w:r>
    </w:p>
    <w:p>
      <w:pPr>
        <w:spacing w:after="0" w:line="12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Aircraft fuel and related taxes increased $1.5 billion in the first quarter of 2022 from the first quarter of 2021 primarily due to a 64.7% increase in the average price per gallon of aircraft fuel including related taxes to $2.80 in the first quarter of 2022 from $1.70 in the first quarter of 2021 and a 47.0% increase in gallons of fuel consumed principally due to increased capacity.</w:t>
      </w:r>
    </w:p>
    <w:p>
      <w:pPr>
        <w:sectPr>
          <w:pgSz w:w="11900" w:h="16838" w:orient="portrait"/>
          <w:cols w:equalWidth="0" w:num="1">
            <w:col w:w="11240"/>
          </w:cols>
          <w:pgMar w:left="320" w:top="122"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Salaries, wages and benefits increased $423 million, or 15.5%, in the first quarter of 2022 from the first quarter of 2021 primarily due to an increase in full-time equivalent employees from the first quarter of 2021.</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materials and repairs increased $241 million, or 64.0%, in the first quarter of 2022 from the first quarter of 2021 primarily due to increased capacity and an increase in the volume of engine overhauls performed under time and material contracts where expense is incurred and recognized as maintenance is performed.</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Selling expenses increased $ 181 million in the first quarter of 2022 from the first quarter of 2021 due to higher credit card fees, commission expense and booking fees driven by the overall increase in revenues.</w:t>
      </w:r>
    </w:p>
    <w:p>
      <w:pPr>
        <w:spacing w:after="0" w:line="9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Other operating expenses increased $569 million, or 79.3%, in the first quarter of 2022 from the first quarter of 2021 primarily as a result of increased capacity and expenses associated with improving our product offerings, customer experience and operational reliability.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r>
      <w:tr>
        <w:trPr>
          <w:trHeight w:val="196"/>
        </w:trPr>
        <w:tc>
          <w:tcPr>
            <w:tcW w:w="7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7"/>
                <w:szCs w:val="17"/>
                <w:color w:val="auto"/>
              </w:rPr>
            </w:pPr>
          </w:p>
        </w:tc>
      </w:tr>
      <w:tr>
        <w:trPr>
          <w:trHeight w:val="231"/>
        </w:trPr>
        <w:tc>
          <w:tcPr>
            <w:tcW w:w="776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(1,708)</w:t>
            </w:r>
          </w:p>
        </w:tc>
      </w:tr>
      <w:tr>
        <w:trPr>
          <w:trHeight w:val="270"/>
        </w:trPr>
        <w:tc>
          <w:tcPr>
            <w:tcW w:w="77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(2)</w:t>
            </w:r>
          </w:p>
        </w:tc>
        <w:tc>
          <w:tcPr>
            <w:tcW w:w="11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(1)</w:t>
            </w:r>
          </w:p>
        </w:tc>
        <w:tc>
          <w:tcPr>
            <w:tcW w:w="1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Regional operating special items, net</w:t>
            </w:r>
          </w:p>
        </w:tc>
        <w:tc>
          <w:tcPr>
            <w:tcW w:w="1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48"/>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special items,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-1824990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Fleet impairment in the first quarter of 2022 included a non-cash impairment charge to write down the carrying value of American's retired Airbus A330 fleet to the estimated fair value due to current market conditions for certain used aircraft. American retired its Airbus A330 fleet in 2020 as a result of the decline in demand for air travel due to the COVID-19 pandemic.</w:t>
      </w:r>
    </w:p>
    <w:p>
      <w:pPr>
        <w:spacing w:after="0" w:line="140" w:lineRule="exact"/>
        <w:rPr>
          <w:rFonts w:ascii="Arial" w:cs="Arial" w:eastAsia="Arial" w:hAnsi="Arial"/>
          <w:sz w:val="23"/>
          <w:szCs w:val="23"/>
          <w:color w:val="auto"/>
          <w:vertAlign w:val="superscript"/>
        </w:rPr>
      </w:pPr>
    </w:p>
    <w:p>
      <w:pPr>
        <w:ind w:left="340"/>
        <w:spacing w:after="0" w:line="287"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in the first quarter of 2021 included a non-cash impairment charge to write down regional aircraft resulting from the retirement of the remaining Embraer 140 fleet earlier than planned.</w:t>
      </w:r>
    </w:p>
    <w:p>
      <w:pPr>
        <w:spacing w:after="0" w:line="17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the U.S. Department of Treasury pursuant to the payroll support program established under the PSP Extension Law.</w:t>
      </w:r>
    </w:p>
    <w:p>
      <w:pPr>
        <w:spacing w:after="0" w:line="140" w:lineRule="exact"/>
        <w:rPr>
          <w:rFonts w:ascii="Arial" w:cs="Arial" w:eastAsia="Arial" w:hAnsi="Arial"/>
          <w:sz w:val="23"/>
          <w:szCs w:val="23"/>
          <w:color w:val="auto"/>
          <w:vertAlign w:val="superscript"/>
        </w:rPr>
      </w:pPr>
    </w:p>
    <w:p>
      <w:pPr>
        <w:jc w:val="both"/>
        <w:ind w:left="340" w:hanging="332"/>
        <w:spacing w:after="0"/>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American's operation due to the COVID-19 pandemic. Cash payments primarily associated with American's voluntary early retirement programs were approximately $90 million and $170 million for the first quarter of 2022 and 2021,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5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80" w:type="dxa"/>
            <w:vAlign w:val="bottom"/>
            <w:gridSpan w:val="3"/>
            <w:vMerge w:val="restart"/>
          </w:tcPr>
          <w:p>
            <w:pPr>
              <w:jc w:val="right"/>
              <w:ind w:right="599"/>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52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ind w:right="297"/>
              <w:spacing w:after="0" w:line="118" w:lineRule="exact"/>
              <w:rPr>
                <w:sz w:val="20"/>
                <w:szCs w:val="20"/>
                <w:color w:val="auto"/>
              </w:rPr>
            </w:pPr>
            <w:r>
              <w:rPr>
                <w:rFonts w:ascii="Arial" w:cs="Arial" w:eastAsia="Arial" w:hAnsi="Arial"/>
                <w:sz w:val="13"/>
                <w:szCs w:val="13"/>
                <w:b w:val="1"/>
                <w:bCs w:val="1"/>
                <w:color w:val="auto"/>
              </w:rPr>
              <w:t>Increase</w:t>
            </w:r>
          </w:p>
        </w:tc>
        <w:tc>
          <w:tcPr>
            <w:tcW w:w="1500" w:type="dxa"/>
            <w:vAlign w:val="bottom"/>
          </w:tcPr>
          <w:p>
            <w:pPr>
              <w:jc w:val="center"/>
              <w:ind w:left="38"/>
              <w:spacing w:after="0" w:line="118" w:lineRule="exact"/>
              <w:rPr>
                <w:sz w:val="20"/>
                <w:szCs w:val="20"/>
                <w:color w:val="auto"/>
              </w:rPr>
            </w:pPr>
            <w:r>
              <w:rPr>
                <w:rFonts w:ascii="Arial" w:cs="Arial" w:eastAsia="Arial" w:hAnsi="Arial"/>
                <w:sz w:val="13"/>
                <w:szCs w:val="13"/>
                <w:b w:val="1"/>
                <w:bCs w:val="1"/>
                <w:color w:val="auto"/>
              </w:rPr>
              <w:t>Increase</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0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500" w:type="dxa"/>
            <w:vAlign w:val="bottom"/>
          </w:tcPr>
          <w:p>
            <w:pPr>
              <w:jc w:val="right"/>
              <w:ind w:right="438"/>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0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500" w:type="dxa"/>
            <w:vAlign w:val="bottom"/>
          </w:tcPr>
          <w:p>
            <w:pPr>
              <w:jc w:val="right"/>
              <w:ind w:right="438"/>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-788035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-788035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-788035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Interest expense, net increased in the first quarter of 2022 compared to the first quarter of 2021 primarily due to the impact of the AAdvantage Financing issued at the end of the first quarter of 2021, which improved American's liquidity position in response to the COVID-19 pandemic.</w:t>
      </w:r>
    </w:p>
    <w:p>
      <w:pPr>
        <w:spacing w:after="0" w:line="117"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In the first quarter of 2022, other nonoperating income, net primarily included $105 million of non-service related pension and other postretirement benefit plan income.</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first quarter of 2021, other nonoperating income, net included $87 million of non-service related pension and other postretirement benefit plan income and $ 23 million of net special credits principally for mark-to-market net unrealized gains associated with American's equity investment in China Southern Airlines and other instruments, offset in part by non-cash charges associated with debt refinancings and extinguishments.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In the first quarter of 2022, American recorded an income tax benefit of $436 million. Substantially all of American’s income or loss before income taxes is attributable to the United States.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March 31, 2022, AAG had $15.5 billion in total available liquidity and $952 million in restricted cash and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AAG</w:t>
            </w: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196"/>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7"/>
                <w:szCs w:val="17"/>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7"/>
                <w:szCs w:val="17"/>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r>
      <w:tr>
        <w:trPr>
          <w:trHeight w:val="223"/>
        </w:trPr>
        <w:tc>
          <w:tcPr>
            <w:tcW w:w="4120" w:type="dxa"/>
            <w:vAlign w:val="bottom"/>
          </w:tcPr>
          <w:p>
            <w:pPr>
              <w:ind w:left="240"/>
              <w:spacing w:after="0"/>
              <w:rPr>
                <w:sz w:val="20"/>
                <w:szCs w:val="20"/>
                <w:color w:val="auto"/>
              </w:rPr>
            </w:pPr>
            <w:r>
              <w:rPr>
                <w:rFonts w:ascii="Arial" w:cs="Arial" w:eastAsia="Arial" w:hAnsi="Arial"/>
                <w:sz w:val="18"/>
                <w:szCs w:val="18"/>
                <w:color w:val="auto"/>
              </w:rPr>
              <w:t>Total available liquidity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15,831</w:t>
            </w: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Given the actions we have taken in response to the COVID-19 pandemic and our assumptions about its future impact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contractual restrictions and other factors. The amounts involved may be material. For further information regarding our debt repurchases during the first quarter of 2022, see Note 5 to AAG's Condensed Consolidated Financial Statements in Part I, Item 1A.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Certain of our debt financing agreements (including our secured notes, term loans, revolving credit facilities and spare engine EETCs) contain loan to value (LTV), collateral coverage or peak debt service coverage ratio covenants and certain agreements require us to appraise the related collateral annually or semiannually. Pursuant to such agreements, if the applicable LTV, collateral coverage or peak debt service coverage ratio exceeds or falls below a specified threshold, as the case may be, we will be required, as applicable, to pledge additional qualifying collateral (which in some cases may include cash or investment securities), withhold additional cash in certain accounts, or to pay down such financing, in whole or in part, or the interest rate for the relevant financing will be increased. As of the most recent applicable measurement dates, we were in compliance with each of the foregoing LTV, collateral coverage and peak debt service coverage tests.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peak debt service coverage ratio, pursuant to which failure to comply with a certain threshold may result in early repayment, in whole or in part, of the AAdvantage Financing. For further information regarding our debt covenants, see Note 5 to AAG’s Condensed Consolidated Financial Statements in Part I, Item 1A and Note 4 to American’s Condensed Consolidated Financial Statements in Part I, Item 1B.</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net cash provided by operating activities was $1.2 billion and $174 million for the first quarter of 2022 and 2021, respectively, a $1.0 billion quarter-over-quarter increase. In the first quarter of 2021, we received cash proceeds of approximately $2.1 billion associated with PSP Financial Assistance. Excluding the PSP Financial Assistance, our operating cash flows increased $ 3.1 billion compared to the first quarter of 2021 primarily due to higher profitability as well as working capital increases, principally in our air traffic liability as passenger demand for travel returned. In addition, during the first quarter of 2022, we had approximately $90 million in cash payments associated with our voluntary early retirement programs. Excluding the enhanced healthcare benefits provided to eligible team members, we estimate cash payments under these programs to be approximately $90 million in the remainder of 2022 and approximately $20 million in 2023 and beyond.</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investing activities was $771 million and $7.2 billion for the first quarter of 2022 and 2021, respectively.</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principal investing activities in the first quarter of 2022 included $807 million of capital expenditures, which principally related to the purchase of nine Airbus A321neo aircraft. Additionally, we incurred $62 million related to airport construction projects, net of reimbursements, principally in connection with the renovation and expansion of Terminal 8 at John F. Kennedy International Airport (JFK) and the modernization of Terminals 4 and 5 at Los Angeles International Airport (LAX). These cash outflows were offset in part by $54 million in net sales of short-term investments as well as a $36 million decrease in restricted short-term investments primarily related to money market funds to be used to finance the renovation and expansion of Terminal 8 at JFK.</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principal investing activities in the first quarter of 2021 included $7.1 billion in net purchases of short-term investments as well as a $194 million increase in restricted short-term investments primarily related to collateral for the AAdvantage Financing. These cash outflows were offset in part by $108 million of proceeds from the sale of property and equipment and $99 million of proceeds primarily from aircraft sale-leaseback transactions. Additionally, aircraft purchase deposit returns exceeded our capital expenditures for the first quarter of 2021, which expenditures were principally related to the harmonization of interior configurations across our mainline fleet and the purchase of one Airbus A321neo aircraft.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net cash used in financing activities was $310 million for the first quarter of 2022 as compared to net cash provided by financing activities of $7.0 billion for the first quarter of 2021.</w:t>
      </w:r>
    </w:p>
    <w:p>
      <w:pPr>
        <w:spacing w:after="0" w:line="9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principal financing activities in the first quarter of 2022 included $661 million in debt repayments, including $344 million in scheduled debt repayments and the repurchase of $317 million of unsecured notes on the open market. These cash outflows were offset in part by $367 million of long-term debt proceeds from the issuance of equipment notes related to the 2021-1 Aircraft EETCs.</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principal financing activities in the first quarter of 2021 included $10.9 billion in proceeds from the issuance of debt, including approximately $10.0 billion associated with the AAdvantage Financing and $896 million in aggregate principal amount under the PSP2 Promissory Note. We also had $316 million in net proceeds from the issuance of equity pursuant to an at-the-market offering. These cash inflows were offset in part by $4.1 billion in debt repayments, including prepayments totaling $2.8 billion for our revolving credit facilities and $550 million of outstanding loans under the Treasury Loan Agreement, and $661 million in scheduled debt repayments. In addition, we had $162 million of deferred financing cost cash outflows.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net cash provided by operating activities was $810 million and $1.4 billion for the first quarter of 2022 and 2021, respectively, a $618 million quarter-over-quarter decrease. American had a $1.6 billion net decrease in intercompany cash receipts principally from AAG's financing transactions. Additionally, in the first quarter of 2021, American received cash proceeds of approximately $ 1.9 billion associated with PSP Financial Assistance. Excluding the PSP Financial Assistance and decrease in AAG's financing transactions, American's operating cash flows increased $2.9 billion compared to the first quarter of 2021 primarily due to higher profitability as well as working capital increases principally in American's air traffic liability as passenger demand for travel returned. Also, during the first quarter of 2022, American had approximately $90 million in cash payments associated with its voluntary early retirement programs. Excluding the enhanced healthcare benefits provided to eligible team members, American estimates cash payments under these programs to be approximately $90 million in the remainder of 2022 and approximately $20 million in 2023 and beyond.</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investing activities was $741 million and $7.1 billion for the first quarter of 2022 and 2021, respectively.</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American’s principal investing activities in the first quarter of 2022 included $790 million of capital expenditures, which principally related to the purchase of nine Airbus A321neo aircraft. Additionally, American incurred $62 million related to airport construction projects, net of reimbursements, principally in connection with the renovation and expansion of Terminal 8 at JFK and the modernization of Terminals 4 and 5 at LAX. These cash outflows were offset in part by $67 million in net sales of short-term investments as well as a $36 million decrease in restricted short-term investments primarily related to money market funds to be used to finance the renovation and expansion of Terminal 8 at JFK.</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American’s principal investing activities in the first quarter of 2021 included $7.1 billion in net purchases of short-term investments as well as a $194 million increase in restricted short-term investments primarily related to collateral for the AAdvantage Financing. These cash outflows were offset in part by $108 million of proceeds from the sale of property and equipment and $99 million of proceeds primarily from aircraft sale-leaseback transactions. Additionally, aircraft purchase deposit returns exceeded American's capital expenditures for the first quarter of 2021, which expenditures were principally related to the harmonization of interior configurations across its mainline fleet and the purchase of one Airbus A321neo aircraft.</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provided by financing activities was $28 million and $5.7 billion for the first quarter of 2022 and 2021,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American’s principal financing activities in the first quarter of 2022 included $367 million of long-term debt proceeds from the issuance of equipment notes related to the 2021-1 Aircraft EETCs offset in part by $339 million in scheduled debt repayments.</w:t>
      </w:r>
    </w:p>
    <w:p>
      <w:pPr>
        <w:spacing w:after="0" w:line="9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principal financing activities in the first quarter of 2021 included $10.0 billion in proceeds associated with the AAdvantage Financing. These cash inflows were offset in part by $4.1 billion in debt repayments, including prepayments totaling $2.8 billion for American's revolving credit facilities and $550 million of outstanding loans under the Treasury Loan Agreement, and $661 million in scheduled debt repayments. In addition, American had $162 million of deferred financing cost cash outflows.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March 31, 2022, AAG had $37.5 billion in long-term debt, including current maturities of $2.2 billion. As of March 31, 2022, American had $31.9 billion in long-term debt, including current maturities of $ 1.8 billion. All material changes in our significant indebtedness since our 2021 Form 10-K are discussed in Note 5 to AAG’s Condensed Consolidated Financial Statements in Part I, Item 1A and Note 4 to American’s Condensed Consolidated Financial Statements in Part I, Item 1B.</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March 31, 2022, we had definitive purchase agreements for the acquisition of the following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Remainder</w:t>
            </w:r>
          </w:p>
        </w:tc>
        <w:tc>
          <w:tcPr>
            <w:tcW w:w="9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2027 and</w:t>
            </w: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2022</w:t>
            </w: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27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4"/>
          </w:tcPr>
          <w:p>
            <w:pPr>
              <w:spacing w:after="0"/>
              <w:rPr>
                <w:sz w:val="20"/>
                <w:szCs w:val="20"/>
                <w:color w:val="auto"/>
              </w:rPr>
            </w:pPr>
            <w:r>
              <w:rPr>
                <w:rFonts w:ascii="Arial" w:cs="Arial" w:eastAsia="Arial" w:hAnsi="Arial"/>
                <w:sz w:val="18"/>
                <w:szCs w:val="18"/>
                <w:color w:val="auto"/>
              </w:rPr>
              <w:t>A320neo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2680" w:type="dxa"/>
            <w:vAlign w:val="bottom"/>
            <w:tcBorders>
              <w:bottom w:val="single" w:sz="8" w:color="CCEEFF"/>
            </w:tcBorders>
            <w:gridSpan w:val="2"/>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737 MAX Family </w:t>
            </w:r>
            <w:r>
              <w:rPr>
                <w:rFonts w:ascii="Arial" w:cs="Arial" w:eastAsia="Arial" w:hAnsi="Arial"/>
                <w:sz w:val="23"/>
                <w:szCs w:val="23"/>
                <w:color w:val="auto"/>
                <w:vertAlign w:val="superscript"/>
              </w:rPr>
              <w:t>(2)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0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Embraer</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0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12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37"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Delivery schedule represents our best estimate as of the date of this report. Actual delivery dates are subject to change, which could be material, based on various potential factors including production delays by the manufacturer and regulatory concerns, such as those that have recently prevented The Boeing Company (Boeing) from timely delivering 787 Family aircraft.</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 xml:space="preserve">The table above and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table below assume our exercise of seven purchase options for 737 MAX Family aircraft that we previously announced our intention to exercise over the course of 2022.</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have agreements for 32 spare engines to be delivered in 2022 and beyond.</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currently have financing commitments in place for all aircraft on order and scheduled to be delivered in 2022 except for five Airbus A320neo Family aircraft and three Embraer 175 aircraft. Our ability to draw on the financing commitments we have in place is subject to (1) the satisfaction of various terms and conditions, including in some cases, on our acquisition of the aircraft by a certain date and (2) the performance by the counterparty providing such financing commitments of its obligations thereunder. We do not have financing commitments in place for any of the aircraft scheduled to be delivered in 2023 and beyond, except for six Boeing 787 Family aircraft scheduled to be delivered in 2023 and five Boeing 787 Family aircraft scheduled to be delivered in 2024.</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2021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following table provides details of our material cash requirements from known contractual obligations as of March 31, 2022 (in millions). Except to the extent set forth in the applicable accompanying footnotes, the table does not include commitments that are contingent on events or other factors that are uncertain or unknown at this time.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Remainder</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2027 and</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2022</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12,584</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10,130</w:t>
            </w:r>
          </w:p>
        </w:tc>
        <w:tc>
          <w:tcPr>
            <w:tcW w:w="0" w:type="dxa"/>
            <w:vAlign w:val="bottom"/>
          </w:tcPr>
          <w:p>
            <w:pPr>
              <w:spacing w:after="0"/>
              <w:rPr>
                <w:sz w:val="1"/>
                <w:szCs w:val="1"/>
                <w:color w:val="auto"/>
              </w:rPr>
            </w:pPr>
          </w:p>
        </w:tc>
      </w:tr>
      <w:tr>
        <w:trPr>
          <w:trHeight w:val="223"/>
        </w:trPr>
        <w:tc>
          <w:tcPr>
            <w:tcW w:w="4120" w:type="dxa"/>
            <w:vAlign w:val="bottom"/>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85,493</w:t>
            </w:r>
          </w:p>
        </w:tc>
        <w:tc>
          <w:tcPr>
            <w:tcW w:w="0" w:type="dxa"/>
            <w:vAlign w:val="bottom"/>
          </w:tcPr>
          <w:p>
            <w:pPr>
              <w:spacing w:after="0"/>
              <w:rPr>
                <w:sz w:val="1"/>
                <w:szCs w:val="1"/>
                <w:color w:val="auto"/>
              </w:rPr>
            </w:pPr>
          </w:p>
        </w:tc>
      </w:tr>
      <w:tr>
        <w:trPr>
          <w:trHeight w:val="256"/>
        </w:trPr>
        <w:tc>
          <w:tcPr>
            <w:tcW w:w="4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5,679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AAG Contractual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92,474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12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37"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$412 million and $27 million of unamortized debt discount, premium and issuance costs as of March 31, 2022 for American and AAG Parent, respectively. For additional information, see Note 5 and Note 4 to AAG’s and American’s Condensed Consolidated Financial Statements in Part I, Items 1A and 1B, respectively.</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March 31, 2022.</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28"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Includes $9.6 billion of future principal payments and $1.5 billion of future interest payments as of March 31, 2022, related to EETCs associated with mortgage financings of certain aircraft and spare engines.</w:t>
      </w:r>
    </w:p>
    <w:p>
      <w:pPr>
        <w:spacing w:after="0" w:line="140"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in Part I, Item 2. Management’s Discussion and Analysis of Financial Condition and Results of Operations for additional information about the firm commitment aircraft delivery schedule, in particular the footnotes to the table thereunder as to potential changes to such delivery schedule. Due 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uncertainty surrounding the timing of delivery of certain aircraft, the amounts in the table represent our most current estimate; however, the actual delivery schedule may differ from the table above, potentially materially. Additionally, the amounts in the table exclude seven and six Boeing 787-8 aircraft to be delivered in 2022 and 2023, respectively, as well as five Boeing 787-9 aircraft to be delivered in 2024, in each case, for which we have obtained committed lease financing. This financing is reflected in the operating lease commitments line above.</w:t>
      </w:r>
    </w:p>
    <w:p>
      <w:pPr>
        <w:spacing w:after="0" w:line="125" w:lineRule="exact"/>
        <w:rPr>
          <w:sz w:val="20"/>
          <w:szCs w:val="20"/>
          <w:color w:val="auto"/>
        </w:rPr>
      </w:pPr>
    </w:p>
    <w:p>
      <w:pPr>
        <w:jc w:val="both"/>
        <w:ind w:left="340" w:hanging="332"/>
        <w:spacing w:after="0"/>
        <w:tabs>
          <w:tab w:leader="none" w:pos="33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140" w:lineRule="exact"/>
        <w:rPr>
          <w:rFonts w:ascii="Arial" w:cs="Arial" w:eastAsia="Arial" w:hAnsi="Arial"/>
          <w:sz w:val="23"/>
          <w:szCs w:val="23"/>
          <w:color w:val="auto"/>
          <w:vertAlign w:val="superscript"/>
        </w:rPr>
      </w:pPr>
    </w:p>
    <w:p>
      <w:pPr>
        <w:ind w:left="340" w:hanging="332"/>
        <w:spacing w:after="0" w:line="231" w:lineRule="auto"/>
        <w:tabs>
          <w:tab w:leader="none" w:pos="329"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based on actuarially determined estimates as of December 31, 2021 and is based on estimated payments through 2031.</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construction projects and information technology support.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light of our significant cash needs, in particular during periods in which we incur operating losses (such as during the COVID-19 pandemic), as well as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(in particular the ongoing impact of the COVID-19 pandemic), natural disasters or other causes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5 and Note 4 to AAG's and American's Condensed Consolidated Financial Statements in Part I, Items 1A and 1B, respectively.</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2021 Form 10-K.</w:t>
      </w:r>
    </w:p>
    <w:p>
      <w:pPr>
        <w:spacing w:after="0" w:line="180" w:lineRule="exact"/>
        <w:rPr>
          <w:sz w:val="20"/>
          <w:szCs w:val="20"/>
          <w:color w:val="auto"/>
        </w:rPr>
      </w:pPr>
    </w:p>
    <w:p>
      <w:pPr>
        <w:ind w:right="4240"/>
        <w:spacing w:after="0" w:line="344"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spacing w:after="0" w:line="1"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2021 Form 10-K except as updated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6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March 31, 2022, we did not have any fuel hedging contracts outstanding to hedge our fuel consumption. Our current policy is not to enter into transactions to hedge our fuel consumption, although we review that policy from time to time based on market conditions and other factors. As such, and assuming we do not enter into any future transactions to hedge our fuel consumption, we will continue to be fully exposed to fluctuations in fuel prices. Based on our 2022</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forecasted fuel consumption, we estimate that a one cent per gallon increase in the price of aircraft fuel would increase our 2022 annual fuel expense by approximately $40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British pound sterling, Euro, Chinese yuan, Canadian dollar and various Latin American currencies, primarily the Brazilian real. We do not currently have a foreign currency hedge program.</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March 31, 2022 variable-rate debt and short-term investments balances, annual interest expense on variable rate debt would increase by approximately $110 million and annual interest income on short-term investments would increase by approximately $125 million.</w:t>
      </w:r>
    </w:p>
    <w:p>
      <w:pPr>
        <w:spacing w:after="0" w:line="1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the London interbank offered rate (LIBOR) after 2021. The discontinuation date for submission and publication of rates for certain tenors of USD LIBOR (1-month, 3-month, 6-month, and 12-month) was subsequently extended by the ICE Benchmark Administration (the administrator of LIBOR) until June 30, 2023. It is unclear whether new methods of calculating LIBOR will be established such that it continues to exist after 2023.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has chosen the secured overnight financing rate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may in the future pursue amendments to our LIBOR-based debt transactions to provide for a transition mechanism or other reference rate in anticipation of LIBOR’s discontinuation, but we may not be able to reach agreement with our lenders on any such amendments. As of March 31, 2022, we had $10.8 billion of borrowings linked to LIBOR. The replacement of LIBOR with a comparable or successor rate could cause the amount of interest payable on our long-term debt to be different or higher than expected.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March 31, 2022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March 31, 2022 at the reasonable assurance level.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For the quarter ended March 31, 2022, there have been no changes in AAG’s or American’s internal control over financial reporting that have materially affected, or are reasonably likely to materially affect, AAG’s and American’s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March 31, 2022.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See Note 11 to each of AAG and American's Condensed Consolidated Financial Statements in Part I, Item 1A and Part I, Item 1B, respectively, for information on legal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92" w:lineRule="exact"/>
        <w:rPr>
          <w:sz w:val="20"/>
          <w:szCs w:val="20"/>
          <w:color w:val="auto"/>
        </w:rPr>
      </w:pPr>
    </w:p>
    <w:p>
      <w:pPr>
        <w:jc w:val="both"/>
        <w:ind w:left="260"/>
        <w:spacing w:after="0" w:line="265" w:lineRule="auto"/>
        <w:rPr>
          <w:sz w:val="20"/>
          <w:szCs w:val="20"/>
          <w:color w:val="auto"/>
        </w:rPr>
      </w:pPr>
      <w:r>
        <w:rPr>
          <w:rFonts w:ascii="Arial" w:cs="Arial" w:eastAsia="Arial" w:hAnsi="Arial"/>
          <w:sz w:val="18"/>
          <w:szCs w:val="18"/>
          <w:b w:val="1"/>
          <w:bCs w:val="1"/>
          <w:i w:val="1"/>
          <w:iCs w:val="1"/>
          <w:color w:val="auto"/>
        </w:rPr>
        <w:t>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w:t>
      </w:r>
    </w:p>
    <w:p>
      <w:pPr>
        <w:spacing w:after="0" w:line="2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COVID-19 outbreak, along with the measures governments and private organizations worldwide have implemented in an attempt to contain the spread of this pandemic, has resulted in a severe decline in demand for air travel, which has adversely affected our business, operations and financial condition to an unprecedented extent. Measures such as travel restrictions, including testing regimes, “stay at home” and quarantine orders, limitations on public gatherings, cancellation of public events and many others resulted in a precipitous decline in demand for both domestic and international business and leisure travel which has yet to fully recover. In response to this material deterioration in demand, we took a number of aggressive actions to ameliorate our business, operations and financial condition. We focused on reducing our capacity, making structural changes to our fleet, reducing costs including implementing voluntary leave and early retirement programs, preserving cash and improving our overall liquidity position. We reduced our system-wide capacity and, while we have increased capacity to match a subsequent recovery in demand for air travel, we will continue to monitor conditions and to proactively evaluate and adjust our schedule to match demand. Additionally, we retired certain mainline aircraft earlier than planned, including all of our Airbus A330-200, Boeing 757, Boeing 767, Airbus A330-300 and Embraer 190 aircraft as well as certain regional aircraft, including all of our Embraer 140 and Bombardier CRJ200 aircraft, which we expect will allow us to be more efficient by reducing the number of sub-fleets we operate, and we have also placed a number of Boeing 737-800 aircraft into temporary storage. We moved quickly to attempt to better align our costs with our reduced schedule and made other cost-saving initiatives (including reductions in maintenance expense, marketing expense, event and training expense, airport facilities expense, salaries and benefits expense, and other volume-related expense reductions, including fuel). Nonetheless, we incurred significant net losses, excluding net special items, in the first quarter of 2022 as well as in 2021 and 2020. The duration and severity of the COVID-19 pandemic remain uncertain, and there can be no assurance that any of the mitigating actions we have taken will suffice to sustain our business and operations through this pandemic.</w:t>
      </w:r>
    </w:p>
    <w:p>
      <w:pPr>
        <w:spacing w:after="0" w:line="13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taken and will take additional actions to improve our financial position, including measures to improve liquidity, such as obtaining financial assistance under the CARES Act, the PSP Extension Law and the American Rescue Plan Act of 2021 (ARP). In 2020, we received approximately $6.0 billion in financial assistance from Treasury through PSP1 established under the CARES Act, and in 2021, we received approximately $3.5 billion in financial assistance from Treasury through PSP2 established under the PSP Extension Law and $3.3 billion in financial assistance from Treasury through PSP3 established under the ARP. In connection with the financial assistance we have received through PSP1, PSP2 and PSP3, we are required to comply with the relevant provisions of the CARES Act, the PSP Extension Law and the ARP, including the requirement that funds provided pursuant to PSP1, PSP2 and PSP3 be used exclusively for the continuation of payment of eligible employee wages, salaries and benefits; the requirement that certain levels of commercial air service be maintained; provisions prohibiting the repurchase of AAG common stock and the payment of common stock dividends through September 30, 2022; and restrictions on the payment of certain executive compensation until April 1, 2023. Additionally, under PSP1, PSP2 and PSP3, we and certain of our subsidiaries are subject to substantial and continuing reporting obligations. The substance and duration of these restrictions may materially affect our operations, and we may not be successful in managing these impacts.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may pursue additional financing through, among other things, the issuance of additional unsecured and secured debt securities, equity securities and equity-linked securities and/or the entry into additional bilateral and syndicated secured and/or unsecured credit facilities.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measures we have taken to reduce our expenditures and to improve our liquidity, and any other strategic actions that we may take in the future in response to the COVID-19 pandemic may not be effective in offsetting decreased demand, and we may not be permitted to take certain strategic actions that we believe are beneficial if such strategic actions are in contravention of the requirements under the CARES Act, the PSP Extension Law or the ARP, which could result in a material adverse effect on our business, operating results and financial condition.</w:t>
      </w:r>
    </w:p>
    <w:p>
      <w:pPr>
        <w:spacing w:after="0" w:line="1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full extent of the ongoing impact of the COVID -19 pandemic on our longer-term operational and financial performance will depend on future developments, many of which are outside our control, including the effectiveness of the mitigation strategies discussed above; the duration and spread of COVID-19, including recurrence of the pandemic or the emergence of novel variants, and related travel advisories, restrictions and testing regimes; the supply of effective vaccines and success of efforts to deploy the vaccines; the impact of the COVID-19 pandemic on overall long-term demand for air travel; the impact on demand and capacity which could result from government mandates on air service (including, for instance, requirements for passengers to wear face coverings while traveling or have their temperature checked or have administered COVID-19 tests and other checks prior to or after entering an airport or boarding an airplane, or which would limit the number of seats that can be occupied on an aircraft to allow for social distancing or prohibit flights to certain locations); the impact of COVID-19 on our employees’ ability to work because they are quarantined or sickened as a result of exposure to COVID-19 or if they are subject to additional governmental COVID-19 curfews or "stay at home" health orders or similar restrictions; the impact of federal vaccine mandates, including the willingness of our employees to comply with such mandates and potential conflict with actions by certain states that are in conflict with the federal mandate; the impact of the COVID-19 pandemic on the financial health and operations of our business partners and future governmental actions, all of which are highly uncertain and cannot be predicted. Despite recalling previously furloughed frontline team members and continuously hiring new employees, airlines have experienced, and may continue to experience, periodic staffing shortages which may result in flight cancellations and other operational disruptions. The emergence in late 2021 of the fast-spreading omicron variant of COVID-19 resulted in a significant rise in global cases which could result in higher than normal employee absences. Continued volatility in demand for travel, coupled with the unpredictability of the ongoing pandemic, presents challenges in building and flying our schedule, in particular during peak travel periods. At this time, we are also not able to predict whether the COVID-19 pandemic will result in permanent changes to our customers' behavior, with such changes including but not limited to a permanent reduction in business travel as a result of increased usage of "virtual" and "teleconferencing" products and more broadly a general reluctance to travel by consumers, each of which could have a material impact on our business.</w:t>
      </w:r>
    </w:p>
    <w:p>
      <w:pPr>
        <w:spacing w:after="0" w:line="13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COVID-19 pandemic has also caused significant disruption in global supply chains and staffing shortages, which has affected the availability and timely delivery and fulfillment of many goods, including certain of those that we purchase directly or which are required by third parties to perform contracted services for us. We rely on the operation of complex supply chains and a large number of third parties for the procurement and fulfillment of parts, components, consumable or disposable goods and other products and services essential to our business. We cannot guarantee that, as a result of ongoing or future supply chain disruptions or staffing shortages, we or our third-party partners will be able to timely source all of the products and services we require in the course of our business, or that we will be successful in procuring suitable alternatives.</w:t>
      </w:r>
    </w:p>
    <w:p>
      <w:pPr>
        <w:spacing w:after="0" w:line="1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also dependent upon effective COVID-19 vaccines, including an efficient distribution and sufficient supply, and significant uptake by the general public in order to normalize economic conditions and the airline industry and to realize our financial and growth plans and business strategy. The failure of a vaccine, including to the extent it is not effective against any COVID-19 variants, significant unplanned adverse reactions to the vaccine, politicization of the vaccine or general public distrust of the vaccine could prolong the pandemic and have an adverse effect on our business, financial condition and results of operations. Additionally, in September 2021, the Biden Administration issued an executive order mandating a COVID-19 vaccination requirement for federal contractors. Due to a number of our agreements, American is classified as a government contractor. Consistent with this executive order and guidance from the Safer Federal Workforce Task Force responsible for implementing the order, we announced that the federal vaccine mandate would require all of American’s U.S.-based team members and certain international crew members to be vaccinated or be exempt due to an accommodation for a medical disability or sincerely held religious belief. Lawsuits have been filed 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multiple jurisdictions challenging the order, and the U.S. District Court for the Southern District of Georgia in one of these cases issued a nationwide stay of enforcement of the executive order. The cases are currently before several U.S. Courts of Appeal and may ultimately be decided by the U.S. Supreme Court. Given the uncertainty of its viability in the courts, the timing of implementation and availability of accommodations, we cannot predict the impact of this federal vaccination requirement on our business. Moreover, we may be subject to state and local vaccine mandates and other COVID-19-related requirements governing airports where we operate. While the Occupational Health and Safety Administration (OSHA) has withdrawn its overarching COVID-19 Emergency Temporary Standard, the U.S. Supreme Court has acknowledged that OSHA may potentially issue a revised COVID-19 standard targeted to high-risk occupations or workplaces, which could impact our regional carriers and other service providers.</w:t>
      </w:r>
    </w:p>
    <w:p>
      <w:pPr>
        <w:spacing w:after="0" w:line="13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COVID-19 pandemic continues to evolve, and its ultimate impact remains highly uncertain and subject to change. Even once the pandemic subsides, demand for air travel may remain weak for a prolonged period due to, among other things, adverse changes in business travel patterns or perceived or actual economic factors such as declines in income levels and/or loss of wealth resulting from the impact of the COVID-19 pandemic. In addition, an outbreak of another disease or similar public health threat, or fear of such an event, that affects travel demand, travel behavior or travel restrictions could adversely impact our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8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In particular, the ongoing COVID-19 pandemic and associated decline in economic activity and increase in unemployment levels have had and are expected to continue to have a severe and prolonged effect on the global economy generally and, in turn, is expected to depress demand for air travel into the foreseeable future. Due to the uncertainty surrounding the duration and severity of this pandemic, we can provide no assurance as to when and at what pace demand for air travel will return to pre-COVID-19 pandemic levels, if at all. Accordingly, we cannot predict the ultimate impact of the COVID-19 pandemic on our business, financial condition and results of operations. Additionally, the COVID-19 pandemic has necessitated changes in business practices which may persist. For example, businesses and other travelers may continue to forego air travel in favor of remote or flexible working policies and communication alternatives such as videoconferencing. In addition, to the extent businesses continue to permit air travel during the COVID-19 pandemic, they are more likely to require the purchase of less expensive tickets to reduce costs, thereby potentially impacting our average revenue per available seat mile. See also </w:t>
      </w:r>
      <w:r>
        <w:rPr>
          <w:rFonts w:ascii="Arial" w:cs="Arial" w:eastAsia="Arial" w:hAnsi="Arial"/>
          <w:sz w:val="18"/>
          <w:szCs w:val="18"/>
          <w:i w:val="1"/>
          <w:iCs w:val="1"/>
          <w:color w:val="auto"/>
        </w:rPr>
        <w:t>“The outbreak and global spread of COVID-19 has resulted in a severe decline in demand for air travel which has adversely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airline industry is intensely competitive and dynamic.”</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March 31, 2022, our planned aggregate expenditures for aircraft purchase commitments and certain engines on a consolidated basis for the remainder of the 2022 year through 2026 would be approximately $11.9 billion. We may also require financing to refinance maturing obligations and to provide liquidity to fund other corporate requirements. Accordingly, we will need substantial liquidity, financing or other capital resources to finance such aircraft and engines and meet such other liquidity needs. If needed, it may be difficult for us to raise additional capital on acceptable terms, or at all, due to, among other factors: our substantial level of existing indebtedness, particularly following the additional liquidity transactions completed and contemplated in response to the impact of the COVID-19 pandemic; our non-investment grade credit rating; unfavorable market conditions; the availability of assets to use as collateral for loans or other indebtedness, which has been reduced significantly as a result of certain financing transactions we have undertaken since the beginning of 2020 and may be further reduced; and the effect the COVID-19 pandemic has had on the global economy generally and the air transportation industry in particular. If we are unable to arrange any such required financing at customary advance rates and on terms and conditions acceptable to us, we may need to use cash from operations or cash on hand to purchase such aircraft and engines or fund such other corporate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requirements or may seek to negotiate deferrals for such aircraft and engines with the applicable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or to fund our committed expenditures. An inability to obtain necessary financing on acceptable terms would have a material adverse impact on our business, results of operations and financial condition.</w:t>
      </w:r>
    </w:p>
    <w:p>
      <w:pPr>
        <w:spacing w:after="0" w:line="212"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and general corporate purposes, and adversely affect the terms on which such funding can be obtained;</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liquidity or cash flow from operations to payments on our indebtedness and other obligations, thereby reducing the funds available for other purposes;</w:t>
      </w:r>
    </w:p>
    <w:p>
      <w:pPr>
        <w:spacing w:after="0" w:line="98"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98"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16"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98"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 collateral coverage ratios and peak debt service coverage ratios;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right="20" w:hanging="656"/>
        <w:spacing w:after="0" w:line="287" w:lineRule="auto"/>
        <w:tabs>
          <w:tab w:leader="none" w:pos="19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98" w:lineRule="exact"/>
        <w:rPr>
          <w:rFonts w:ascii="Arial" w:cs="Arial" w:eastAsia="Arial" w:hAnsi="Arial"/>
          <w:sz w:val="18"/>
          <w:szCs w:val="18"/>
          <w:color w:val="auto"/>
        </w:rPr>
      </w:pPr>
    </w:p>
    <w:p>
      <w:pPr>
        <w:ind w:left="1940" w:hanging="636"/>
        <w:spacing w:after="0"/>
        <w:tabs>
          <w:tab w:leader="none" w:pos="19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1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in response to the travel restrictions, decreased demand and other effects the COVID-19 pandemic has had and is expected to continue to have on our business, we have obtained a significant amount of additional financing from a variety of sources and given continued uncertainty we cannot guarantee that we will not need to obtain additional financing in the future.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 In particular, in connection with the financial assistance we have received through PSP1, PSP2 and PSP3, we are required to comply with the relevant provisions of the CARES Act, the PSP Extension Law and the ARP, including the requirement that funds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provided pursuant to PSP1, PSP2 and PSP3 be used exclusively for the continuation of payment of eligible employee wages, salaries and benefits; provisions prohibiting the repurchase of AAG common stock and the payment of common stock dividends through September 30, 2022; and restrictions on the payment of certain executive compensation until April 1, 2023. Additionally, under PSP1, PSP2 and PSP3, we and certain of our subsidiaries are subject to substantial and continuing reporting obligations. Moreover, as a result of the recent financing activities we have undertaken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obligations discussed above, including those imposed as a result of the CARES Act, the PSP Extension Law, the ARP and any additional financings we may be required to undertake as a result of the impact of the COVID-19 pandemic, could also impact our ability to obtain additional financing, if needed, and our flexibility in the conduct of our business, and could materially adversely affect our liquidity, results of operations and financial condition.</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Further, a substantial portion of our long-term indebtedness bears interest at fluctuating interest rates, primarily based on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On July 27, 2017, the U.K. Financial Conduct Authority (the authority that regulates LIBOR) announced that it intends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unclear whether new methods of calculating LIBOR will be established such that it continues to exist after 2023.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has chosen the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13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may in the future pursue amendments to our LIBOR-based debt transactions to provide for a transition mechanism or other reference rate in anticipation of LIBOR’s discontinuation, but we may not be able to reach agreement with our lenders on any such amendments. As of March 31, 2022, we had $10.8 billion of borrowings linked to LIBOR. The replacement of LIBOR with a comparable or successor rate could cause the amount of interest payable on our long-term debt to be different or higher than expected.</w:t>
      </w:r>
    </w:p>
    <w:p>
      <w:pPr>
        <w:spacing w:after="0" w:line="205"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pension funding obligations are significant. The amount of our pension funding obligations will depend on the performance of investments held in trust by the pension plans, interest rates for determining liabilities and actuarial experience. On March 11, 2021, the ARP was enacted, which included funding relief provisions benefiting single employer qualified retirement benefit pension plans such as those sponsored by American. Based on the ARP provisions applicable to our pension plans, we will have no additional funding requirements until 2023. We also have significant obligations for retiree medical and other postretirement benefits.</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Additionally, we participate in the IAM National Pension Fund (the IAM Pension Fund). The funding status of the IAM Pension Fund is subject to the risk that other employers may not meet their obligations, which under certain circumstances could cause our obligations to increase. 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Furthermore, if we were to withdraw from the IAM Pension Fund, if the IAM Pension fund were to terminate, or if the IAM Pension Fund were to undergo a mass withdrawal, we could be subject to liability as imposed by law.</w:t>
      </w:r>
    </w:p>
    <w:p>
      <w:pPr>
        <w:spacing w:after="0" w:line="212"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or the triggering of a liquidity covenant. In light of the effect the COVID-19 pandemic is having on demand for air travel and, in turn, capacity, we have seen an increase in demand from consumers for refunds on their tickets, and we anticipate this will continue to be the case for the near future. Requests for refunds and the ongoing impact of the COVID-19 pandemic on our longer-term financial performance may reduce our liquidity and cause us to be forced to post cash or other collateral with the credit card processing companies in respect of advance ticket sales. The imposition of holdback requirements,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and develop additional qualified personnel could adversely affect our business.</w:t>
      </w:r>
    </w:p>
    <w:p>
      <w:pPr>
        <w:spacing w:after="0" w:line="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Retaining and recruiting people with the appropriate skills is particularly challenging as the economy in general, and the airline industry in particular, continue to recover from the COVID-19 pandemic resulting in competition for the human resources necessary to operate our business successfully. We may not be successful in attracting, developing or retaining key personnel or other highly qualified personnel. Among other things, the CARES Act, the PSP Extension Law and the ARP impose significant restrictions on executive compensation, which will remain in place until April 1, 2023. Such restrictions, over time, will likely result in lower executive compensation in the airline industry than is prevailing in other industries, creating increasing retention challenges in the case of executives presented with alternative, non-airline opportunities. In addition, competition for skilled personnel has intensified and may continue to intensify if overall industry capacity continues to increase and/or we were to incur attrition at levels higher than we have historically. Any inability to attract, develop and retain significant numbers of qualified management and other personnel would have a material adverse effect on our business, results of operations and financial condition.</w:t>
      </w:r>
    </w:p>
    <w:p>
      <w:pPr>
        <w:spacing w:after="0" w:line="21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3"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99"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effects of the ongoing COVID-19 pandemic;</w:t>
      </w:r>
    </w:p>
    <w:p>
      <w:pPr>
        <w:spacing w:after="0" w:line="171"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and higher interest rates;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occurrence of wars, terrorist attacks and political instability;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9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addition to the effects of the ongoing COVID-19 pandemic, an outbreak of another contagious disease—such as has occurred in the past with the Ebola virus, Middle East Respiratory Syndrome, Severe Acute Respiratory Syndrome, H1N1 influenza virus, avian flu, Zika virus or any other similar illness—if it were to become associated with air travel or persist for an extended period, could materially affect the airline industry and us by reducing revenues and adversely impacting our operations and passengers’ travel behavior. See also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As a result of these or other conditions beyond our control, our results of operations could be volatile and subject to rapid and</w:t>
      </w:r>
      <w:r>
        <w:rPr>
          <w:rFonts w:ascii="Arial" w:cs="Arial" w:eastAsia="Arial" w:hAnsi="Arial"/>
          <w:sz w:val="18"/>
          <w:szCs w:val="18"/>
          <w:i w:val="1"/>
          <w:iCs w:val="1"/>
          <w:color w:val="auto"/>
        </w:rPr>
        <w:t xml:space="preserve"> </w:t>
      </w:r>
      <w:r>
        <w:rPr>
          <w:rFonts w:ascii="Arial" w:cs="Arial" w:eastAsia="Arial" w:hAnsi="Arial"/>
          <w:sz w:val="18"/>
          <w:szCs w:val="18"/>
          <w:color w:val="auto"/>
        </w:rPr>
        <w:t>unexpected change. In addition, due to generally weaker demand for air travel during the winter, our revenues in the first and fourth quarters of the year could be weaker than revenues in the second and third quarters of the year.</w:t>
      </w:r>
    </w:p>
    <w:p>
      <w:pPr>
        <w:spacing w:after="0" w:line="214"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As of December 31, 2021, approximately 86% of our employees were represented for collective bargaining purposes by labor unions, and 45% were covered by CBAs that are currently amendable or that will become amendable within one year. For the dates that the CBAs with our major work groups become amendable under the RLA, see Part I, Item 1. Business – </w:t>
      </w:r>
      <w:r>
        <w:rPr>
          <w:rFonts w:ascii="Arial" w:cs="Arial" w:eastAsia="Arial" w:hAnsi="Arial"/>
          <w:sz w:val="18"/>
          <w:szCs w:val="18"/>
          <w:i w:val="1"/>
          <w:iCs w:val="1"/>
          <w:color w:val="auto"/>
        </w:rPr>
        <w:t>“Our People</w:t>
      </w:r>
      <w:r>
        <w:rPr>
          <w:rFonts w:ascii="Arial" w:cs="Arial" w:eastAsia="Arial" w:hAnsi="Arial"/>
          <w:sz w:val="18"/>
          <w:szCs w:val="18"/>
          <w:color w:val="auto"/>
        </w:rPr>
        <w:t>—</w:t>
      </w:r>
      <w:r>
        <w:rPr>
          <w:rFonts w:ascii="Arial" w:cs="Arial" w:eastAsia="Arial" w:hAnsi="Arial"/>
          <w:sz w:val="18"/>
          <w:szCs w:val="18"/>
          <w:i w:val="1"/>
          <w:iCs w:val="1"/>
          <w:color w:val="auto"/>
        </w:rPr>
        <w:t>Labor Relations”</w:t>
      </w:r>
      <w:r>
        <w:rPr>
          <w:rFonts w:ascii="Arial" w:cs="Arial" w:eastAsia="Arial" w:hAnsi="Arial"/>
          <w:sz w:val="18"/>
          <w:szCs w:val="18"/>
          <w:color w:val="auto"/>
        </w:rPr>
        <w:t xml:space="preserve"> in our 2021 Form 10-K.</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 – </w:t>
      </w:r>
      <w:r>
        <w:rPr>
          <w:rFonts w:ascii="Arial" w:cs="Arial" w:eastAsia="Arial" w:hAnsi="Arial"/>
          <w:sz w:val="18"/>
          <w:szCs w:val="18"/>
          <w:i w:val="1"/>
          <w:iCs w:val="1"/>
          <w:color w:val="auto"/>
        </w:rPr>
        <w:t>“Our People</w:t>
      </w:r>
      <w:r>
        <w:rPr>
          <w:rFonts w:ascii="Arial" w:cs="Arial" w:eastAsia="Arial" w:hAnsi="Arial"/>
          <w:sz w:val="18"/>
          <w:szCs w:val="18"/>
          <w:color w:val="auto"/>
        </w:rPr>
        <w:t>—</w:t>
      </w:r>
      <w:r>
        <w:rPr>
          <w:rFonts w:ascii="Arial" w:cs="Arial" w:eastAsia="Arial" w:hAnsi="Arial"/>
          <w:sz w:val="18"/>
          <w:szCs w:val="18"/>
          <w:i w:val="1"/>
          <w:iCs w:val="1"/>
          <w:color w:val="auto"/>
        </w:rPr>
        <w:t>Labor Relations”</w:t>
      </w:r>
      <w:r>
        <w:rPr>
          <w:rFonts w:ascii="Arial" w:cs="Arial" w:eastAsia="Arial" w:hAnsi="Arial"/>
          <w:sz w:val="18"/>
          <w:szCs w:val="18"/>
          <w:color w:val="auto"/>
        </w:rPr>
        <w:t xml:space="preserve"> in our 2021 Form 10-K.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Currently, we believe our labor costs are generally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05"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in particular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pilots, mechanics and other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materially impacted demand for services provided by our regional carriers and, as a result, we temporarily significantly reduced our regional capacity. Further, as airlines attempt to restore capacity in line with increased demand for air travel following the height of the pandemic, these third-party operators have experienced difficulties in recruiting and retaining sufficient personnel to operate significantly increased schedules. We expect the disruption to services resulting from the COVID-19 pandemic and subsequent rapid return of demand to continue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3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These third parties are also facing challenges retaining and recruiting people with the appropriate skills to meet our requirements as the economy in general, and the airline industry in particular, continue to recover from the COVID-19 pandemic. Any material problems with the adequacy, efficiency and timeliness of contract services, resulting from financial hardships, personnel shortages or otherwise, could have a material adverse effect on our business, results of operations and financial condition.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the outbreak and spread of COVID-19 have adversely impacted consumer perceptions of the health and safety of travel</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in particular airline travel, and these negative perceptions could continue even after the pandemic subsides. Actual or perceived risk of infection on our flights has had, and may continue to have, a material adverse effect on the public's perception of us, which has harmed, and may continue to harm, our reputation and business. We have taken various measures to reassure our team members and the traveling public of the safety of air travel, including requirements that passengers wear face coverings, the provision of protective equipment for team members and enhanced cleaning procedures onboard aircraft and in airports. We expect that we will continue to incur COVID-19 related costs as we sanitize aircraft, implement additional hygiene -related protocols and take other actions to limit the threat of infection among our employees and passengers. However, we cannot assure that these or any other actions we might take in response to the COVID-19 pandemic will be sufficient to restore the confidence of consumers in the safety of air travel. In addition, as a result of mask mandates and other mitigating measures that airports and carriers have been required by law to implement to limit the spread of COVID-19, we have experienced an increase in the incidence of aggressive customer behavior and physical confrontation on our flights, certain of which have resulted in injuries to our personnel. If our employees feel unsafe or believe that we are not doing enough to prevent and prosecute these incidents, we could experience higher rates of employee absence and we may suffer reputational harm which could make it more difficult to attract and retain employees, and which could in turn negatively affect our business, financial condition and results of operations.</w:t>
      </w:r>
    </w:p>
    <w:p>
      <w:pPr>
        <w:spacing w:after="0" w:line="213"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2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at risk of adverse publicity stemming from any public incident involving our company, our people or our brand, particularly given the ease with which individuals can now capture and rapidly disseminate news via social media. Such an incident could involve the actual or alleged behavior of any of our employees, contractors or passengers.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in our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9"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in the past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 demand for air travel recovers, assuming this change remains in place. We may introduce additional initiatives in the future; however, as time goes on, we expect that it will be more difficult to identify and implement additional initiatives. We cannot assure that these measures or any future initiatives will be successful in increasing our revenues or offsetting our costs. Additionally, the implementation of these initiatives may create logistical challenges that could harm the operational performance of our airline or result in decreased demand. Also, our implementation of any new or increased fees might result in adverse brand perceptions or reputational harm, and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we have used certain of our branding and AAdvantage loyalty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loyalty program. These covenants may have an adverse effect on our ability to use such intellectual property.</w:t>
      </w:r>
    </w:p>
    <w:p>
      <w:pPr>
        <w:spacing w:after="0" w:line="205"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11 to each of AAG and American's Condensed Consolidated Financial Statements in Part I, Item 1A and Part I, Item 1B, respectively.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utilize our NOLs and other carryforwards may be limited.</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As of December 31, 2021, we had approximately $17.2 billion of gross federal NOLs and $3.0 billion of other carryforwards available to reduce future federal taxable income, of which $6.9 billion will expire beginning in 2024 if unused and $13.3 billion can be carried forward indefinitely. We also had approximately $6.0 billion of NOL carryforwards to reduce future state taxable income at December 31, 2021, which will expire in taxable years 2021 through 2041 if unused. Our NOL carryforwards are subject to adjustment on audit by the Internal Revenue Service and the respective state taxing authorities. Additionally, due to the COVID-19 pandemic and other economic factors, the NOL carryforwards may expire before we can generate sufficient taxable income to use them.</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ability to use our NOLs and other carryforwards will depend on the amount of taxable income generated in future periods. We presently have a $34 million valuation allowance on certain net deferred tax assets related to state NOL carryforwards. If our financial results continue to be adversely impacted by the COVID-19 pandemic, there can be no assurance that an additional valuation allowance on our net deferred tax assets will not be required. Such valuation allowance could be material.</w:t>
      </w:r>
    </w:p>
    <w:p>
      <w:pPr>
        <w:spacing w:after="0" w:line="1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during a rolling three-year period). In 2013, we experienced an ownership change in connection with our emergence from bankruptcy and US Airways Group experienced an ownership change in connection with the</w:t>
      </w:r>
    </w:p>
    <w:p>
      <w:pPr>
        <w:sectPr>
          <w:pgSz w:w="11900" w:h="16838" w:orient="portrait"/>
          <w:cols w:equalWidth="0" w:num="1">
            <w:col w:w="11240"/>
          </w:cols>
          <w:pgMar w:left="320" w:top="122" w:right="3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merger of US Airways Group and AMR Corporation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$5.4 billion of unlimited NOLs still remaining at December 31, 2021)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the warrants (and common stock issuable upon exercise thereof) we issued to Treasury did not and will not result in an "ownership change" for purposes of Section 382. This exception does not apply for companies issuing warrants, stock options, common or preferred stock or other equity pursuant to PSP1, PSP2 and PSP3 and accordingly will not apply to the warrants issued by us under PSP1, PSP2 and PSP3.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Notwithstanding the foregoing, an ownership change subsequent to our emergence from bankruptcy may severely limit or effectively eliminate our ability to utilize our NOL carryforwards and other tax attributes. In connection with the expiration in December 2021 of certain transfer restrictions applicable to substantial shareholders contained in our Certificate of Incorporation, the Board of Directors of AAG adopted a tax benefits preservation plan (the Tax Benefits Preservation Plan) in order to preserve our ability to use our NOLs and certain other tax attributes to reduce potential future income tax obligations. The Tax Benefits Preservation Plan is designed to reduce the likelihood that we experience an ownership change by deterring certain acquisitions of AAG common stock. There is no assurance, however, that the deterrent mechanism will be effective, and such acquisitions may still occur. In addition, the Tax Benefits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 We intend to submit the Tax Benefits Preservation Plan for ratification to AAG stockholders at the 2022 Annual Meeting of Stockholders of American Airlines Group Inc.</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New U.S. tax legislation may adversely affect our financial condition, results of operations and cash flows.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While certain draft legislation has been publicly released and is under development in Congress at this time, the likelihood of these changes being enacted or implemented is unclear. We are currently unable to predict whether such changes will occur. If such changes are enacted or implemented, we are currently unable to predict the ultimate impact on our business and therefore there can be no assurance our business will not be adversely affected.</w:t>
      </w:r>
    </w:p>
    <w:p>
      <w:pPr>
        <w:spacing w:after="0" w:line="212"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We can provide no assurance that a material impairment loss of tangible or intangible assets will not occur in a future period; we have previously incurred significant impairment charges associated with our decision to retire certain aircraft as a result of the severe decline in demand for air travel due to the COVID-19 pandemic, and the risk of future material impairments remains significantly heightened as a result of the effects of the COVID-19 pandemic on our flight schedules and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well as the associated impact on values of certain aircraft and flight equipment. Such impairment charges could have a material adverse effect on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Airline Industry</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or alternatives to commuting or business travel including remote or flexible working policies and communication alternatives such as videoconferencing.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the current one caused by the COVID-19 pandemic), as airlines under financial stress, or in bankruptcy, may institute pricing or fee structures intended to attract more customers to achieve near term survival at the expense of long-term viability.</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recently commenced operations, and several new entrants have announced their intention to start up new ultra-low-cost carriers. Many of these new and existing carriers have announced growth strategies including commitments to acquire significant numbers of new aircraft for delivery in the next few years. These low-cost carriers are attempting to continue to increase their market share through growth and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with the delivery of planned, long-range narrowbody aircraft. The actions of existing or future low-cost carriers, including those described above, could have a material adverse effect on our operations and financial performance.</w:t>
      </w:r>
    </w:p>
    <w:p>
      <w:pPr>
        <w:spacing w:after="0" w:line="1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provide air travel internationally, directly as well as through joint businesses,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continuing outbreak of COVID-19 and the speed with which demand for travel to these regions returns.</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resulted in a precipitous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which may result in increases in our costs, disruptions to our operations, limits on our operating flexibility, reductions in the demand for air travel, and competitive disadvantages.”</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each of which has been granted antitrust immunity. The transatlantic joint business benefits from a grant of antitrust immunity from the United States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were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joint business. We continue to fully cooperate with the CMA and, in September 2020, the CMA adopted interim measures that effectively extend the EC commitments for an additional three years until March 2024 in light of the uncertainty created by the COVID-19 pandemic. In April 2022, the CMA adopted a second interim measures decision that effectively extends the EC commitments for a further two years until March 2026 in light of the continued uncertainty created by the COVID-19 pandemic. The CMA plans to complete its investigation before the interim measures expire in March 2026. The foregoing arrangements are important aspects of our international network and we are dependent on the performance and continued cooperation of the other airlines party to those arrangements.</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2021, we began implementing key aspects of our marketing relationship with JetBlue. This arrangement includes an alliance agreement with reciprocal codesharing on certain domestic and international routes from New York (JFK, LaGuardia Airport (LGA), and Newark Liberty International Airport) and Boston Logan International Airport, and provides for reciprocal loyalty program benefits. The arrangement does not include JetBlue’s transatlantic flying. Pursuant to federal law, American and JetBlue submitted this proposed alliance arrangement to the DOT for review. After American, JetBlue and the DOT agreed to a series of commitments, the DOT terminated its review of the proposed alliance in January 2021. The commitments include growth commitments to ensure capacity expansion, slot divestitures at JFK and at Ronald Reagan Washington National Airport (DCA) near Washington, D.C. and antitrust compliance measures. Beyond the DOT Agreement, American and JetBlue will also refrain from certain kinds of coordination on certain city pair markets. Upon the DOT’s termination of its review of the proposed alliance, American and JetBlue implemented the proposed alliance subject to these commitments. On September 21, 2021, the United States Department of Justice (DOJ), joined by Attorneys General from six states and the District of Columbia, filed an antitrust complaint against American and JetBlue alleging that American and JetBlue violated U.S. antitrust laws in connection with the Northeast Alliance arrangement (NEA). We believe the complaint is without merit and intend to defend against it vigorously.</w:t>
      </w:r>
    </w:p>
    <w:p>
      <w:pPr>
        <w:spacing w:after="0" w:line="1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Notwithstanding the DOT’s termination of its reviews of the NEA and certain other alliances, the DOT maintains authority to conduct investigations under the scope of its existing statutes and regulations, including conduct related to this alliance. On September 21, 2021, the DOT published a Clarification Notice relating to the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regulators will, or if granted continue to, approve or impose material conditions on our business activities.</w:t>
      </w:r>
    </w:p>
    <w:p>
      <w:pPr>
        <w:spacing w:after="0" w:line="11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Other mergers and other forms of airline partnerships, including antitrust immunity grants, may take place and may not involve us as a participant. Depending on which carriers combine or integrate and which assets, if any, are sold or otherwise transferred to other carriers in connection with any such transactions, our competitive position relative to the post-transaction carriers or other carriers that acquire such assets could be harmed. In addition, as carriers combine through traditional mergers or integrate their operations through antitrust immunity grants, their route networks will grow, and that growth will result in greater overlap with our network, which in turn could decrease our overall market share and revenues. Such combination or collaboration is not limited to the U.S., but could include further transactions among international carriers in Europe and elsewhere that result in broader networks offered by rival airlines.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loyalty program as collateral for the AAdvantage Financing, which contains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covenants that impose restrictions on certain amendments or changes to certain of our AAdvantage Agreements and other aspects of the AAdvantage loyalty program. These competitive factors and covenants (to the extent applicable) may affect our ability to attract and retain customers, increase usage of our loyalty program and maximize the revenue generated by our loyalty program.</w:t>
      </w:r>
    </w:p>
    <w:p>
      <w:pPr>
        <w:spacing w:after="0" w:line="200"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The commercial relationships that we have with other companies, including any related equity investments, may not produce the returns or results we expect.</w:t>
      </w:r>
    </w:p>
    <w:p>
      <w:pPr>
        <w:spacing w:after="0" w:line="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An important part of our strategy to expand our network has been to initiate or expand our commercial relationships with other airlines, such as by entering into global alliance, joint business and codeshare relationships, and, in certain instances, including China Southern Airlines, GOL and our previously announced proposed investment in JetSMART, by making a significant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and they may distract management focus from our operations or other strategic options. We may also be subject to consequences from any illegal conduct of joint business partners as well as to any political or regulatory change that negatively impacts or prohibits our arrangements with any such business partners. In addition, as a result of the global spread of COVID-19, the industry experienced a precipitous decline in demand for air travel both internationally and domestically, which is expected to continue into the foreseeable future and could materially disrupt our partners' abilities to provide air service, the timely execution of our strategic operating plans, including the finalization, approval and implementation of new strategic relationships or the maintenance or expansion of existing relationships. If any carriers with which we partner or in which we hold an equity stake were to cease trading or be declared insolvent, we could lose the value of any such investment or experience significant operational disruption. These events could have a material adverse effect on our business, results of operations and financial condition.</w:t>
      </w:r>
    </w:p>
    <w:p>
      <w:pPr>
        <w:spacing w:after="0" w:line="13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may also from time to time pursue commercial relationships with companies outside the airline industry, which relationships may include equity investments or other financial commitments. Any such relationship or related investment could involve unique risks, particularly where these relationships involve new industry participants, emerging technologies or industries with which we are unfamiliar.</w:t>
      </w:r>
    </w:p>
    <w:p>
      <w:pPr>
        <w:spacing w:after="0" w:line="200"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 with market spot prices ranging from a low of approximately $0.37 per gallon to a high of approximately $4.21 per gallon during the period from January 1, 2019 to March 31, 2022. In particular, fuel prices rose substantially in 2021, and price increases have continued in 2022.</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and any related staffing or transportation equipment shortages, changes in access to petroleum product pipelines and terminals, speculation in the energy futures markets, changes in aircraft fuel production capacity, environmental concerns and other unpredictable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events, may result in fuel supply shortages, distribution challenges, additional fuel price volatility and cost increases in the future.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March 31, 2022,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11"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Federal Aviation Administration (FAA), the Transportation Security Administration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2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types altogether (including, for example, the March 2019 grounding of all Boeing 737 MAX Family aircraft, which remained in place for over a year and was not lifted in the United States until November 2020), or otherwise caused substantial disruption and resulted in material costs to us and lost revenues. The recent telecom industry roll-out of 5G technology, and concerns regarding its possible interference with aircraft navigation systems, also resulted in regulatory uncertainty and the potential for operational impacts, including possible suspension of service to certain airports or the operation of certain aircraft. See </w:t>
      </w:r>
      <w:r>
        <w:rPr>
          <w:rFonts w:ascii="Arial" w:cs="Arial" w:eastAsia="Arial" w:hAnsi="Arial"/>
          <w:sz w:val="18"/>
          <w:szCs w:val="18"/>
          <w:i w:val="1"/>
          <w:iCs w:val="1"/>
          <w:color w:val="auto"/>
        </w:rPr>
        <w:t>"We rely heavily on technology and automated systems to operate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any failure of these technologies or systems could harm our business, results of operations and financial condition." </w:t>
      </w:r>
      <w:r>
        <w:rPr>
          <w:rFonts w:ascii="Arial" w:cs="Arial" w:eastAsia="Arial" w:hAnsi="Arial"/>
          <w:sz w:val="18"/>
          <w:szCs w:val="18"/>
          <w:color w:val="auto"/>
        </w:rPr>
        <w:t>The FAA also</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exercises comprehensive regulatory authority over nearly all technical aspects of our operations. Our failure to comply with such requirements has in the past and may in the future result in fines and other enforcement actions by the FAA or other regulators. We anticipate that the FAA will soon issue a final rule implementing flight attendant duty and rest periods, which will impact our scheduling flexibility. In the future, any new regulatory requirements, particularly requirements that limit our ability to operate or price our products, could have a material adverse effect on us and the industry.</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In 2022, the DOT is expected to propose or implement a number of new regulations that will impact us, including disability rules for accessible lavatories and wheelchair assistance, refund requirements, display of ancillary fees during initial flights search, and refunds for checked bag fees in the event of certain delays in delivery.</w:t>
      </w:r>
    </w:p>
    <w:p>
      <w:pPr>
        <w:spacing w:after="0" w:line="12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These initiatives include increasingly stringent laws to protect the environment, wage/hour requirements, mandatory paid sick or family leave, and healthcare mandates. These laws could affect our relationship with our workforce and the vendors that serve our airlines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 Additionally, in September 2021, the Biden Administration issued an executive order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mandating a COVID-19 vaccination requirement for federal contractors. Due to a number of our agreements, American is classified as a government contractor. Consistent with this executive order and guidance from the Safer Federal Workforce Task Force responsible for implementing the order, we announced in that the federal vaccine mandate would require all of American’s U.S.-based team members and certain international crew members to be vaccinated or be exempt due to an accommodation for a medical disability or sincerely held religious belief. Lawsuits have been filed in multiple jurisdictions challenging the order, and the U.S. District Court for the Southern District of</w:t>
      </w:r>
    </w:p>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Georgia in one of these cases issued a nationwide stay of enforcement of the executive order. The cases are currently before several U.S. Courts of Appeal and may ultimately be decided by the U.S. Supreme Court. Given the uncertainty of its viability in the courts, the timing of implementation and availability of accommodations, we cannot predict the impact of this federal vaccination requirement on our business. Moreover, we may be subject to state and local vaccine mandates and other COVID-19-related requirements governing airports where we operate. While OSHA has withdrawn its overarching COVID-19 Emergency Temporary Standard, the U.S. Supreme Court has acknowledged that OSHA may potentially issue a revised COVID-19 standard targeted to high-risk occupations or workplaces, which could impact our regional carriers and other service providers.</w:t>
      </w:r>
    </w:p>
    <w:p>
      <w:pPr>
        <w:spacing w:after="0" w:line="129"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99" w:lineRule="exact"/>
        <w:rPr>
          <w:sz w:val="20"/>
          <w:szCs w:val="20"/>
          <w:color w:val="auto"/>
        </w:rPr>
      </w:pPr>
    </w:p>
    <w:p>
      <w:pPr>
        <w:ind w:left="1300" w:hanging="644"/>
        <w:spacing w:after="0" w:line="28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98" w:lineRule="exact"/>
        <w:rPr>
          <w:rFonts w:ascii="Arial" w:cs="Arial" w:eastAsia="Arial" w:hAnsi="Arial"/>
          <w:sz w:val="18"/>
          <w:szCs w:val="18"/>
          <w:color w:val="auto"/>
        </w:rPr>
      </w:pPr>
    </w:p>
    <w:p>
      <w:pPr>
        <w:jc w:val="both"/>
        <w:ind w:left="1300" w:right="20" w:hanging="644"/>
        <w:spacing w:after="0" w:line="268"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or commencement of litigation related to any of the foregoing (including our arrangements with JetBlue);</w:t>
      </w:r>
    </w:p>
    <w:p>
      <w:pPr>
        <w:spacing w:after="0" w:line="116"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hanging="644"/>
        <w:spacing w:after="0" w:line="287"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1" w:lineRule="exact"/>
        <w:rPr>
          <w:rFonts w:ascii="Arial" w:cs="Arial" w:eastAsia="Arial" w:hAnsi="Arial"/>
          <w:sz w:val="18"/>
          <w:szCs w:val="18"/>
          <w:color w:val="auto"/>
        </w:rPr>
      </w:pPr>
    </w:p>
    <w:p>
      <w:pPr>
        <w:jc w:val="both"/>
        <w:ind w:left="1300" w:hanging="644"/>
        <w:spacing w:after="0" w:line="268" w:lineRule="auto"/>
        <w:tabs>
          <w:tab w:leader="none" w:pos="1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related to COVID-19, including the imposition of preflight testing regimes or vaccination confirmation requirements which have to date and may in the future have the effect of reducing demand for air travel in the markets where such requirements are imposed.</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1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2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1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13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May 1, 2021 the EU and United Kingdom entered into a new trade and cooperation agreement (the EU-UK Trade and Cooperation Agreement) to govern certain aspects of their relationship following Brexit.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This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4"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outbreak and global spread of COVID-19 have severely impacted the demand for international travel and have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 We can provide no assurance as to when such restrictions will be eased or lifted, when demand for international travel will return to pre-COVID-19 pandemic levels, if at all, or whether certain international destinations we previously served will be economical in the future.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outside the U.S., and the imposition of new tariffs, or any increase in existing tariffs, by the U.S. government in respect of the importation of such products could materially increase the amounts we pay for them. In particular, in October 2019, the Office of the U.S. Trade Representative (USTR), as part of an ongoing dispute with the EU before the World Trade Organization (WTO) concerning, among other things, aircraft subsidies, was authorized by an arbitration tribunal of the WTO to impose up to $7.5 billion per year in import tariffs on certain goods originating from the EU. The USTR subsequently imposed tariffs of up to 15% on certain imports from the EU, including on certain Airbus aircraft that we previously contracted to purchase and certain imported aircraft parts. In June 2021, the United States, the EU and the UK announced agreements to suspend the imposition of these tariffs, contingent upon each party remaining satisfied that subsidies do not arise. However, if and to the extent any of these tariffs are reimposed on us without any available means for us to mitigate or pass on the burden of these tariffs to Airbus, the effective cost of new Airbus aircraft required to implement our fleet plan would increase.</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Moreover,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This could materially adversely affect our business, results of operations and financial condition.</w:t>
      </w:r>
    </w:p>
    <w:p>
      <w:pPr>
        <w:spacing w:after="0" w:line="1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Brexit has also led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joint business. We continue to fully cooperate with the CMA and, in September 2020, the CMA adopted interim measures that effectively extend the EC commitments for an additional three years until March 2024 in light of the uncertainty created by the COVID-19 pandemic. In April 2022, the CMA adopted a second interim measures decision that effectively extends the EC commitments for a further two years until March 2026 in light of the continued uncertainty created by the COVID-19 pandemic. The CMA plans to complete its investigation before the interim measures expire in March 2026.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133"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7"/>
          <w:szCs w:val="17"/>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3"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148" w:lineRule="exact"/>
        <w:rPr>
          <w:sz w:val="20"/>
          <w:szCs w:val="20"/>
          <w:color w:val="auto"/>
        </w:rPr>
      </w:pPr>
    </w:p>
    <w:p>
      <w:pPr>
        <w:ind w:left="260"/>
        <w:spacing w:after="0" w:line="295"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emissions, changing consumer preferences and the potential increased impacts of severe weather events on our operations and infrastructure.</w:t>
      </w:r>
    </w:p>
    <w:p>
      <w:pPr>
        <w:jc w:val="both"/>
        <w:ind w:firstLine="243"/>
        <w:spacing w:after="0" w:line="233" w:lineRule="auto"/>
        <w:rPr>
          <w:sz w:val="20"/>
          <w:szCs w:val="20"/>
          <w:color w:val="auto"/>
        </w:rPr>
      </w:pPr>
      <w:r>
        <w:rPr>
          <w:rFonts w:ascii="Arial" w:cs="Arial" w:eastAsia="Arial" w:hAnsi="Arial"/>
          <w:sz w:val="18"/>
          <w:szCs w:val="18"/>
          <w:color w:val="auto"/>
        </w:rPr>
        <w:t>Efforts to transition to a low-carbon future have increased the focus by global, regional and national regulators on climate change and greenhouse gas (GHG) emissions, including carbon dioxide (CO</w:t>
      </w:r>
      <w:r>
        <w:rPr>
          <w:rFonts w:ascii="Arial" w:cs="Arial" w:eastAsia="Arial" w:hAnsi="Arial"/>
          <w:sz w:val="23"/>
          <w:szCs w:val="23"/>
          <w:color w:val="auto"/>
          <w:vertAlign w:val="subscript"/>
        </w:rPr>
        <w:t>2</w:t>
      </w:r>
      <w:r>
        <w:rPr>
          <w:rFonts w:ascii="Arial" w:cs="Arial" w:eastAsia="Arial" w:hAnsi="Arial"/>
          <w:sz w:val="18"/>
          <w:szCs w:val="18"/>
          <w:color w:val="auto"/>
        </w:rPr>
        <w:t>) emissions. In particular, the International Civil Aviation Organization (ICAO) has adopted rules, including those pertaining to the Carbon Offsetting and Reduction Scheme for International Aviation (CORSIA), which will require American to address the growth 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of a significant majority of our international flights. For more information on CORSIA, see </w:t>
      </w:r>
      <w:r>
        <w:rPr>
          <w:rFonts w:ascii="Arial" w:cs="Arial" w:eastAsia="Arial" w:hAnsi="Arial"/>
          <w:sz w:val="18"/>
          <w:szCs w:val="18"/>
          <w:i w:val="1"/>
          <w:iCs w:val="1"/>
          <w:color w:val="auto"/>
        </w:rPr>
        <w:t>“Aircraft Emissions and Climate Change Requirements”</w:t>
      </w:r>
      <w:r>
        <w:rPr>
          <w:rFonts w:ascii="Arial" w:cs="Arial" w:eastAsia="Arial" w:hAnsi="Arial"/>
          <w:sz w:val="18"/>
          <w:szCs w:val="18"/>
          <w:color w:val="auto"/>
        </w:rPr>
        <w:t xml:space="preserve"> under Item 1. Business – Domestic and Global Regulatory Landscape – Environmental Matters in our 2021 Form 10-K.</w:t>
      </w:r>
    </w:p>
    <w:p>
      <w:pPr>
        <w:spacing w:after="0" w:line="141" w:lineRule="exact"/>
        <w:rPr>
          <w:sz w:val="20"/>
          <w:szCs w:val="20"/>
          <w:color w:val="auto"/>
        </w:rPr>
      </w:pPr>
    </w:p>
    <w:p>
      <w:pPr>
        <w:jc w:val="both"/>
        <w:ind w:firstLine="243"/>
        <w:spacing w:after="0" w:line="245"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because it is difficult to estimate the return of demand for international air travel during and in the recovery from the COVID-19 pandemic. There is also significant uncertainty with respect to the future supply and price of carbon offset credits and sustainable or lower carbon aircraft fuels that could allow us to reduce our emissions of CO</w:t>
      </w:r>
      <w:r>
        <w:rPr>
          <w:rFonts w:ascii="Arial" w:cs="Arial" w:eastAsia="Arial" w:hAnsi="Arial"/>
          <w:sz w:val="23"/>
          <w:szCs w:val="23"/>
          <w:color w:val="auto"/>
          <w:vertAlign w:val="subscript"/>
        </w:rPr>
        <w:t>2</w:t>
      </w:r>
      <w:r>
        <w:rPr>
          <w:rFonts w:ascii="Arial" w:cs="Arial" w:eastAsia="Arial" w:hAnsi="Arial"/>
          <w:sz w:val="18"/>
          <w:szCs w:val="18"/>
          <w:color w:val="auto"/>
        </w:rPr>
        <w:t>. In addition, we will not directly control our CORSIA compliance costs through 2029 because those obligations are based on the growth in emissions of the global aviation sector and begin to incorporate a factor for individual airline operator emissions growth beginning in 2030.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1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could affect global competitors differently without offering meaningful aviation environmental improvements. Concerns over climate change are likely to result in continued attempts by municipal, state, regional, and federal agencies to adopt requirements or change business environments related to aviation that, if successful, may result in increased costs to the airline industry and us. In addition, several countries and U.S. states have adopted or are considering adopting programs, including new taxes, to regulate domestic GHG emissions. Finally, certain airports have adopted, and others could in the future adopt, GHG emission or climate-related goals that could impact our operations or require us to make changes or investments in our infrastructure.</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2021, the U.S. Environmental Protection Agency (EPA) adopted GHG emission standards for new aircraft engines, which are aligned with the 2017 ICAO aircraft engine GHG emission standards. Like the ICAO standards, the final EPA standards for new aircraft engines would not apply retroactively to engines already on in-service aircraft. These final standards have been challenged by several states and environmental groups, and the Biden Administration has issued an executive order requiring a review of these final standards. On November 15, 2021, the EPA announced that it will not rewrite the existing aircraft engine GHG emissions standards but will press for ambitious new aircraft GHG emission standards at international negotiations organized by the ICAO in 2022. The outcome of the legal challenge and the development of new aircraft GHG emissions standards cannot be predicted at this time. In addition, on September 9, 2021, the Biden Administration launched the Sustainable Aviation Fuel Grand Challenge to scale up the production of sustainable aviation fuel, aiming to reduce GHG emissions from aviation by 20% by 2030 and to replace all traditional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aviation fuel with sustainable aviation fuel by 2050. Whether these goals will be achieved and the potential effects on our business cannot be predicted at this time.</w:t>
      </w:r>
    </w:p>
    <w:p>
      <w:pPr>
        <w:spacing w:after="0" w:line="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2021, the EC proposed legislation that would expand the application of and increase the stringency of the EU ETS to include flights into and out of the Europe Economic Area beginning in 2027 under certain circumstances. Further, the EC is considering the creation of a sustainable aviation fuel (SAF) blending mandate for aviation fuel suppliers beginning in 2025, among other requirements. Individual EU member states have been developing their own requirements including, for example, a SAF mandate in France that came into force on January 1, 2022.</w:t>
      </w:r>
    </w:p>
    <w:p>
      <w:pPr>
        <w:spacing w:after="0" w:line="12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before cost-effective emissions reduction technologies are available, for example through requirements to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spacing w:after="0" w:line="12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Growing recognition among consumers of the dangers of climate change may mean some customers choose to fly less frequently or fly on an airline they perceive as operating in a manner that is more sustainable to the climate. Business customers may choose to use alternatives to travel, such as virtual meetings and workspaces. Greater development of high-speed rail in markets now served by short-haul flights could provide passengers with lower-carbon alternatives to flying with us. Our collateral to secure loans, in the form of aircraft, spare parts and airport slots, could lose value as customer demand shifts and economies move to low-carbon alternatives, which may increase our financing cost.</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the canceling of flights,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spacing w:after="0" w:line="12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sites, although such costs currently are not expected to have a material adverse effect on our business.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Governmental authorities in the U.S. and abroad are increasingly focused on potential contamination resulting from the use of so-called “forever chemicals,” most notably per- and polyfluoroalkyl, substances (PFAS). Products containing PFAS have been used in manufacturing, industrial, and consumer applications over many decades, including those related to aviation. We may incur costs in connection with obligations to transition away from the usage of PFAS-containing products, to dispose of PFAS-containing waste or to remediate any PFAS contamination.</w:t>
      </w:r>
    </w:p>
    <w:p>
      <w:pPr>
        <w:spacing w:after="0" w:line="1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airspace and airports we utilize.</w:t>
      </w:r>
    </w:p>
    <w:p>
      <w:pPr>
        <w:spacing w:after="0" w:line="21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2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Large numbers of pilots in the industry accepted early retirement during the COVID-19 pandemic or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Further, in the course of the domestic airline industry rapidly restoring capacity during the recovery from the COVID-19 pandemic, the significant training requirements to return large numbers of pilots to active flying have been time consuming and disruptive.</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These and other factors have contributed to a significant shortage of qualified, entry-level pilots, shortages of experienced pilots trained and ready for duty, and increased compensation costs, particularly for our regional subsidiaries and our other regional partners who are being required by market conditions to pay significantly increased wages and large signing and other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airline subsidiaries and other regional partners have recently been unable to hire adequate numbers of pilots to meet their needs, resulting in a reduction in the number of flights offered, disruptions, increased compensation expense and costs of operations, financial difficulties and other adverse effects, and these circumstances may become more severe in the future and thereby cause a material adverse effect on our business.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88"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We depend on a limited number of suppliers for aircraft, aircraft engines and many aircraft and engine parts. For example, as of the end of 2021, all of our mainline aircraft were manufactured by either Airbus or Boeing and all of our regional aircraft were manufactured by either Bombardier or Embraer. Further, our supplier base continues to consolidate as evidenced by the acquisition of Rockwell Collins by United Technologies and the transactions involving Airbus and Bombardier and Mitsubishi and Bombardier.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 For instance, in March 2019, the FAA ordered the grounding of all Boeing 737 MAX Family aircraft, which remained in place for over a year and was not lifted in the United States until November 2020, and in April 2021, we removed from operations, pending ongoing inspection and investigation, a subset of our Boeing 737 MAX Family aircraft after receipt of notice from Boeing of a potential electrical power system issue relating to those aircraft. More recently, Boeing has been unable to deliver 787 aircraft that we have on order due to regulatory concerns raised by the FAA, as a result of which we have been forced, on more than one occasion, to significantly reduce our previously scheduled long-haul flying and suspend or delay our service to certain long-haul markets. The limited number of these suppliers may also result in reduced competition and potentially higher prices than if the supplier base was less concentrated.</w:t>
      </w:r>
    </w:p>
    <w:p>
      <w:pPr>
        <w:spacing w:after="0" w:line="202" w:lineRule="exact"/>
        <w:rPr>
          <w:sz w:val="20"/>
          <w:szCs w:val="20"/>
          <w:color w:val="auto"/>
        </w:rPr>
      </w:pPr>
    </w:p>
    <w:p>
      <w:pPr>
        <w:ind w:left="260" w:right="20"/>
        <w:spacing w:after="0" w:line="294"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Family aircraft, including the 24 aircraft in our fleet at the time of the grounding, and which caused us to be unable to take delivery of the Boeing 737 MAX Family aircraft we had on order from Boeing. More recently, Boeing has been unable to deliver 787 aircraft that we have on order due to regulatory concerns raised by the FAA, as a result of which we have been forced, on more than one occasion, to significantly reduce our previously scheduled long-haul flying and suspend or delay our service to certain long-haul markets. Repeated or prolonged delays in the production, delivery or induction of our new aircraft could require us to scale back our growth plans, reduce frequencies or forgo service entirely to certain markets, which could adversely affect our business, financial condition and results of operations.</w:t>
      </w:r>
    </w:p>
    <w:p>
      <w:pPr>
        <w:spacing w:after="0" w:line="214"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3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aircraft employ a number of sophisticated radio and satellite-based navigation and safety technologies, and we are subject to risks associated with the introduction or expansion of technologies that could interfere with the safe operation of these flight systems. For example, telecommunications companies are expanding and increasing the commercial and consumer applications of 5G cellular communication networks, and regulators, manufacturers and operators have expressed concerns that certain 5G applications could interfere with certain flight systems. On December 23, 2021, the FAA issued a special airworthiness information bulletin (SAIB), in which it indicated that further testing and assessment is needed regarding the effects of 5G on certain aircraft equipped with radar altimeters, which measure the aircraft’s altitude and guide pilots during landings. If it were determined that 5G signals posed an interference risk to these altimeters or other systems, the FAA indicated in its SAIB that it could restrict flight operations in areas where such interference could occur. On January 18, 2022, major U.S. telecommunications companies agreed to delay the implementation of 5G near airports while working with the FAA to develop long-term mitigations to support safe aviation operations. While the telecommunications industry agreed to delay the activation of 5G transmitters in close proximity to airports, it did move forward with the activation of a vast majority of 5G transmitters away from airports, and we expect that companies will continue expanding their 5G networks through the winter and spring of 2022. As a result, the FAA has taken precautionary steps to mitigate any remaining interference risks, which have resulted in minimal impacts to our operations, particularly in low-visibility conditions at certain airports and with our regional carriers. While we are working closely with the FAA and other aviation industry participants to develop a long-term strategy that permits the full implementation of the 5G spectrum without disruption to safe aviation operations, any new restrictions imposed to mitigate interference risks would require us to adjust our operating procedures and could impact our ability to operate certain aircraft or to serve certain markets.</w:t>
      </w:r>
    </w:p>
    <w:p>
      <w:pPr>
        <w:spacing w:after="0" w:line="13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technologies and automated systems are not completely protected against events that are beyond our control, including natural disasters, power failures, terrorist attacks, cyber-attacks, data theft, equipment and software failures, computer viruses or telecommunications failures. When service interruptions occur as a result of any of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aforementioned events, we address them in accordance with applicable laws, rules and regulations. However,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08"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or privacy incident could disrupt our operations, harm our reputation, expose us to legal risks and otherwise materially adversely affect our business, results of operations and financial condition.</w:t>
      </w:r>
    </w:p>
    <w:p>
      <w:pPr>
        <w:spacing w:after="0" w:line="2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However, like any global enterprise operating in today’s digital business environment, we have experienced cybersecurity incidents and data breaches. The threat of cybersecurity incidents continues to increase as the frequency, intensity and sophistication of attacks and intrusions increase around the world. We and our business partners have been the target of cybersecurity attacks and data breaches in the past and expect that we will continue to be in the future. We react and respond to these cybersecurity attacks in accordance with the applicable legal requirements, our own approved cybersecurity protocols, as well as our commercial partners’ standards, but we cannot ensure that our responses will be sufficient to prevent or mitigate the potential adverse impacts of these incidents, which may be material.</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data privacy and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General Data Protection Regulation, commonly referred to as GDPR, came into effect, which imposes a host of data privacy and security requirements, imposing significant costs on us and carrying substantial penalties for non-compliance.</w:t>
      </w:r>
    </w:p>
    <w:p>
      <w:pPr>
        <w:spacing w:after="0" w:line="13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2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significant cybersecurity incident involving us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For example, in March 2021, a sub-set of AAdvantage members as well as members of several other major airline loyalty programs received a notification about a security incident involving a limited amount of loyalty data held by a service provider. The methods used to obtain unauthorized access, disable or degrade service or sabotage systems are constantly evolving and may be difficult to anticipate or to detect for long periods of time. The constantly changing nature of the threats means that we cannot and have not been able to prevent all data security breaches or misuse of data.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 In addition, we use third-party service providers to help us deliver services to customers. These service providers may store personal information, credit card information and/or other confidential information. Such information may be the target of unauthorized access or subject to security breaches as a result of third-party action, employee error, malfeasance or otherwise. Any of these could (a) result in the loss of information, litigation, indemnity obligations, damage to our reputation and other liability, or (b)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The increased regulatory focus on data privacy practices apart from how personal data is secured, such as how personal data is collected, used for marketing purposes, and shared with third parties, also increases the risk on our business in the event of a significant violation. Accordingly, failure to appropriately address data privacy and cybersecurity issues could result in material financial and other liabilities and cause significant reputational harm to our company.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rely on third-party distribution channels, including those provided by or through global distribution systems (GDSs) (e.g., Amadeus, Sabre and Travelport),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 In addition, our agreements with GDSs and other distribution channels are subject to periodic renegotiation, and our efforts to control our distribution costs depend on our ability to renew or continue these agreements on favorable terms. We cannot assure that we will be able to renew our distribution agreements on commercially acceptable terms, and any failure to do so could materially increase our costs, thereby adversely impacting our business, financial condition and results of operations.</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Dallas/Fort Worth International Airport, JFK, Chicago O’Hare International Airport (ORD), LAX and LGA.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impose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DCA and LGA are also limited based on a so -called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resulting from the COVID-19 pandemic, we are in many instances relying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continue to be granted, whether they will be granted on the same or similar terms, or whether we ultimately could be at risk of losing valuable operating rights. If we are forced to surrender slots, we may be unable to provide our desired level of service to or from certain destinations in the future.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3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gates and other facilities are currently inadequate to accommodate all of the service that we would like to provide, or airports such as Dallas Love Field Airport where we have no access to gates at all.</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in London Heathrow (among others). Substantially all of our flights either originate at or fly into one of these locations. A significant interruption or disruption 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The occurrence or persistence of certain events, including armed conflicts, could also impact our ability to obtain commercial insurance coverage against certain risks, or to obtain such insurance on commercially acceptable terms. If we are unable to maintain adequate insurance coverage or to secure suitable alternatives outside the commercial insurance markets,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3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88"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99"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or the U.S. and global economies;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 (which we have suspended for an indefinite period in accordance with the applicable requirements under the CARES Act, the PSP Extension Law and the ARP);</w:t>
      </w:r>
    </w:p>
    <w:p>
      <w:pPr>
        <w:spacing w:after="0" w:line="12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1" w:lineRule="exact"/>
        <w:rPr>
          <w:rFonts w:ascii="Arial" w:cs="Arial" w:eastAsia="Arial" w:hAnsi="Arial"/>
          <w:sz w:val="18"/>
          <w:szCs w:val="18"/>
          <w:color w:val="auto"/>
        </w:rPr>
      </w:pPr>
    </w:p>
    <w:p>
      <w:pPr>
        <w:jc w:val="both"/>
        <w:ind w:left="1300" w:hanging="644"/>
        <w:spacing w:after="0" w:line="262"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issued in connection with our receipt of funds under the CARES Act, the PSP Extension Law and the ARP;</w:t>
      </w:r>
    </w:p>
    <w:p>
      <w:pPr>
        <w:spacing w:after="0" w:line="122"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1" w:lineRule="exact"/>
        <w:rPr>
          <w:rFonts w:ascii="Arial" w:cs="Arial" w:eastAsia="Arial" w:hAnsi="Arial"/>
          <w:sz w:val="18"/>
          <w:szCs w:val="18"/>
          <w:color w:val="auto"/>
        </w:rPr>
      </w:pPr>
    </w:p>
    <w:p>
      <w:pPr>
        <w:jc w:val="both"/>
        <w:ind w:left="1300" w:hanging="644"/>
        <w:spacing w:after="0" w:line="259"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1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closing price of our common stock on Nasdaq varied from $15.00 to $25.82 during 2021 and $12.84 to $19.34 during 2022 year-to-date through April 14, 2022. At times during this period, fluctuations in our stock price have been rapid, imposing risks on investors due to the possibility of significant, short-term price volatility. While we believe that this wide range of trading prices is broadly indicative of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ectPr>
          <w:pgSz w:w="11900" w:h="16838" w:orient="portrait"/>
          <w:cols w:equalWidth="0" w:num="1">
            <w:col w:w="11240"/>
          </w:cols>
          <w:pgMar w:left="320" w:top="121" w:right="33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260"/>
        <w:spacing w:after="0" w:line="265" w:lineRule="auto"/>
        <w:rPr>
          <w:sz w:val="20"/>
          <w:szCs w:val="20"/>
          <w:color w:val="auto"/>
        </w:rPr>
      </w:pPr>
      <w:r>
        <w:rPr>
          <w:rFonts w:ascii="Arial" w:cs="Arial" w:eastAsia="Arial" w:hAnsi="Arial"/>
          <w:sz w:val="18"/>
          <w:szCs w:val="18"/>
          <w:b w:val="1"/>
          <w:bCs w:val="1"/>
          <w:i w:val="1"/>
          <w:iCs w:val="1"/>
          <w:color w:val="auto"/>
        </w:rPr>
        <w:t>We have ceased making repurchases of our common stock and paying dividends on our common stock as required by the CARES Act, the PSP Extension Law and the ARP. Following the end of those restrictions, if we do decide to make repurchases of or pay dividends on our common stock, we cannot guarantee that we will continue to do so or that our capital deployment program will enhance long-term stockholder value.</w:t>
      </w:r>
    </w:p>
    <w:p>
      <w:pPr>
        <w:spacing w:after="0" w:line="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financial assistance provided under PSP1, PSP2 and PSP3, we agreed not to repurchase shares of AAG common stock through September 30, 2022. If we determine to make any share repurchases in the future, such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again at any time at our discretion and without prior notice. The timing and amount of repurchases, if any, will be subject to market and economic conditions, applicable legal requirements, such as the requirements of the CARES Act, the PSP Extension Law, the ARP and other relevant factors. Our repurchase of AAG common stock may be limited, suspended or discontinued at any time at our discretion and without prior notice.</w:t>
      </w:r>
    </w:p>
    <w:p>
      <w:pPr>
        <w:spacing w:after="0" w:line="1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financial assistance provided under PSP1, PSP2 and PSP3, we agreed not to pay dividends on AAG common stock through September 30, 2022.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3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they will do so.</w:t>
      </w:r>
    </w:p>
    <w:p>
      <w:pPr>
        <w:spacing w:after="0" w:line="212"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 and specify an exclusive forum for certain stockholder disputes.</w:t>
      </w:r>
    </w:p>
    <w:p>
      <w:pPr>
        <w:spacing w:after="0" w:line="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and AAG’s Description of the Registrants’ Securities Registered Pursuant to Section 12 of the Exchange Act, which is filed as Exhibit 4.1 in our 2021 Form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Certificate of Incorporation also specifies that the Court of Chancery of the State of Delaware shall be the exclusive forum for substantially all disputes between us and our stockholders. 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of 1933 (Securities Act). We note that there is uncertainty as to whether a court would enforce the provision as it applies to the Securities Act and that investors cannot waive compliance with the federal securities laws and the rules and regulations thereunder. This provision may have the effect of discouraging lawsuits against our directors and officers.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spacing w:after="0" w:line="294"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17"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98"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CARES Act, the PSP Extension Law, the ARP, PSP1, PSP2 and PSP3, could depress the trading price of our common stock and the Convertible Notes.</w:t>
      </w:r>
    </w:p>
    <w:p>
      <w:pPr>
        <w:spacing w:after="0" w:line="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PSP1, PSP2 or PSP3). If these additional shares or securities are issued or sold, or if it is perceived that they will be sold, into the public market or otherwise, the price of our common stock and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Convertible Notes could decline substantially.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5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6"/>
        </w:trPr>
        <w:tc>
          <w:tcPr>
            <w:tcW w:w="2980" w:type="dxa"/>
            <w:vAlign w:val="bottom"/>
          </w:tcPr>
          <w:p>
            <w:pPr>
              <w:jc w:val="center"/>
              <w:ind w:right="2348"/>
              <w:spacing w:after="0"/>
              <w:rPr>
                <w:sz w:val="20"/>
                <w:szCs w:val="20"/>
                <w:color w:val="auto"/>
              </w:rPr>
            </w:pPr>
            <w:r>
              <w:rPr>
                <w:rFonts w:ascii="Arial" w:cs="Arial" w:eastAsia="Arial" w:hAnsi="Arial"/>
                <w:sz w:val="14"/>
                <w:szCs w:val="14"/>
                <w:b w:val="1"/>
                <w:bCs w:val="1"/>
                <w:u w:val="single" w:color="auto"/>
                <w:color w:val="auto"/>
              </w:rPr>
              <w:t>Number</w:t>
            </w: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Supplemental Agreement No. 17, dated as of January 31, 2022, to Purchase Agreement No. 3219 between American Airlines, Inc., and The Boeing Company.*</w:t>
      </w:r>
    </w:p>
    <w:p>
      <w:pPr>
        <w:ind w:left="20"/>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u w:val="single" w:color="auto"/>
          <w:color w:val="0000FF"/>
        </w:rPr>
        <w:t>Supplemental Agreement No. 21, dated as of January 14, 2022, to Purchase Agreement No. 03735 dated as of February 1,</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0000FF"/>
        </w:rPr>
        <w:t>2013, between American Airlines, Inc. and The Boeing Company.*</w:t>
      </w:r>
    </w:p>
    <w:p>
      <w:pPr>
        <w:spacing w:after="0" w:line="3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u w:val="single" w:color="auto"/>
          <w:color w:val="0000FF"/>
        </w:rPr>
        <w:t>Supplemental Agreement No. 22, dated as of January 31, 2022, to Purchase Agreement No. 03735 dated as of February 1,</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0000FF"/>
        </w:rPr>
        <w:t>2013, between American Airlines, Inc. and The Boeing Company.*</w:t>
      </w:r>
    </w:p>
    <w:p>
      <w:pPr>
        <w:spacing w:after="0" w:line="3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AAG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AAG Chief Financial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u w:val="single" w:color="auto"/>
          <w:color w:val="0000FF"/>
        </w:rPr>
        <w:t>Certification of American Chief Executive Officer pursuant to Rule 13a-14(a).</w:t>
      </w:r>
    </w:p>
    <w:p>
      <w:pPr>
        <w:spacing w:after="0" w:line="50"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u w:val="single" w:color="auto"/>
          <w:color w:val="0000FF"/>
        </w:rPr>
        <w:t>Certification of American Chief Financial Officer pursuant to Rule 13a-14(a).</w:t>
      </w:r>
    </w:p>
    <w:p>
      <w:pPr>
        <w:spacing w:after="0" w:line="50" w:lineRule="exact"/>
        <w:rPr>
          <w:sz w:val="20"/>
          <w:szCs w:val="20"/>
          <w:color w:val="auto"/>
        </w:rPr>
      </w:pP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AAG Certification pursuant to Rule 13a-14(b) and section 906 of the Sarbanes-Oxley Act of 2002 (subsections (a) and (b) of section 1350, chapter 63 of title 18, United States Code).</w:t>
      </w: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American Certification pursuant to Rule 13a-14(b) and section 906 of the Sarbanes-Oxley Act of 2002 (subsections (a) and (b) of section 1350, chapter 63 of title 18, United States Code).</w:t>
      </w:r>
    </w:p>
    <w:p>
      <w:pPr>
        <w:ind w:left="760" w:right="200" w:hanging="741"/>
        <w:spacing w:after="0" w:line="266" w:lineRule="auto"/>
        <w:tabs>
          <w:tab w:leader="none" w:pos="740" w:val="left"/>
        </w:tabs>
        <w:rPr>
          <w:sz w:val="20"/>
          <w:szCs w:val="20"/>
          <w:color w:val="auto"/>
        </w:rPr>
      </w:pPr>
      <w:r>
        <w:rPr>
          <w:rFonts w:ascii="Arial" w:cs="Arial" w:eastAsia="Arial" w:hAnsi="Arial"/>
          <w:sz w:val="18"/>
          <w:szCs w:val="18"/>
          <w:color w:val="auto"/>
        </w:rPr>
        <w:t>101.1</w:t>
        <w:tab/>
        <w:t>Interactive data files pursuant to Rule 405 of Regulation S-T, formatted in Inline XBRL (eXtensible Business Reporting Language).</w:t>
      </w:r>
    </w:p>
    <w:p>
      <w:pPr>
        <w:ind w:left="20"/>
        <w:spacing w:after="0"/>
        <w:tabs>
          <w:tab w:leader="none" w:pos="740" w:val="left"/>
        </w:tabs>
        <w:rPr>
          <w:sz w:val="20"/>
          <w:szCs w:val="20"/>
          <w:color w:val="auto"/>
        </w:rPr>
      </w:pPr>
      <w:r>
        <w:rPr>
          <w:rFonts w:ascii="Arial" w:cs="Arial" w:eastAsia="Arial" w:hAnsi="Arial"/>
          <w:sz w:val="18"/>
          <w:szCs w:val="18"/>
          <w:color w:val="auto"/>
        </w:rPr>
        <w:t>104.1</w:t>
        <w:tab/>
        <w:t>Cover page interactive data file (formatted in Inline XBRL and contained in Exhibit 101.1).</w:t>
      </w:r>
    </w:p>
    <w:p>
      <w:pPr>
        <w:spacing w:after="0" w:line="293" w:lineRule="exact"/>
        <w:rPr>
          <w:sz w:val="20"/>
          <w:szCs w:val="20"/>
          <w:color w:val="auto"/>
        </w:rPr>
      </w:pPr>
    </w:p>
    <w:p>
      <w:pPr>
        <w:ind w:right="20" w:firstLine="8"/>
        <w:spacing w:after="0" w:line="287" w:lineRule="auto"/>
        <w:tabs>
          <w:tab w:leader="none" w:pos="126"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Item 601(b)(10) of Regulation S-K because it (i) is not material and (ii) would be competitively harmful if publicly disclosed.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Group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April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Chair, Chief Financial Officer and</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American Eagle</w:t>
      </w:r>
    </w:p>
    <w:p>
      <w:pPr>
        <w:spacing w:after="0" w:line="3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25" w:lineRule="exact"/>
        <w:rPr>
          <w:sz w:val="20"/>
          <w:szCs w:val="20"/>
          <w:color w:val="auto"/>
        </w:rPr>
      </w:pPr>
    </w:p>
    <w:p>
      <w:pPr>
        <w:ind w:firstLine="243"/>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Inc.</w:t>
      </w:r>
    </w:p>
    <w:p>
      <w:pPr>
        <w:spacing w:after="0" w:line="293" w:lineRule="exact"/>
        <w:rPr>
          <w:sz w:val="20"/>
          <w:szCs w:val="20"/>
          <w:color w:val="auto"/>
        </w:rPr>
      </w:pPr>
    </w:p>
    <w:p>
      <w:pPr>
        <w:ind w:left="20"/>
        <w:spacing w:after="0"/>
        <w:tabs>
          <w:tab w:leader="none" w:pos="4740" w:val="left"/>
          <w:tab w:leader="none" w:pos="5440" w:val="left"/>
        </w:tabs>
        <w:rPr>
          <w:sz w:val="20"/>
          <w:szCs w:val="20"/>
          <w:color w:val="auto"/>
        </w:rPr>
      </w:pPr>
      <w:r>
        <w:rPr>
          <w:rFonts w:ascii="Arial" w:cs="Arial" w:eastAsia="Arial" w:hAnsi="Arial"/>
          <w:sz w:val="18"/>
          <w:szCs w:val="18"/>
          <w:color w:val="auto"/>
        </w:rPr>
        <w:t>Date: April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17780</wp:posOffset>
            </wp:positionV>
            <wp:extent cx="3488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Vice Chair, Chief Financial Officer and</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American Eagle</w:t>
      </w:r>
    </w:p>
    <w:p>
      <w:pPr>
        <w:spacing w:after="0" w:line="3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1" w:right="339" w:bottom="1440" w:gutter="0" w:footer="0" w:header="0"/>
        </w:sectPr>
      </w:pPr>
    </w:p>
    <w:bookmarkStart w:id="93" w:name="page94"/>
    <w:bookmarkEnd w:id="93"/>
    <w:p>
      <w:pPr>
        <w:ind w:left="10240"/>
        <w:spacing w:after="0"/>
        <w:rPr>
          <w:sz w:val="20"/>
          <w:szCs w:val="20"/>
          <w:color w:val="auto"/>
        </w:rPr>
      </w:pPr>
      <w:r>
        <w:rPr>
          <w:rFonts w:ascii="Arial" w:cs="Arial" w:eastAsia="Arial" w:hAnsi="Arial"/>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40575" cy="2832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54" w:lineRule="exact"/>
        <w:rPr>
          <w:sz w:val="20"/>
          <w:szCs w:val="20"/>
          <w:color w:val="auto"/>
        </w:rPr>
      </w:pPr>
    </w:p>
    <w:p>
      <w:pPr>
        <w:ind w:left="40" w:right="8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SUPPLEMENTAL AGREEMENT NO. 17</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20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Purchase Agreement No. 3219</w:t>
      </w: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THE BOEING COMPANY</w:t>
      </w:r>
    </w:p>
    <w:p>
      <w:pPr>
        <w:spacing w:after="0" w:line="20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Relating to Boeing Model 787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972"/>
        <w:spacing w:after="0" w:line="227" w:lineRule="auto"/>
        <w:rPr>
          <w:sz w:val="20"/>
          <w:szCs w:val="20"/>
          <w:color w:val="auto"/>
        </w:rPr>
      </w:pPr>
      <w:r>
        <w:rPr>
          <w:rFonts w:ascii="Times New Roman" w:cs="Times New Roman" w:eastAsia="Times New Roman" w:hAnsi="Times New Roman"/>
          <w:sz w:val="22"/>
          <w:szCs w:val="22"/>
          <w:color w:val="auto"/>
        </w:rPr>
        <w:t>THIS SUPPLEMENTAL AGREEMENT No. 17 (</w:t>
      </w:r>
      <w:r>
        <w:rPr>
          <w:rFonts w:ascii="Times New Roman" w:cs="Times New Roman" w:eastAsia="Times New Roman" w:hAnsi="Times New Roman"/>
          <w:sz w:val="22"/>
          <w:szCs w:val="22"/>
          <w:b w:val="1"/>
          <w:bCs w:val="1"/>
          <w:i w:val="1"/>
          <w:iCs w:val="1"/>
          <w:color w:val="auto"/>
        </w:rPr>
        <w:t>SA-17</w:t>
      </w:r>
      <w:r>
        <w:rPr>
          <w:rFonts w:ascii="Times New Roman" w:cs="Times New Roman" w:eastAsia="Times New Roman" w:hAnsi="Times New Roman"/>
          <w:sz w:val="22"/>
          <w:szCs w:val="22"/>
          <w:color w:val="auto"/>
        </w:rPr>
        <w:t>) is made between THE BOEING COMPANY, a Delaware corporation with offices in Seattle, Washington (</w:t>
      </w:r>
      <w:r>
        <w:rPr>
          <w:rFonts w:ascii="Times New Roman" w:cs="Times New Roman" w:eastAsia="Times New Roman" w:hAnsi="Times New Roman"/>
          <w:sz w:val="22"/>
          <w:szCs w:val="22"/>
          <w:b w:val="1"/>
          <w:bCs w:val="1"/>
          <w:i w:val="1"/>
          <w:iCs w:val="1"/>
          <w:color w:val="auto"/>
        </w:rPr>
        <w:t>Boeing</w:t>
      </w:r>
      <w:r>
        <w:rPr>
          <w:rFonts w:ascii="Times New Roman" w:cs="Times New Roman" w:eastAsia="Times New Roman" w:hAnsi="Times New Roman"/>
          <w:sz w:val="22"/>
          <w:szCs w:val="22"/>
          <w:color w:val="auto"/>
        </w:rPr>
        <w:t>), and AMERICAN AIRLINES, INC, a Delaware corporation with offices in Fort Worth, Texas, together with its successors and permitted assigns (</w:t>
      </w:r>
      <w:r>
        <w:rPr>
          <w:rFonts w:ascii="Times New Roman" w:cs="Times New Roman" w:eastAsia="Times New Roman" w:hAnsi="Times New Roman"/>
          <w:sz w:val="22"/>
          <w:szCs w:val="22"/>
          <w:b w:val="1"/>
          <w:bCs w:val="1"/>
          <w:i w:val="1"/>
          <w:iCs w:val="1"/>
          <w:color w:val="auto"/>
        </w:rPr>
        <w:t>Customer</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972"/>
        <w:spacing w:after="0" w:line="225" w:lineRule="auto"/>
        <w:rPr>
          <w:sz w:val="20"/>
          <w:szCs w:val="20"/>
          <w:color w:val="auto"/>
        </w:rPr>
      </w:pPr>
      <w:r>
        <w:rPr>
          <w:rFonts w:ascii="Times New Roman" w:cs="Times New Roman" w:eastAsia="Times New Roman" w:hAnsi="Times New Roman"/>
          <w:sz w:val="22"/>
          <w:szCs w:val="22"/>
          <w:color w:val="auto"/>
        </w:rPr>
        <w:t>WHEREAS, Boeing and Customer entered into Purchase Agreement No. 3219 dated October 15, 2008, relating to Boeing Model 787 aircraft, as amended and supplemented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color w:val="auto"/>
        </w:rPr>
        <w:t>) and capitalized terms used herein without definitions shall have the meanings specified in such Purchase Agreement;</w:t>
      </w:r>
    </w:p>
    <w:p>
      <w:pPr>
        <w:spacing w:after="0" w:line="152" w:lineRule="exact"/>
        <w:rPr>
          <w:sz w:val="20"/>
          <w:szCs w:val="20"/>
          <w:color w:val="auto"/>
        </w:rPr>
      </w:pPr>
    </w:p>
    <w:p>
      <w:pPr>
        <w:jc w:val="both"/>
        <w:ind w:right="20" w:firstLine="972"/>
        <w:spacing w:after="0" w:line="236" w:lineRule="auto"/>
        <w:rPr>
          <w:sz w:val="20"/>
          <w:szCs w:val="20"/>
          <w:color w:val="auto"/>
        </w:rPr>
      </w:pPr>
      <w:r>
        <w:rPr>
          <w:rFonts w:ascii="Times New Roman" w:cs="Times New Roman" w:eastAsia="Times New Roman" w:hAnsi="Times New Roman"/>
          <w:sz w:val="22"/>
          <w:szCs w:val="22"/>
          <w:color w:val="auto"/>
        </w:rPr>
        <w:t>WHEREAS, Customer and Boeing agree to [***] the [***] 787-9 Aircraft in Table 5(R1), with the current [***] in [***] to revised [***] in [***]; and</w:t>
      </w:r>
    </w:p>
    <w:p>
      <w:pPr>
        <w:spacing w:after="0" w:line="150" w:lineRule="exact"/>
        <w:rPr>
          <w:sz w:val="20"/>
          <w:szCs w:val="20"/>
          <w:color w:val="auto"/>
        </w:rPr>
      </w:pPr>
    </w:p>
    <w:p>
      <w:pPr>
        <w:jc w:val="both"/>
        <w:ind w:firstLine="972"/>
        <w:spacing w:after="0" w:line="236" w:lineRule="auto"/>
        <w:rPr>
          <w:sz w:val="20"/>
          <w:szCs w:val="20"/>
          <w:color w:val="auto"/>
        </w:rPr>
      </w:pPr>
      <w:r>
        <w:rPr>
          <w:rFonts w:ascii="Times New Roman" w:cs="Times New Roman" w:eastAsia="Times New Roman" w:hAnsi="Times New Roman"/>
          <w:sz w:val="22"/>
          <w:szCs w:val="22"/>
          <w:color w:val="auto"/>
        </w:rPr>
        <w:t>WHEREAS, Customer and Boeing agree to [***] the [***] 787-9 Aircraft in Table 7, with the current [***] in [***] to revised [***] in [***];</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NOW, THEREFORE, the parties agree that the Purchase Agreement is amended as set forth below and otherwise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Table of Contents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Table of Contents referencing SA-16 in the footer is deleted in its entirety and is replaced with the new Table of Contents (attached hereto) referencing SA-17 in the footer. Such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940" w:val="left"/>
          <w:tab w:leader="none" w:pos="1940" w:val="left"/>
        </w:tabs>
        <w:rPr>
          <w:sz w:val="20"/>
          <w:szCs w:val="20"/>
          <w:color w:val="auto"/>
        </w:rPr>
      </w:pPr>
      <w:r>
        <w:rPr>
          <w:rFonts w:ascii="Times New Roman" w:cs="Times New Roman" w:eastAsia="Times New Roman" w:hAnsi="Times New Roman"/>
          <w:sz w:val="22"/>
          <w:szCs w:val="22"/>
          <w:color w:val="auto"/>
        </w:rPr>
        <w:t>PA 3219</w:t>
        <w:tab/>
        <w:t>SA-17</w:t>
      </w:r>
      <w:r>
        <w:rPr>
          <w:sz w:val="20"/>
          <w:szCs w:val="20"/>
          <w:color w:val="auto"/>
        </w:rPr>
        <w:tab/>
      </w:r>
      <w:r>
        <w:rPr>
          <w:rFonts w:ascii="Times New Roman" w:cs="Times New Roman" w:eastAsia="Times New Roman" w:hAnsi="Times New Roman"/>
          <w:sz w:val="21"/>
          <w:szCs w:val="21"/>
          <w:color w:val="auto"/>
        </w:rPr>
        <w:t>Page 1</w:t>
      </w:r>
    </w:p>
    <w:p>
      <w:pPr>
        <w:jc w:val="center"/>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new Table of Contents is hereby incorporated into the Purchase Agreement in replacement of its predecessor.</w:t>
      </w:r>
    </w:p>
    <w:p>
      <w:pPr>
        <w:spacing w:after="0" w:line="121"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Tables</w:t>
      </w:r>
      <w:r>
        <w:rPr>
          <w:rFonts w:ascii="Times New Roman" w:cs="Times New Roman" w:eastAsia="Times New Roman" w:hAnsi="Times New Roman"/>
          <w:sz w:val="22"/>
          <w:szCs w:val="22"/>
          <w:b w:val="1"/>
          <w:bCs w:val="1"/>
          <w:color w:val="auto"/>
        </w:rPr>
        <w:t>.</w:t>
      </w:r>
    </w:p>
    <w:p>
      <w:pPr>
        <w:spacing w:after="0" w:line="318" w:lineRule="exact"/>
        <w:rPr>
          <w:sz w:val="20"/>
          <w:szCs w:val="20"/>
          <w:color w:val="auto"/>
        </w:rPr>
      </w:pPr>
    </w:p>
    <w:p>
      <w:pPr>
        <w:jc w:val="both"/>
        <w:ind w:firstLine="1053"/>
        <w:spacing w:after="0" w:line="22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Table 5(R2)</w:t>
      </w:r>
      <w:r>
        <w:rPr>
          <w:rFonts w:ascii="Times New Roman" w:cs="Times New Roman" w:eastAsia="Times New Roman" w:hAnsi="Times New Roman"/>
          <w:sz w:val="22"/>
          <w:szCs w:val="22"/>
          <w:color w:val="auto"/>
        </w:rPr>
        <w:t>. Table 5(R1) entitled “</w:t>
      </w:r>
      <w:r>
        <w:rPr>
          <w:rFonts w:ascii="Times New Roman" w:cs="Times New Roman" w:eastAsia="Times New Roman" w:hAnsi="Times New Roman"/>
          <w:sz w:val="22"/>
          <w:szCs w:val="22"/>
          <w:u w:val="single" w:color="auto"/>
          <w:color w:val="auto"/>
        </w:rPr>
        <w:t>787-9</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Aircraft, Aircraft Delivery, Description, Price and Advance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referencing SA-16 in the footer is deleted in its entirety and is replaced with the similarly titled Table 5(R2) (attached hereto) referencing SA-17 in the footer. Table 5(R2) is hereby incorporated into the Purchase Agreement in replacement of Table 5(R1).</w:t>
      </w:r>
    </w:p>
    <w:p>
      <w:pPr>
        <w:spacing w:after="0" w:line="395" w:lineRule="exact"/>
        <w:rPr>
          <w:sz w:val="20"/>
          <w:szCs w:val="20"/>
          <w:color w:val="auto"/>
        </w:rPr>
      </w:pPr>
    </w:p>
    <w:p>
      <w:pPr>
        <w:jc w:val="both"/>
        <w:ind w:firstLine="1053"/>
        <w:spacing w:after="0" w:line="220" w:lineRule="auto"/>
        <w:rPr>
          <w:sz w:val="20"/>
          <w:szCs w:val="20"/>
          <w:color w:val="auto"/>
        </w:rPr>
      </w:pPr>
      <w:r>
        <w:rPr>
          <w:rFonts w:ascii="Times New Roman" w:cs="Times New Roman" w:eastAsia="Times New Roman" w:hAnsi="Times New Roman"/>
          <w:sz w:val="22"/>
          <w:szCs w:val="22"/>
          <w:color w:val="auto"/>
        </w:rPr>
        <w:t>2</w:t>
      </w:r>
      <w:r>
        <w:rPr>
          <w:rFonts w:ascii="Arial" w:cs="Arial" w:eastAsia="Arial" w:hAnsi="Arial"/>
          <w:sz w:val="22"/>
          <w:szCs w:val="22"/>
          <w:color w:val="auto"/>
        </w:rPr>
        <w:t>.</w:t>
      </w:r>
      <w:r>
        <w:rPr>
          <w:rFonts w:ascii="Times New Roman" w:cs="Times New Roman" w:eastAsia="Times New Roman" w:hAnsi="Times New Roman"/>
          <w:sz w:val="22"/>
          <w:szCs w:val="22"/>
          <w:color w:val="auto"/>
        </w:rPr>
        <w:t xml:space="preserve">2 </w:t>
      </w:r>
      <w:r>
        <w:rPr>
          <w:rFonts w:ascii="Times New Roman" w:cs="Times New Roman" w:eastAsia="Times New Roman" w:hAnsi="Times New Roman"/>
          <w:sz w:val="22"/>
          <w:szCs w:val="22"/>
          <w:u w:val="single" w:color="auto"/>
          <w:color w:val="auto"/>
        </w:rPr>
        <w:t>Table 7(R1)</w:t>
      </w:r>
      <w:r>
        <w:rPr>
          <w:rFonts w:ascii="Times New Roman" w:cs="Times New Roman" w:eastAsia="Times New Roman" w:hAnsi="Times New Roman"/>
          <w:sz w:val="22"/>
          <w:szCs w:val="22"/>
          <w:color w:val="auto"/>
        </w:rPr>
        <w:t xml:space="preserve">. Table 7 entitled “[***] 787-9 [***] </w:t>
      </w:r>
      <w:r>
        <w:rPr>
          <w:rFonts w:ascii="Times New Roman" w:cs="Times New Roman" w:eastAsia="Times New Roman" w:hAnsi="Times New Roman"/>
          <w:sz w:val="22"/>
          <w:szCs w:val="22"/>
          <w:u w:val="single" w:color="auto"/>
          <w:color w:val="auto"/>
        </w:rPr>
        <w:t>Aircraft, Aircraft Delivery, Description, Price and Advance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referencing SA-16 in the footer is deleted in its entirety and is replaced with the similarly titled Table 7(R1) (attached hereto) referencing SA-17 in the footer. Table 7(R1) is hereby incorporated into the Purchase Agreement in replacement of 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-443230</wp:posOffset>
            </wp:positionV>
            <wp:extent cx="4057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05765" cy="8255"/>
                    </a:xfrm>
                    <a:prstGeom prst="rect">
                      <a:avLst/>
                    </a:prstGeom>
                    <a:noFill/>
                  </pic:spPr>
                </pic:pic>
              </a:graphicData>
            </a:graphic>
          </wp:anchor>
        </w:drawing>
      </w:r>
    </w:p>
    <w:p>
      <w:pPr>
        <w:spacing w:after="0" w:line="236"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Advance Payments</w:t>
      </w:r>
      <w:r>
        <w:rPr>
          <w:rFonts w:ascii="Times New Roman" w:cs="Times New Roman" w:eastAsia="Times New Roman" w:hAnsi="Times New Roman"/>
          <w:sz w:val="22"/>
          <w:szCs w:val="22"/>
          <w:color w:val="auto"/>
        </w:rPr>
        <w:t>.</w:t>
      </w:r>
    </w:p>
    <w:p>
      <w:pPr>
        <w:spacing w:after="0" w:line="291" w:lineRule="exact"/>
        <w:rPr>
          <w:sz w:val="20"/>
          <w:szCs w:val="20"/>
          <w:color w:val="auto"/>
        </w:rPr>
      </w:pPr>
    </w:p>
    <w:p>
      <w:pPr>
        <w:jc w:val="both"/>
        <w:ind w:firstLine="1053"/>
        <w:spacing w:after="0" w:line="236" w:lineRule="auto"/>
        <w:rPr>
          <w:sz w:val="20"/>
          <w:szCs w:val="20"/>
          <w:color w:val="auto"/>
        </w:rPr>
      </w:pPr>
      <w:r>
        <w:rPr>
          <w:rFonts w:ascii="Times New Roman" w:cs="Times New Roman" w:eastAsia="Times New Roman" w:hAnsi="Times New Roman"/>
          <w:sz w:val="22"/>
          <w:szCs w:val="22"/>
          <w:color w:val="auto"/>
        </w:rPr>
        <w:t>3.1 Upon execution of this SA-17, [***]. Due to the revision of the [***] of the 787-9 Aircraft a [***]. For the avoidance of doubt, the [***]. The [***].</w:t>
      </w:r>
    </w:p>
    <w:p>
      <w:pPr>
        <w:spacing w:after="0" w:line="177" w:lineRule="exact"/>
        <w:rPr>
          <w:sz w:val="20"/>
          <w:szCs w:val="20"/>
          <w:color w:val="auto"/>
        </w:rPr>
      </w:pPr>
    </w:p>
    <w:p>
      <w:pPr>
        <w:jc w:val="both"/>
        <w:ind w:firstLine="1053"/>
        <w:spacing w:after="0" w:line="225" w:lineRule="auto"/>
        <w:rPr>
          <w:sz w:val="20"/>
          <w:szCs w:val="20"/>
          <w:color w:val="auto"/>
        </w:rPr>
      </w:pPr>
      <w:r>
        <w:rPr>
          <w:rFonts w:ascii="Times New Roman" w:cs="Times New Roman" w:eastAsia="Times New Roman" w:hAnsi="Times New Roman"/>
          <w:sz w:val="22"/>
          <w:szCs w:val="22"/>
          <w:color w:val="auto"/>
        </w:rPr>
        <w:t>3.2 Boeing [***] (the [***]) (the [***]) in the [***] ([***]) pursuant to the [***] ([***]) which was [***] (the [***]). Boeing shall apply [***] ([***]) [***]. This will [***] ([***]) ([***]). Boeing will [***] (including, but not limited to, [***] (as defined in the [***]) and the [***]) is [***], [***] the terms of the Purchase Agreement are applicable.</w:t>
      </w:r>
    </w:p>
    <w:p>
      <w:pPr>
        <w:spacing w:after="0" w:line="257"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Purchase Agreement</w:t>
      </w:r>
      <w:r>
        <w:rPr>
          <w:rFonts w:ascii="Times New Roman" w:cs="Times New Roman" w:eastAsia="Times New Roman" w:hAnsi="Times New Roman"/>
          <w:sz w:val="22"/>
          <w:szCs w:val="22"/>
          <w:b w:val="1"/>
          <w:bCs w:val="1"/>
          <w:color w:val="auto"/>
        </w:rPr>
        <w:t>.</w:t>
      </w:r>
    </w:p>
    <w:p>
      <w:pPr>
        <w:spacing w:after="0" w:line="291" w:lineRule="exact"/>
        <w:rPr>
          <w:sz w:val="20"/>
          <w:szCs w:val="20"/>
          <w:color w:val="auto"/>
        </w:rPr>
      </w:pPr>
    </w:p>
    <w:p>
      <w:pPr>
        <w:ind w:left="1060"/>
        <w:spacing w:after="0"/>
        <w:tabs>
          <w:tab w:leader="none" w:pos="19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Table 5 Reference Clarifications</w:t>
      </w:r>
      <w:r>
        <w:rPr>
          <w:rFonts w:ascii="Times New Roman" w:cs="Times New Roman" w:eastAsia="Times New Roman" w:hAnsi="Times New Roman"/>
          <w:sz w:val="21"/>
          <w:szCs w:val="21"/>
          <w:color w:val="auto"/>
        </w:rPr>
        <w:t>.</w:t>
      </w:r>
    </w:p>
    <w:p>
      <w:pPr>
        <w:spacing w:after="0" w:line="71" w:lineRule="exact"/>
        <w:rPr>
          <w:sz w:val="20"/>
          <w:szCs w:val="20"/>
          <w:color w:val="auto"/>
        </w:rPr>
      </w:pPr>
    </w:p>
    <w:p>
      <w:pPr>
        <w:ind w:firstLine="2187"/>
        <w:spacing w:after="0" w:line="216" w:lineRule="auto"/>
        <w:rPr>
          <w:sz w:val="20"/>
          <w:szCs w:val="20"/>
          <w:color w:val="auto"/>
        </w:rPr>
      </w:pPr>
      <w:r>
        <w:rPr>
          <w:rFonts w:ascii="Times New Roman" w:cs="Times New Roman" w:eastAsia="Times New Roman" w:hAnsi="Times New Roman"/>
          <w:sz w:val="22"/>
          <w:szCs w:val="22"/>
          <w:color w:val="auto"/>
        </w:rPr>
        <w:t>4.1.1 The following references in the Purchase Agreement and the associated exhibits, supplemental exhibits, and letter agreements to the Purchase Agreement to “Table 5(R1)” is now deemed to refer to “Table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5(R2)”. Specifically, the locations of such references are (but may not be limited to)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940" w:val="left"/>
          <w:tab w:leader="none" w:pos="1720" w:val="left"/>
        </w:tabs>
        <w:rPr>
          <w:sz w:val="20"/>
          <w:szCs w:val="20"/>
          <w:color w:val="auto"/>
        </w:rPr>
      </w:pPr>
      <w:r>
        <w:rPr>
          <w:rFonts w:ascii="Times New Roman" w:cs="Times New Roman" w:eastAsia="Times New Roman" w:hAnsi="Times New Roman"/>
          <w:sz w:val="22"/>
          <w:szCs w:val="22"/>
          <w:color w:val="auto"/>
        </w:rPr>
        <w:t>PA 3219</w:t>
        <w:tab/>
        <w:t>SA-17</w:t>
      </w:r>
      <w:r>
        <w:rPr>
          <w:sz w:val="20"/>
          <w:szCs w:val="20"/>
          <w:color w:val="auto"/>
        </w:rPr>
        <w:tab/>
      </w:r>
      <w:r>
        <w:rPr>
          <w:rFonts w:ascii="Times New Roman" w:cs="Times New Roman" w:eastAsia="Times New Roman" w:hAnsi="Times New Roman"/>
          <w:sz w:val="21"/>
          <w:szCs w:val="21"/>
          <w:color w:val="auto"/>
        </w:rPr>
        <w:t>Page 2</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314" w:right="339" w:bottom="1440" w:gutter="0" w:footer="0" w:header="0"/>
        </w:sectPr>
      </w:pPr>
    </w:p>
    <w:bookmarkStart w:id="95" w:name="page96"/>
    <w:bookmarkEnd w:id="95"/>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877570</wp:posOffset>
            </wp:positionV>
            <wp:extent cx="4337685" cy="43033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37685" cy="4303395"/>
                    </a:xfrm>
                    <a:prstGeom prst="rect">
                      <a:avLst/>
                    </a:prstGeom>
                    <a:noFill/>
                  </pic:spPr>
                </pic:pic>
              </a:graphicData>
            </a:graphic>
          </wp:anchor>
        </w:drawing>
      </w:r>
    </w:p>
    <w:p>
      <w:pPr>
        <w:ind w:left="3540"/>
        <w:spacing w:after="0"/>
        <w:rPr>
          <w:sz w:val="20"/>
          <w:szCs w:val="20"/>
          <w:color w:val="auto"/>
        </w:rPr>
      </w:pPr>
      <w:r>
        <w:rPr>
          <w:rFonts w:ascii="Times New Roman" w:cs="Times New Roman" w:eastAsia="Times New Roman" w:hAnsi="Times New Roman"/>
          <w:sz w:val="22"/>
          <w:szCs w:val="22"/>
          <w:b w:val="1"/>
          <w:bCs w:val="1"/>
          <w:u w:val="single" w:color="auto"/>
          <w:color w:val="auto"/>
        </w:rPr>
        <w:t>Location of References</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Articles 1, 2, 3 (all sections), 4 (all sections), and Section 5.1 of the Basic</w:t>
      </w:r>
    </w:p>
    <w:p>
      <w:pPr>
        <w:ind w:left="2600"/>
        <w:spacing w:after="0"/>
        <w:rPr>
          <w:sz w:val="20"/>
          <w:szCs w:val="20"/>
          <w:color w:val="auto"/>
        </w:rPr>
      </w:pPr>
      <w:r>
        <w:rPr>
          <w:rFonts w:ascii="Times New Roman" w:cs="Times New Roman" w:eastAsia="Times New Roman" w:hAnsi="Times New Roman"/>
          <w:sz w:val="22"/>
          <w:szCs w:val="22"/>
          <w:color w:val="auto"/>
        </w:rPr>
        <w:t>Articles</w:t>
      </w:r>
    </w:p>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Exhibit C(R1), Definitions of “Aircraft” and “Engine”</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 1 of Supplemental Exhibit AE1</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 1.4.1 of Letter Agreement 6-1162-CLO-1047R4 entitled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20" w:right="3320"/>
        <w:spacing w:after="0" w:line="225" w:lineRule="auto"/>
        <w:rPr>
          <w:sz w:val="20"/>
          <w:szCs w:val="20"/>
          <w:color w:val="auto"/>
        </w:rPr>
      </w:pPr>
      <w:r>
        <w:rPr>
          <w:rFonts w:ascii="Times New Roman" w:cs="Times New Roman" w:eastAsia="Times New Roman" w:hAnsi="Times New Roman"/>
          <w:sz w:val="22"/>
          <w:szCs w:val="22"/>
          <w:color w:val="auto"/>
        </w:rPr>
        <w:t>Section 1 (definition of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and Attachment C(R4) of Letter Agreement 6-1162-TRW-0664R2 entitled “</w:t>
      </w:r>
      <w:r>
        <w:rPr>
          <w:rFonts w:ascii="Times New Roman" w:cs="Times New Roman" w:eastAsia="Times New Roman" w:hAnsi="Times New Roman"/>
          <w:sz w:val="22"/>
          <w:szCs w:val="22"/>
          <w:u w:val="single" w:color="auto"/>
          <w:color w:val="auto"/>
        </w:rPr>
        <w:t>Aircraft Purchase Rights and Substitution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 1.1 of LA 6-1162-TRW-0672R1 entitled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20" w:right="3260"/>
        <w:spacing w:after="0" w:line="236" w:lineRule="auto"/>
        <w:rPr>
          <w:sz w:val="20"/>
          <w:szCs w:val="20"/>
          <w:color w:val="auto"/>
        </w:rPr>
      </w:pPr>
      <w:r>
        <w:rPr>
          <w:rFonts w:ascii="Times New Roman" w:cs="Times New Roman" w:eastAsia="Times New Roman" w:hAnsi="Times New Roman"/>
          <w:sz w:val="22"/>
          <w:szCs w:val="22"/>
          <w:color w:val="auto"/>
        </w:rPr>
        <w:t>Sections 4a2, 6, and 9.2 of Letter Agreement 6-1162-TRW-0674R4 entitled “</w:t>
      </w:r>
      <w:r>
        <w:rPr>
          <w:rFonts w:ascii="Times New Roman" w:cs="Times New Roman" w:eastAsia="Times New Roman" w:hAnsi="Times New Roman"/>
          <w:sz w:val="22"/>
          <w:szCs w:val="22"/>
          <w:u w:val="single" w:color="auto"/>
          <w:color w:val="auto"/>
        </w:rPr>
        <w:t>Business Considerations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 1 of Letter Agreement AAL-PA-03219-1804779 entitled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 1.2 of Letter Agreement AAL-PA-3219-LA1802492 entitled “</w:t>
      </w:r>
      <w:r>
        <w:rPr>
          <w:rFonts w:ascii="Times New Roman" w:cs="Times New Roman" w:eastAsia="Times New Roman" w:hAnsi="Times New Roman"/>
          <w:sz w:val="22"/>
          <w:szCs w:val="22"/>
          <w:u w:val="single" w:color="auto"/>
          <w:color w:val="auto"/>
        </w:rPr>
        <w:t>Open</w:t>
      </w:r>
    </w:p>
    <w:p>
      <w:pPr>
        <w:ind w:left="1320"/>
        <w:spacing w:after="0"/>
        <w:rPr>
          <w:sz w:val="20"/>
          <w:szCs w:val="20"/>
          <w:color w:val="auto"/>
        </w:rPr>
      </w:pPr>
      <w:r>
        <w:rPr>
          <w:rFonts w:ascii="Times New Roman" w:cs="Times New Roman" w:eastAsia="Times New Roman" w:hAnsi="Times New Roman"/>
          <w:sz w:val="22"/>
          <w:szCs w:val="22"/>
          <w:u w:val="single" w:color="auto"/>
          <w:color w:val="auto"/>
        </w:rPr>
        <w:t>Configuration Matters</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 1.3.1.1 of Letter Agreement AAL-1604503 entitled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Sections 6 and 7 of Supplemental Agreement No. 11</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Supplemental Exhibit EE1</w:t>
      </w:r>
    </w:p>
    <w:p>
      <w:pPr>
        <w:spacing w:after="0" w:line="200" w:lineRule="exact"/>
        <w:rPr>
          <w:sz w:val="20"/>
          <w:szCs w:val="20"/>
          <w:color w:val="auto"/>
        </w:rPr>
      </w:pPr>
    </w:p>
    <w:p>
      <w:pPr>
        <w:spacing w:after="0" w:line="330" w:lineRule="exact"/>
        <w:rPr>
          <w:sz w:val="20"/>
          <w:szCs w:val="20"/>
          <w:color w:val="auto"/>
        </w:rPr>
      </w:pPr>
    </w:p>
    <w:p>
      <w:pPr>
        <w:ind w:left="1060"/>
        <w:spacing w:after="0"/>
        <w:tabs>
          <w:tab w:leader="none" w:pos="19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Table 7 Reference Clarifications</w:t>
      </w:r>
      <w:r>
        <w:rPr>
          <w:rFonts w:ascii="Arial" w:cs="Arial" w:eastAsia="Arial" w:hAnsi="Arial"/>
          <w:sz w:val="21"/>
          <w:szCs w:val="21"/>
          <w:color w:val="auto"/>
        </w:rPr>
        <w:t>.</w:t>
      </w:r>
    </w:p>
    <w:p>
      <w:pPr>
        <w:spacing w:after="0" w:line="71" w:lineRule="exact"/>
        <w:rPr>
          <w:sz w:val="20"/>
          <w:szCs w:val="20"/>
          <w:color w:val="auto"/>
        </w:rPr>
      </w:pPr>
    </w:p>
    <w:p>
      <w:pPr>
        <w:jc w:val="both"/>
        <w:ind w:firstLine="2187"/>
        <w:spacing w:after="0" w:line="225" w:lineRule="auto"/>
        <w:rPr>
          <w:sz w:val="20"/>
          <w:szCs w:val="20"/>
          <w:color w:val="auto"/>
        </w:rPr>
      </w:pPr>
      <w:r>
        <w:rPr>
          <w:rFonts w:ascii="Times New Roman" w:cs="Times New Roman" w:eastAsia="Times New Roman" w:hAnsi="Times New Roman"/>
          <w:sz w:val="22"/>
          <w:szCs w:val="22"/>
          <w:color w:val="auto"/>
        </w:rPr>
        <w:t>4.2.1 The following references in the Purchase Agreement and the associated exhibits, supplemental exhibits, and letter agreements to the Purchase Agreement to “Table 7” is now deemed to refer to “Table 7(R1)”. Specifically, the locations of such references are (but may not be limited to)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71120</wp:posOffset>
            </wp:positionV>
            <wp:extent cx="4337685" cy="16973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37685" cy="1697355"/>
                    </a:xfrm>
                    <a:prstGeom prst="rect">
                      <a:avLst/>
                    </a:prstGeom>
                    <a:noFill/>
                  </pic:spPr>
                </pic:pic>
              </a:graphicData>
            </a:graphic>
          </wp:anchor>
        </w:drawing>
      </w:r>
    </w:p>
    <w:p>
      <w:pPr>
        <w:spacing w:after="0" w:line="19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b w:val="1"/>
          <w:bCs w:val="1"/>
          <w:u w:val="single" w:color="auto"/>
          <w:color w:val="auto"/>
        </w:rPr>
        <w:t>Location of References</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Articles 1, 2, 3 (all sections), 4 (all sections), and Section 5.1 of the Basic</w:t>
      </w:r>
    </w:p>
    <w:p>
      <w:pPr>
        <w:ind w:left="2600"/>
        <w:spacing w:after="0"/>
        <w:rPr>
          <w:sz w:val="20"/>
          <w:szCs w:val="20"/>
          <w:color w:val="auto"/>
        </w:rPr>
      </w:pPr>
      <w:r>
        <w:rPr>
          <w:rFonts w:ascii="Times New Roman" w:cs="Times New Roman" w:eastAsia="Times New Roman" w:hAnsi="Times New Roman"/>
          <w:sz w:val="22"/>
          <w:szCs w:val="22"/>
          <w:color w:val="auto"/>
        </w:rPr>
        <w:t>Articles</w:t>
      </w:r>
    </w:p>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Exhibit C(R1), Definitions of “Aircraft” and “Engine”</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 1 of Supplemental Exhibit AE1</w:t>
      </w:r>
    </w:p>
    <w:p>
      <w:pPr>
        <w:spacing w:after="0" w:line="179" w:lineRule="exact"/>
        <w:rPr>
          <w:sz w:val="20"/>
          <w:szCs w:val="20"/>
          <w:color w:val="auto"/>
        </w:rPr>
      </w:pPr>
    </w:p>
    <w:p>
      <w:pPr>
        <w:ind w:left="1320" w:right="3260"/>
        <w:spacing w:after="0" w:line="236" w:lineRule="auto"/>
        <w:rPr>
          <w:sz w:val="20"/>
          <w:szCs w:val="20"/>
          <w:color w:val="auto"/>
        </w:rPr>
      </w:pPr>
      <w:r>
        <w:rPr>
          <w:rFonts w:ascii="Times New Roman" w:cs="Times New Roman" w:eastAsia="Times New Roman" w:hAnsi="Times New Roman"/>
          <w:sz w:val="22"/>
          <w:szCs w:val="22"/>
          <w:color w:val="auto"/>
        </w:rPr>
        <w:t>Section 1.4.1 of Letter Agreement 6-1162-CLO-1047R4 entitled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940" w:val="left"/>
          <w:tab w:leader="none" w:pos="1720" w:val="left"/>
        </w:tabs>
        <w:rPr>
          <w:sz w:val="20"/>
          <w:szCs w:val="20"/>
          <w:color w:val="auto"/>
        </w:rPr>
      </w:pPr>
      <w:r>
        <w:rPr>
          <w:rFonts w:ascii="Times New Roman" w:cs="Times New Roman" w:eastAsia="Times New Roman" w:hAnsi="Times New Roman"/>
          <w:sz w:val="22"/>
          <w:szCs w:val="22"/>
          <w:color w:val="auto"/>
        </w:rPr>
        <w:t>PA 3219</w:t>
        <w:tab/>
        <w:t>SA-17</w:t>
      </w:r>
      <w:r>
        <w:rPr>
          <w:sz w:val="20"/>
          <w:szCs w:val="20"/>
          <w:color w:val="auto"/>
        </w:rPr>
        <w:tab/>
      </w:r>
      <w:r>
        <w:rPr>
          <w:rFonts w:ascii="Times New Roman" w:cs="Times New Roman" w:eastAsia="Times New Roman" w:hAnsi="Times New Roman"/>
          <w:sz w:val="21"/>
          <w:szCs w:val="21"/>
          <w:color w:val="auto"/>
        </w:rPr>
        <w:t>Page 3</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96" w:name="page97"/>
    <w:bookmarkEnd w:id="9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877570</wp:posOffset>
            </wp:positionV>
            <wp:extent cx="4337685" cy="23406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37685" cy="2340610"/>
                    </a:xfrm>
                    <a:prstGeom prst="rect">
                      <a:avLst/>
                    </a:prstGeom>
                    <a:noFill/>
                  </pic:spPr>
                </pic:pic>
              </a:graphicData>
            </a:graphic>
          </wp:anchor>
        </w:drawing>
      </w:r>
    </w:p>
    <w:p>
      <w:pPr>
        <w:ind w:left="1320" w:right="3260"/>
        <w:spacing w:after="0" w:line="236" w:lineRule="auto"/>
        <w:rPr>
          <w:sz w:val="20"/>
          <w:szCs w:val="20"/>
          <w:color w:val="auto"/>
        </w:rPr>
      </w:pPr>
      <w:r>
        <w:rPr>
          <w:rFonts w:ascii="Times New Roman" w:cs="Times New Roman" w:eastAsia="Times New Roman" w:hAnsi="Times New Roman"/>
          <w:sz w:val="22"/>
          <w:szCs w:val="22"/>
          <w:color w:val="auto"/>
        </w:rPr>
        <w:t>Section 1 (definition of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of Letter Agreement 6-1162-TRW-0664R2 entitled “</w:t>
      </w:r>
      <w:r>
        <w:rPr>
          <w:rFonts w:ascii="Times New Roman" w:cs="Times New Roman" w:eastAsia="Times New Roman" w:hAnsi="Times New Roman"/>
          <w:sz w:val="22"/>
          <w:szCs w:val="22"/>
          <w:u w:val="single" w:color="auto"/>
          <w:color w:val="auto"/>
        </w:rPr>
        <w:t>Aircraft Purchase Rights and Substitution Rights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 1.1 of LA 6-1162-TRW-0672R1 entitled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60" w:right="3260" w:firstLine="16"/>
        <w:spacing w:after="0" w:line="236" w:lineRule="auto"/>
        <w:rPr>
          <w:sz w:val="20"/>
          <w:szCs w:val="20"/>
          <w:color w:val="auto"/>
        </w:rPr>
      </w:pPr>
      <w:r>
        <w:rPr>
          <w:rFonts w:ascii="Times New Roman" w:cs="Times New Roman" w:eastAsia="Times New Roman" w:hAnsi="Times New Roman"/>
          <w:sz w:val="22"/>
          <w:szCs w:val="22"/>
          <w:color w:val="auto"/>
        </w:rPr>
        <w:t>Sections 4a.2, 6, and 9.2 of Letter Agreement 6-1162-TRW-0674R4 entitled “</w:t>
      </w:r>
      <w:r>
        <w:rPr>
          <w:rFonts w:ascii="Times New Roman" w:cs="Times New Roman" w:eastAsia="Times New Roman" w:hAnsi="Times New Roman"/>
          <w:sz w:val="22"/>
          <w:szCs w:val="22"/>
          <w:u w:val="single" w:color="auto"/>
          <w:color w:val="auto"/>
        </w:rPr>
        <w:t>Business Considerations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 1 of Letter Agreement AAL-PA-03219-1804779 entitled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 1.2 of Letter Agreement AAL-PA-3219-LA1802492 entitled “</w:t>
      </w:r>
      <w:r>
        <w:rPr>
          <w:rFonts w:ascii="Times New Roman" w:cs="Times New Roman" w:eastAsia="Times New Roman" w:hAnsi="Times New Roman"/>
          <w:sz w:val="22"/>
          <w:szCs w:val="22"/>
          <w:u w:val="single" w:color="auto"/>
          <w:color w:val="auto"/>
        </w:rPr>
        <w:t>Open</w:t>
      </w:r>
    </w:p>
    <w:p>
      <w:pPr>
        <w:ind w:left="1320"/>
        <w:spacing w:after="0"/>
        <w:rPr>
          <w:sz w:val="20"/>
          <w:szCs w:val="20"/>
          <w:color w:val="auto"/>
        </w:rPr>
      </w:pPr>
      <w:r>
        <w:rPr>
          <w:rFonts w:ascii="Times New Roman" w:cs="Times New Roman" w:eastAsia="Times New Roman" w:hAnsi="Times New Roman"/>
          <w:sz w:val="22"/>
          <w:szCs w:val="22"/>
          <w:u w:val="single" w:color="auto"/>
          <w:color w:val="auto"/>
        </w:rPr>
        <w:t>Configuration Matters</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Sections 6 and 7 of Supplemental Agreement No. 11</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Supplemental Exhibit EE1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1053"/>
        <w:spacing w:after="0" w:line="217" w:lineRule="auto"/>
        <w:rPr>
          <w:sz w:val="20"/>
          <w:szCs w:val="20"/>
          <w:color w:val="auto"/>
        </w:rPr>
      </w:pPr>
      <w:r>
        <w:rPr>
          <w:rFonts w:ascii="Times New Roman" w:cs="Times New Roman" w:eastAsia="Times New Roman" w:hAnsi="Times New Roman"/>
          <w:sz w:val="22"/>
          <w:szCs w:val="22"/>
          <w:color w:val="auto"/>
        </w:rPr>
        <w:t>4.3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940" w:val="left"/>
          <w:tab w:leader="none" w:pos="1720" w:val="left"/>
        </w:tabs>
        <w:rPr>
          <w:sz w:val="20"/>
          <w:szCs w:val="20"/>
          <w:color w:val="auto"/>
        </w:rPr>
      </w:pPr>
      <w:r>
        <w:rPr>
          <w:rFonts w:ascii="Times New Roman" w:cs="Times New Roman" w:eastAsia="Times New Roman" w:hAnsi="Times New Roman"/>
          <w:sz w:val="22"/>
          <w:szCs w:val="22"/>
          <w:color w:val="auto"/>
        </w:rPr>
        <w:t>PA 3219</w:t>
        <w:tab/>
        <w:t>SA-17</w:t>
      </w:r>
      <w:r>
        <w:rPr>
          <w:sz w:val="20"/>
          <w:szCs w:val="20"/>
          <w:color w:val="auto"/>
        </w:rPr>
        <w:tab/>
      </w:r>
      <w:r>
        <w:rPr>
          <w:rFonts w:ascii="Times New Roman" w:cs="Times New Roman" w:eastAsia="Times New Roman" w:hAnsi="Times New Roman"/>
          <w:sz w:val="21"/>
          <w:szCs w:val="21"/>
          <w:color w:val="auto"/>
        </w:rPr>
        <w:t>Page 4</w:t>
      </w:r>
    </w:p>
    <w:p>
      <w:pPr>
        <w:jc w:val="center"/>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97" w:name="page98"/>
    <w:bookmarkEnd w:id="97"/>
    <w:p>
      <w:pPr>
        <w:ind w:left="180"/>
        <w:spacing w:after="0"/>
        <w:rPr>
          <w:sz w:val="20"/>
          <w:szCs w:val="20"/>
          <w:color w:val="auto"/>
        </w:rPr>
      </w:pPr>
      <w:r>
        <w:rPr>
          <w:rFonts w:ascii="Times New Roman" w:cs="Times New Roman" w:eastAsia="Times New Roman" w:hAnsi="Times New Roman"/>
          <w:sz w:val="21"/>
          <w:szCs w:val="21"/>
          <w:color w:val="auto"/>
        </w:rPr>
        <w:t>AGREED AND ACCEPTED</w:t>
      </w:r>
    </w:p>
    <w:p>
      <w:pPr>
        <w:spacing w:after="0" w:line="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36830</wp:posOffset>
            </wp:positionV>
            <wp:extent cx="32575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b w:val="1"/>
          <w:bCs w:val="1"/>
          <w:color w:val="auto"/>
        </w:rPr>
        <w:t>THE BOEING COMPANY</w:t>
      </w: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36830</wp:posOffset>
            </wp:positionV>
            <wp:extent cx="32575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Signature</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36830</wp:posOffset>
            </wp:positionV>
            <wp:extent cx="32575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Printed name</w:t>
      </w:r>
    </w:p>
    <w:p>
      <w:pPr>
        <w:spacing w:after="0" w:line="3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36830</wp:posOffset>
            </wp:positionV>
            <wp:extent cx="32575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AMERICAN AIRLINES, INC.</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36830</wp:posOffset>
            </wp:positionV>
            <wp:extent cx="3531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36830</wp:posOffset>
            </wp:positionV>
            <wp:extent cx="3531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36830</wp:posOffset>
            </wp:positionV>
            <wp:extent cx="35318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40" w:val="left"/>
          <w:tab w:leader="none" w:pos="1720" w:val="left"/>
        </w:tabs>
        <w:rPr>
          <w:sz w:val="20"/>
          <w:szCs w:val="20"/>
          <w:color w:val="auto"/>
        </w:rPr>
      </w:pPr>
      <w:r>
        <w:rPr>
          <w:rFonts w:ascii="Times New Roman" w:cs="Times New Roman" w:eastAsia="Times New Roman" w:hAnsi="Times New Roman"/>
          <w:sz w:val="22"/>
          <w:szCs w:val="22"/>
          <w:color w:val="auto"/>
        </w:rPr>
        <w:t>PA 3219</w:t>
        <w:tab/>
        <w:t>SA-17</w:t>
      </w:r>
      <w:r>
        <w:rPr>
          <w:sz w:val="20"/>
          <w:szCs w:val="20"/>
          <w:color w:val="auto"/>
        </w:rPr>
        <w:tab/>
      </w:r>
      <w:r>
        <w:rPr>
          <w:rFonts w:ascii="Times New Roman" w:cs="Times New Roman" w:eastAsia="Times New Roman" w:hAnsi="Times New Roman"/>
          <w:sz w:val="21"/>
          <w:szCs w:val="21"/>
          <w:color w:val="auto"/>
        </w:rPr>
        <w:t>Page 5</w:t>
      </w:r>
    </w:p>
    <w:p>
      <w:pPr>
        <w:jc w:val="right"/>
        <w:ind w:right="3279"/>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0139"/>
          </w:cols>
          <w:pgMar w:left="320" w:top="1408" w:right="1440"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8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00" w:type="dxa"/>
            <w:vAlign w:val="bottom"/>
            <w:gridSpan w:val="2"/>
          </w:tcPr>
          <w:p>
            <w:pPr>
              <w:jc w:val="center"/>
              <w:ind w:right="672"/>
              <w:spacing w:after="0"/>
              <w:rPr>
                <w:sz w:val="20"/>
                <w:szCs w:val="20"/>
                <w:color w:val="auto"/>
              </w:rPr>
            </w:pPr>
            <w:r>
              <w:rPr>
                <w:rFonts w:ascii="Times New Roman" w:cs="Times New Roman" w:eastAsia="Times New Roman" w:hAnsi="Times New Roman"/>
                <w:sz w:val="22"/>
                <w:szCs w:val="22"/>
                <w:color w:val="auto"/>
                <w:w w:val="97"/>
              </w:rPr>
              <w:t>TABLE OF CONTENTS, continued</w:t>
            </w:r>
          </w:p>
        </w:tc>
        <w:tc>
          <w:tcPr>
            <w:tcW w:w="0" w:type="dxa"/>
            <w:vAlign w:val="bottom"/>
          </w:tcPr>
          <w:p>
            <w:pPr>
              <w:spacing w:after="0"/>
              <w:rPr>
                <w:sz w:val="1"/>
                <w:szCs w:val="1"/>
                <w:color w:val="auto"/>
              </w:rPr>
            </w:pPr>
          </w:p>
        </w:tc>
      </w:tr>
      <w:tr>
        <w:trPr>
          <w:trHeight w:val="1134"/>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00" w:type="dxa"/>
            <w:vAlign w:val="bottom"/>
            <w:gridSpan w:val="2"/>
          </w:tcPr>
          <w:p>
            <w:pPr>
              <w:jc w:val="center"/>
              <w:ind w:right="672"/>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0" w:type="dxa"/>
            <w:vAlign w:val="bottom"/>
          </w:tcPr>
          <w:p>
            <w:pPr>
              <w:spacing w:after="0"/>
              <w:rPr>
                <w:sz w:val="1"/>
                <w:szCs w:val="1"/>
                <w:color w:val="auto"/>
              </w:rPr>
            </w:pPr>
          </w:p>
        </w:tc>
      </w:tr>
      <w:tr>
        <w:trPr>
          <w:trHeight w:val="433"/>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80" w:type="dxa"/>
            <w:vAlign w:val="bottom"/>
            <w:gridSpan w:val="3"/>
          </w:tcPr>
          <w:p>
            <w:pPr>
              <w:spacing w:after="0"/>
              <w:rPr>
                <w:sz w:val="24"/>
                <w:szCs w:val="24"/>
                <w:color w:val="auto"/>
              </w:rPr>
            </w:pPr>
          </w:p>
        </w:tc>
        <w:tc>
          <w:tcPr>
            <w:tcW w:w="440" w:type="dxa"/>
            <w:vAlign w:val="bottom"/>
            <w:tcBorders>
              <w:top w:val="single" w:sz="8" w:color="auto"/>
            </w:tcBorders>
            <w:gridSpan w:val="2"/>
          </w:tcPr>
          <w:p>
            <w:pPr>
              <w:jc w:val="center"/>
              <w:ind w:left="172"/>
              <w:spacing w:after="0"/>
              <w:rPr>
                <w:sz w:val="20"/>
                <w:szCs w:val="20"/>
                <w:color w:val="auto"/>
              </w:rPr>
            </w:pPr>
            <w:r>
              <w:rPr>
                <w:rFonts w:ascii="Times New Roman" w:cs="Times New Roman" w:eastAsia="Times New Roman" w:hAnsi="Times New Roman"/>
                <w:sz w:val="22"/>
                <w:szCs w:val="22"/>
                <w:color w:val="auto"/>
                <w:w w:val="96"/>
              </w:rPr>
              <w:t>1.</w:t>
            </w: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Quantity, Model and Description</w:t>
            </w:r>
          </w:p>
        </w:tc>
        <w:tc>
          <w:tcPr>
            <w:tcW w:w="0" w:type="dxa"/>
            <w:vAlign w:val="bottom"/>
          </w:tcPr>
          <w:p>
            <w:pPr>
              <w:spacing w:after="0"/>
              <w:rPr>
                <w:sz w:val="1"/>
                <w:szCs w:val="1"/>
                <w:color w:val="auto"/>
              </w:rPr>
            </w:pPr>
          </w:p>
        </w:tc>
      </w:tr>
      <w:tr>
        <w:trPr>
          <w:trHeight w:val="338"/>
        </w:trPr>
        <w:tc>
          <w:tcPr>
            <w:tcW w:w="1220" w:type="dxa"/>
            <w:vAlign w:val="bottom"/>
            <w:gridSpan w:val="5"/>
          </w:tcPr>
          <w:p>
            <w:pPr>
              <w:jc w:val="center"/>
              <w:ind w:left="952"/>
              <w:spacing w:after="0"/>
              <w:rPr>
                <w:sz w:val="20"/>
                <w:szCs w:val="20"/>
                <w:color w:val="auto"/>
              </w:rPr>
            </w:pPr>
            <w:r>
              <w:rPr>
                <w:rFonts w:ascii="Times New Roman" w:cs="Times New Roman" w:eastAsia="Times New Roman" w:hAnsi="Times New Roman"/>
                <w:sz w:val="22"/>
                <w:szCs w:val="22"/>
                <w:color w:val="auto"/>
                <w:w w:val="96"/>
              </w:rPr>
              <w:t>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Delivery Schedule</w:t>
            </w:r>
          </w:p>
        </w:tc>
        <w:tc>
          <w:tcPr>
            <w:tcW w:w="0" w:type="dxa"/>
            <w:vAlign w:val="bottom"/>
          </w:tcPr>
          <w:p>
            <w:pPr>
              <w:spacing w:after="0"/>
              <w:rPr>
                <w:sz w:val="1"/>
                <w:szCs w:val="1"/>
                <w:color w:val="auto"/>
              </w:rPr>
            </w:pPr>
          </w:p>
        </w:tc>
      </w:tr>
      <w:tr>
        <w:trPr>
          <w:trHeight w:val="338"/>
        </w:trPr>
        <w:tc>
          <w:tcPr>
            <w:tcW w:w="1220" w:type="dxa"/>
            <w:vAlign w:val="bottom"/>
            <w:gridSpan w:val="5"/>
          </w:tcPr>
          <w:p>
            <w:pPr>
              <w:jc w:val="center"/>
              <w:ind w:left="952"/>
              <w:spacing w:after="0"/>
              <w:rPr>
                <w:sz w:val="20"/>
                <w:szCs w:val="20"/>
                <w:color w:val="auto"/>
              </w:rPr>
            </w:pPr>
            <w:r>
              <w:rPr>
                <w:rFonts w:ascii="Times New Roman" w:cs="Times New Roman" w:eastAsia="Times New Roman" w:hAnsi="Times New Roman"/>
                <w:sz w:val="22"/>
                <w:szCs w:val="22"/>
                <w:color w:val="auto"/>
                <w:w w:val="96"/>
              </w:rPr>
              <w:t>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Price</w:t>
            </w:r>
          </w:p>
        </w:tc>
        <w:tc>
          <w:tcPr>
            <w:tcW w:w="0" w:type="dxa"/>
            <w:vAlign w:val="bottom"/>
          </w:tcPr>
          <w:p>
            <w:pPr>
              <w:spacing w:after="0"/>
              <w:rPr>
                <w:sz w:val="1"/>
                <w:szCs w:val="1"/>
                <w:color w:val="auto"/>
              </w:rPr>
            </w:pPr>
          </w:p>
        </w:tc>
      </w:tr>
      <w:tr>
        <w:trPr>
          <w:trHeight w:val="338"/>
        </w:trPr>
        <w:tc>
          <w:tcPr>
            <w:tcW w:w="1220" w:type="dxa"/>
            <w:vAlign w:val="bottom"/>
            <w:gridSpan w:val="5"/>
          </w:tcPr>
          <w:p>
            <w:pPr>
              <w:jc w:val="center"/>
              <w:ind w:left="952"/>
              <w:spacing w:after="0"/>
              <w:rPr>
                <w:sz w:val="20"/>
                <w:szCs w:val="20"/>
                <w:color w:val="auto"/>
              </w:rPr>
            </w:pPr>
            <w:r>
              <w:rPr>
                <w:rFonts w:ascii="Times New Roman" w:cs="Times New Roman" w:eastAsia="Times New Roman" w:hAnsi="Times New Roman"/>
                <w:sz w:val="22"/>
                <w:szCs w:val="22"/>
                <w:color w:val="auto"/>
                <w:w w:val="96"/>
              </w:rPr>
              <w:t>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338"/>
        </w:trPr>
        <w:tc>
          <w:tcPr>
            <w:tcW w:w="1220" w:type="dxa"/>
            <w:vAlign w:val="bottom"/>
            <w:gridSpan w:val="5"/>
          </w:tcPr>
          <w:p>
            <w:pPr>
              <w:jc w:val="center"/>
              <w:ind w:left="952"/>
              <w:spacing w:after="0"/>
              <w:rPr>
                <w:sz w:val="20"/>
                <w:szCs w:val="20"/>
                <w:color w:val="auto"/>
              </w:rPr>
            </w:pPr>
            <w:r>
              <w:rPr>
                <w:rFonts w:ascii="Times New Roman" w:cs="Times New Roman" w:eastAsia="Times New Roman" w:hAnsi="Times New Roman"/>
                <w:sz w:val="22"/>
                <w:szCs w:val="22"/>
                <w:color w:val="auto"/>
                <w:w w:val="96"/>
              </w:rPr>
              <w:t>5.</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Miscellaneous</w:t>
            </w:r>
          </w:p>
        </w:tc>
        <w:tc>
          <w:tcPr>
            <w:tcW w:w="0" w:type="dxa"/>
            <w:vAlign w:val="bottom"/>
          </w:tcPr>
          <w:p>
            <w:pPr>
              <w:spacing w:after="0"/>
              <w:rPr>
                <w:sz w:val="1"/>
                <w:szCs w:val="1"/>
                <w:color w:val="auto"/>
              </w:rPr>
            </w:pPr>
          </w:p>
        </w:tc>
      </w:tr>
      <w:tr>
        <w:trPr>
          <w:trHeight w:val="338"/>
        </w:trPr>
        <w:tc>
          <w:tcPr>
            <w:tcW w:w="1220" w:type="dxa"/>
            <w:vAlign w:val="bottom"/>
            <w:gridSpan w:val="5"/>
          </w:tcPr>
          <w:p>
            <w:pPr>
              <w:jc w:val="center"/>
              <w:ind w:left="952"/>
              <w:spacing w:after="0"/>
              <w:rPr>
                <w:sz w:val="20"/>
                <w:szCs w:val="20"/>
                <w:color w:val="auto"/>
              </w:rPr>
            </w:pPr>
            <w:r>
              <w:rPr>
                <w:rFonts w:ascii="Times New Roman" w:cs="Times New Roman" w:eastAsia="Times New Roman" w:hAnsi="Times New Roman"/>
                <w:sz w:val="22"/>
                <w:szCs w:val="22"/>
                <w:color w:val="auto"/>
                <w:w w:val="96"/>
              </w:rPr>
              <w:t>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Confidential Treatment</w:t>
            </w:r>
          </w:p>
        </w:tc>
        <w:tc>
          <w:tcPr>
            <w:tcW w:w="0" w:type="dxa"/>
            <w:vAlign w:val="bottom"/>
          </w:tcPr>
          <w:p>
            <w:pPr>
              <w:spacing w:after="0"/>
              <w:rPr>
                <w:sz w:val="1"/>
                <w:szCs w:val="1"/>
                <w:color w:val="auto"/>
              </w:rPr>
            </w:pPr>
          </w:p>
        </w:tc>
      </w:tr>
      <w:tr>
        <w:trPr>
          <w:trHeight w:val="488"/>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TABLE</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20" w:type="dxa"/>
            <w:vAlign w:val="bottom"/>
            <w:tcBorders>
              <w:top w:val="single" w:sz="8" w:color="auto"/>
            </w:tcBorders>
          </w:tcPr>
          <w:p>
            <w:pPr>
              <w:jc w:val="center"/>
              <w:ind w:left="155"/>
              <w:spacing w:after="0"/>
              <w:rPr>
                <w:sz w:val="20"/>
                <w:szCs w:val="20"/>
                <w:color w:val="auto"/>
              </w:rPr>
            </w:pPr>
            <w:r>
              <w:rPr>
                <w:rFonts w:ascii="Times New Roman" w:cs="Times New Roman" w:eastAsia="Times New Roman" w:hAnsi="Times New Roman"/>
                <w:sz w:val="22"/>
                <w:szCs w:val="22"/>
                <w:color w:val="auto"/>
                <w:strike w:val="1"/>
                <w:w w:val="96"/>
              </w:rPr>
              <w:t>1.</w:t>
            </w: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22"/>
                <w:szCs w:val="22"/>
                <w:color w:val="auto"/>
                <w:strike w:val="1"/>
                <w:w w:val="98"/>
              </w:rPr>
              <w:t>Aircraft Information Table – TRENT</w:t>
            </w:r>
          </w:p>
        </w:tc>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WITHDRAWN</w:t>
            </w:r>
          </w:p>
        </w:tc>
        <w:tc>
          <w:tcPr>
            <w:tcW w:w="0" w:type="dxa"/>
            <w:vAlign w:val="bottom"/>
          </w:tcPr>
          <w:p>
            <w:pPr>
              <w:spacing w:after="0"/>
              <w:rPr>
                <w:sz w:val="1"/>
                <w:szCs w:val="1"/>
                <w:color w:val="auto"/>
              </w:rPr>
            </w:pPr>
          </w:p>
        </w:tc>
      </w:tr>
      <w:tr>
        <w:trPr>
          <w:trHeight w:val="453"/>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560"/>
              <w:spacing w:after="0"/>
              <w:rPr>
                <w:sz w:val="20"/>
                <w:szCs w:val="20"/>
                <w:color w:val="auto"/>
              </w:rPr>
            </w:pPr>
            <w:r>
              <w:rPr>
                <w:rFonts w:ascii="Times New Roman" w:cs="Times New Roman" w:eastAsia="Times New Roman" w:hAnsi="Times New Roman"/>
                <w:sz w:val="20"/>
                <w:szCs w:val="20"/>
                <w:color w:val="auto"/>
                <w:w w:val="98"/>
              </w:rPr>
              <w:t>1(R7)</w:t>
            </w: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787-9 Aircraft Information Table – GENX</w:t>
            </w:r>
          </w:p>
        </w:tc>
        <w:tc>
          <w:tcPr>
            <w:tcW w:w="0" w:type="dxa"/>
            <w:vAlign w:val="bottom"/>
          </w:tcPr>
          <w:p>
            <w:pPr>
              <w:spacing w:after="0"/>
              <w:rPr>
                <w:sz w:val="1"/>
                <w:szCs w:val="1"/>
                <w:color w:val="auto"/>
              </w:rPr>
            </w:pPr>
          </w:p>
        </w:tc>
      </w:tr>
      <w:tr>
        <w:trPr>
          <w:trHeight w:val="399"/>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560"/>
              <w:spacing w:after="0"/>
              <w:rPr>
                <w:sz w:val="20"/>
                <w:szCs w:val="20"/>
                <w:color w:val="auto"/>
              </w:rPr>
            </w:pPr>
            <w:r>
              <w:rPr>
                <w:rFonts w:ascii="Times New Roman" w:cs="Times New Roman" w:eastAsia="Times New Roman" w:hAnsi="Times New Roman"/>
                <w:sz w:val="22"/>
                <w:szCs w:val="22"/>
                <w:color w:val="auto"/>
                <w:w w:val="97"/>
              </w:rPr>
              <w:t>2(R1)</w:t>
            </w: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787-8 Aircraft Information Table – GENX</w:t>
            </w:r>
          </w:p>
        </w:tc>
        <w:tc>
          <w:tcPr>
            <w:tcW w:w="0" w:type="dxa"/>
            <w:vAlign w:val="bottom"/>
          </w:tcPr>
          <w:p>
            <w:pPr>
              <w:spacing w:after="0"/>
              <w:rPr>
                <w:sz w:val="1"/>
                <w:szCs w:val="1"/>
                <w:color w:val="auto"/>
              </w:rPr>
            </w:pPr>
          </w:p>
        </w:tc>
      </w:tr>
      <w:tr>
        <w:trPr>
          <w:trHeight w:val="28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(12) 787-8 Aircraft)</w:t>
            </w:r>
          </w:p>
        </w:tc>
        <w:tc>
          <w:tcPr>
            <w:tcW w:w="0" w:type="dxa"/>
            <w:vAlign w:val="bottom"/>
          </w:tcPr>
          <w:p>
            <w:pPr>
              <w:spacing w:after="0"/>
              <w:rPr>
                <w:sz w:val="1"/>
                <w:szCs w:val="1"/>
                <w:color w:val="auto"/>
              </w:rPr>
            </w:pPr>
          </w:p>
        </w:tc>
      </w:tr>
      <w:tr>
        <w:trPr>
          <w:trHeight w:val="406"/>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560"/>
              <w:spacing w:after="0"/>
              <w:rPr>
                <w:sz w:val="20"/>
                <w:szCs w:val="20"/>
                <w:color w:val="auto"/>
              </w:rPr>
            </w:pPr>
            <w:r>
              <w:rPr>
                <w:rFonts w:ascii="Times New Roman" w:cs="Times New Roman" w:eastAsia="Times New Roman" w:hAnsi="Times New Roman"/>
                <w:sz w:val="22"/>
                <w:szCs w:val="22"/>
                <w:color w:val="auto"/>
                <w:w w:val="97"/>
              </w:rPr>
              <w:t>3(R1)</w:t>
            </w: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787-8 Aircraft Information Table – GENX</w:t>
            </w:r>
          </w:p>
        </w:tc>
        <w:tc>
          <w:tcPr>
            <w:tcW w:w="0" w:type="dxa"/>
            <w:vAlign w:val="bottom"/>
          </w:tcPr>
          <w:p>
            <w:pPr>
              <w:spacing w:after="0"/>
              <w:rPr>
                <w:sz w:val="1"/>
                <w:szCs w:val="1"/>
                <w:color w:val="auto"/>
              </w:rPr>
            </w:pPr>
          </w:p>
        </w:tc>
      </w:tr>
      <w:tr>
        <w:trPr>
          <w:trHeight w:val="28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w w:val="97"/>
              </w:rPr>
              <w:t>(</w:t>
            </w:r>
            <w:r>
              <w:rPr>
                <w:rFonts w:ascii="Times New Roman" w:cs="Times New Roman" w:eastAsia="Times New Roman" w:hAnsi="Times New Roman"/>
                <w:sz w:val="19"/>
                <w:szCs w:val="19"/>
                <w:color w:val="auto"/>
                <w:w w:val="97"/>
              </w:rPr>
              <w:t>[***]</w:t>
            </w:r>
            <w:r>
              <w:rPr>
                <w:rFonts w:ascii="Times New Roman" w:cs="Times New Roman" w:eastAsia="Times New Roman" w:hAnsi="Times New Roman"/>
                <w:sz w:val="22"/>
                <w:szCs w:val="22"/>
                <w:color w:val="auto"/>
                <w:w w:val="97"/>
              </w:rPr>
              <w:t xml:space="preserve"> Eight (8) 787-8 Aircraft, yielding Twenty (20) 787-8 Aircraft)</w:t>
            </w:r>
          </w:p>
        </w:tc>
        <w:tc>
          <w:tcPr>
            <w:tcW w:w="0" w:type="dxa"/>
            <w:vAlign w:val="bottom"/>
          </w:tcPr>
          <w:p>
            <w:pPr>
              <w:spacing w:after="0"/>
              <w:rPr>
                <w:sz w:val="1"/>
                <w:szCs w:val="1"/>
                <w:color w:val="auto"/>
              </w:rPr>
            </w:pPr>
          </w:p>
        </w:tc>
      </w:tr>
      <w:tr>
        <w:trPr>
          <w:trHeight w:val="472"/>
        </w:trPr>
        <w:tc>
          <w:tcPr>
            <w:tcW w:w="1220" w:type="dxa"/>
            <w:vAlign w:val="bottom"/>
            <w:gridSpan w:val="5"/>
          </w:tcPr>
          <w:p>
            <w:pPr>
              <w:jc w:val="center"/>
              <w:ind w:left="932"/>
              <w:spacing w:after="0"/>
              <w:rPr>
                <w:sz w:val="20"/>
                <w:szCs w:val="20"/>
                <w:color w:val="auto"/>
              </w:rPr>
            </w:pPr>
            <w:r>
              <w:rPr>
                <w:rFonts w:ascii="Times New Roman" w:cs="Times New Roman" w:eastAsia="Times New Roman" w:hAnsi="Times New Roman"/>
                <w:sz w:val="22"/>
                <w:szCs w:val="22"/>
                <w:color w:val="auto"/>
                <w:w w:val="90"/>
              </w:rPr>
              <w:t>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WITHDRAWN</w:t>
            </w:r>
          </w:p>
        </w:tc>
        <w:tc>
          <w:tcPr>
            <w:tcW w:w="0" w:type="dxa"/>
            <w:vAlign w:val="bottom"/>
          </w:tcPr>
          <w:p>
            <w:pPr>
              <w:spacing w:after="0"/>
              <w:rPr>
                <w:sz w:val="1"/>
                <w:szCs w:val="1"/>
                <w:color w:val="auto"/>
              </w:rPr>
            </w:pPr>
          </w:p>
        </w:tc>
      </w:tr>
      <w:tr>
        <w:trPr>
          <w:trHeight w:val="453"/>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5(R2)</w:t>
            </w: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2018 787-9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Aircraft Information Table – GENX</w:t>
            </w:r>
          </w:p>
        </w:tc>
        <w:tc>
          <w:tcPr>
            <w:tcW w:w="0" w:type="dxa"/>
            <w:vAlign w:val="bottom"/>
          </w:tcPr>
          <w:p>
            <w:pPr>
              <w:spacing w:after="0"/>
              <w:rPr>
                <w:sz w:val="1"/>
                <w:szCs w:val="1"/>
                <w:color w:val="auto"/>
              </w:rPr>
            </w:pPr>
          </w:p>
        </w:tc>
      </w:tr>
      <w:tr>
        <w:trPr>
          <w:trHeight w:val="297"/>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6(R2)</w:t>
            </w: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2018 787-8 [***] Aircraft Information Table-GENX</w:t>
            </w: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540"/>
              <w:spacing w:after="0"/>
              <w:rPr>
                <w:sz w:val="20"/>
                <w:szCs w:val="20"/>
                <w:color w:val="auto"/>
              </w:rPr>
            </w:pPr>
            <w:r>
              <w:rPr>
                <w:rFonts w:ascii="Times New Roman" w:cs="Times New Roman" w:eastAsia="Times New Roman" w:hAnsi="Times New Roman"/>
                <w:sz w:val="22"/>
                <w:szCs w:val="22"/>
                <w:b w:val="1"/>
                <w:bCs w:val="1"/>
                <w:color w:val="auto"/>
                <w:w w:val="98"/>
              </w:rPr>
              <w:t>7(R1)</w:t>
            </w: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 xml:space="preserve">2018 787-9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Aircraft Information Table – GENX</w:t>
            </w:r>
          </w:p>
        </w:tc>
        <w:tc>
          <w:tcPr>
            <w:tcW w:w="0" w:type="dxa"/>
            <w:vAlign w:val="bottom"/>
          </w:tcPr>
          <w:p>
            <w:pPr>
              <w:spacing w:after="0"/>
              <w:rPr>
                <w:sz w:val="1"/>
                <w:szCs w:val="1"/>
                <w:color w:val="auto"/>
              </w:rPr>
            </w:pPr>
          </w:p>
        </w:tc>
      </w:tr>
      <w:tr>
        <w:trPr>
          <w:trHeight w:val="58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EXHIBIT</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A(R3).</w:t>
            </w:r>
          </w:p>
        </w:tc>
        <w:tc>
          <w:tcPr>
            <w:tcW w:w="46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Aircraft Configuration for [***] Aircraft</w:t>
            </w:r>
          </w:p>
        </w:tc>
        <w:tc>
          <w:tcPr>
            <w:tcW w:w="0" w:type="dxa"/>
            <w:vAlign w:val="bottom"/>
          </w:tcPr>
          <w:p>
            <w:pPr>
              <w:spacing w:after="0"/>
              <w:rPr>
                <w:sz w:val="1"/>
                <w:szCs w:val="1"/>
                <w:color w:val="auto"/>
              </w:rPr>
            </w:pPr>
          </w:p>
        </w:tc>
      </w:tr>
      <w:tr>
        <w:trPr>
          <w:trHeight w:val="343"/>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560"/>
              <w:spacing w:after="0"/>
              <w:rPr>
                <w:sz w:val="20"/>
                <w:szCs w:val="20"/>
                <w:color w:val="auto"/>
              </w:rPr>
            </w:pPr>
            <w:r>
              <w:rPr>
                <w:rFonts w:ascii="Times New Roman" w:cs="Times New Roman" w:eastAsia="Times New Roman" w:hAnsi="Times New Roman"/>
                <w:sz w:val="22"/>
                <w:szCs w:val="22"/>
                <w:color w:val="auto"/>
                <w:w w:val="98"/>
              </w:rPr>
              <w:t>A2(R5)</w:t>
            </w: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 xml:space="preserve">Aircraft Configuration for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Aircraft</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540"/>
              <w:spacing w:after="0"/>
              <w:rPr>
                <w:sz w:val="20"/>
                <w:szCs w:val="20"/>
                <w:color w:val="auto"/>
              </w:rPr>
            </w:pPr>
            <w:r>
              <w:rPr>
                <w:rFonts w:ascii="Times New Roman" w:cs="Times New Roman" w:eastAsia="Times New Roman" w:hAnsi="Times New Roman"/>
                <w:sz w:val="22"/>
                <w:szCs w:val="22"/>
                <w:color w:val="auto"/>
                <w:w w:val="99"/>
              </w:rPr>
              <w:t>B(R1).</w:t>
            </w: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Aircraft Delivery Requirements and Responsibilities</w:t>
            </w:r>
          </w:p>
        </w:tc>
        <w:tc>
          <w:tcPr>
            <w:tcW w:w="0" w:type="dxa"/>
            <w:vAlign w:val="bottom"/>
          </w:tcPr>
          <w:p>
            <w:pPr>
              <w:spacing w:after="0"/>
              <w:rPr>
                <w:sz w:val="1"/>
                <w:szCs w:val="1"/>
                <w:color w:val="auto"/>
              </w:rPr>
            </w:pPr>
          </w:p>
        </w:tc>
      </w:tr>
      <w:tr>
        <w:trPr>
          <w:trHeight w:val="338"/>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5"/>
          </w:tcPr>
          <w:p>
            <w:pPr>
              <w:jc w:val="center"/>
              <w:ind w:right="540"/>
              <w:spacing w:after="0"/>
              <w:rPr>
                <w:sz w:val="20"/>
                <w:szCs w:val="20"/>
                <w:color w:val="auto"/>
              </w:rPr>
            </w:pPr>
            <w:r>
              <w:rPr>
                <w:rFonts w:ascii="Times New Roman" w:cs="Times New Roman" w:eastAsia="Times New Roman" w:hAnsi="Times New Roman"/>
                <w:sz w:val="22"/>
                <w:szCs w:val="22"/>
                <w:color w:val="auto"/>
                <w:w w:val="99"/>
              </w:rPr>
              <w:t>C(R1).</w:t>
            </w:r>
          </w:p>
        </w:tc>
        <w:tc>
          <w:tcPr>
            <w:tcW w:w="700" w:type="dxa"/>
            <w:vAlign w:val="bottom"/>
          </w:tcPr>
          <w:p>
            <w:pPr>
              <w:spacing w:after="0"/>
              <w:rPr>
                <w:sz w:val="24"/>
                <w:szCs w:val="24"/>
                <w:color w:val="auto"/>
              </w:rPr>
            </w:pPr>
          </w:p>
        </w:tc>
        <w:tc>
          <w:tcPr>
            <w:tcW w:w="6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Defined Terms</w:t>
            </w:r>
          </w:p>
        </w:tc>
        <w:tc>
          <w:tcPr>
            <w:tcW w:w="0" w:type="dxa"/>
            <w:vAlign w:val="bottom"/>
          </w:tcPr>
          <w:p>
            <w:pPr>
              <w:spacing w:after="0"/>
              <w:rPr>
                <w:sz w:val="1"/>
                <w:szCs w:val="1"/>
                <w:color w:val="auto"/>
              </w:rPr>
            </w:pPr>
          </w:p>
        </w:tc>
      </w:tr>
      <w:tr>
        <w:trPr>
          <w:trHeight w:val="839"/>
        </w:trPr>
        <w:tc>
          <w:tcPr>
            <w:tcW w:w="360" w:type="dxa"/>
            <w:vAlign w:val="bottom"/>
          </w:tcPr>
          <w:p>
            <w:pPr>
              <w:spacing w:after="0"/>
              <w:rPr>
                <w:sz w:val="24"/>
                <w:szCs w:val="24"/>
                <w:color w:val="auto"/>
              </w:rPr>
            </w:pPr>
          </w:p>
        </w:tc>
        <w:tc>
          <w:tcPr>
            <w:tcW w:w="86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SUPPLEMENTAL EXHIBITS</w:t>
            </w:r>
          </w:p>
        </w:tc>
        <w:tc>
          <w:tcPr>
            <w:tcW w:w="0" w:type="dxa"/>
            <w:vAlign w:val="bottom"/>
          </w:tcPr>
          <w:p>
            <w:pPr>
              <w:spacing w:after="0"/>
              <w:rPr>
                <w:sz w:val="1"/>
                <w:szCs w:val="1"/>
                <w:color w:val="auto"/>
              </w:rPr>
            </w:pPr>
          </w:p>
        </w:tc>
      </w:tr>
      <w:tr>
        <w:trPr>
          <w:trHeight w:val="478"/>
        </w:trPr>
        <w:tc>
          <w:tcPr>
            <w:tcW w:w="3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5"/>
              </w:rPr>
              <w:t>AE1.</w:t>
            </w:r>
          </w:p>
        </w:tc>
        <w:tc>
          <w:tcPr>
            <w:tcW w:w="7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9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5"/>
          </w:tcPr>
          <w:p>
            <w:pPr>
              <w:jc w:val="center"/>
              <w:ind w:right="392"/>
              <w:spacing w:after="0"/>
              <w:rPr>
                <w:sz w:val="20"/>
                <w:szCs w:val="20"/>
                <w:color w:val="auto"/>
              </w:rPr>
            </w:pPr>
            <w:r>
              <w:rPr>
                <w:rFonts w:ascii="Times New Roman" w:cs="Times New Roman" w:eastAsia="Times New Roman" w:hAnsi="Times New Roman"/>
                <w:sz w:val="22"/>
                <w:szCs w:val="22"/>
                <w:color w:val="auto"/>
                <w:w w:val="98"/>
              </w:rPr>
              <w:t>BFE1(R1).</w:t>
            </w:r>
          </w:p>
        </w:tc>
        <w:tc>
          <w:tcPr>
            <w:tcW w:w="340" w:type="dxa"/>
            <w:vAlign w:val="bottom"/>
          </w:tcPr>
          <w:p>
            <w:pPr>
              <w:spacing w:after="0"/>
              <w:rPr>
                <w:sz w:val="24"/>
                <w:szCs w:val="24"/>
                <w:color w:val="auto"/>
              </w:rPr>
            </w:pPr>
          </w:p>
        </w:tc>
        <w:tc>
          <w:tcPr>
            <w:tcW w:w="590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Buyer Furnished Equipment Variables 787-9</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4"/>
          </w:tcPr>
          <w:p>
            <w:pPr>
              <w:jc w:val="center"/>
              <w:ind w:left="92"/>
              <w:spacing w:after="0"/>
              <w:rPr>
                <w:sz w:val="20"/>
                <w:szCs w:val="20"/>
                <w:color w:val="auto"/>
              </w:rPr>
            </w:pPr>
            <w:r>
              <w:rPr>
                <w:rFonts w:ascii="Times New Roman" w:cs="Times New Roman" w:eastAsia="Times New Roman" w:hAnsi="Times New Roman"/>
                <w:sz w:val="22"/>
                <w:szCs w:val="22"/>
                <w:color w:val="auto"/>
                <w:w w:val="98"/>
              </w:rPr>
              <w:t>BFE2.</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0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Buyer Furnished Equipment Variables 787-8</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22"/>
                <w:szCs w:val="22"/>
                <w:color w:val="auto"/>
                <w:w w:val="96"/>
              </w:rPr>
              <w:t>CS1.</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0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787 Customer Support Document</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22"/>
                <w:szCs w:val="22"/>
                <w:color w:val="auto"/>
                <w:w w:val="96"/>
              </w:rPr>
              <w:t>EE1.</w:t>
            </w:r>
          </w:p>
        </w:tc>
        <w:tc>
          <w:tcPr>
            <w:tcW w:w="700" w:type="dxa"/>
            <w:vAlign w:val="bottom"/>
          </w:tcPr>
          <w:p>
            <w:pPr>
              <w:spacing w:after="0"/>
              <w:rPr>
                <w:sz w:val="24"/>
                <w:szCs w:val="24"/>
                <w:color w:val="auto"/>
              </w:rPr>
            </w:pPr>
          </w:p>
        </w:tc>
        <w:tc>
          <w:tcPr>
            <w:tcW w:w="326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rPr>
              <w:t>[***]</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22"/>
                <w:szCs w:val="22"/>
                <w:color w:val="auto"/>
                <w:strike w:val="1"/>
                <w:w w:val="96"/>
              </w:rPr>
              <w:t>EE1.</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0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 WITHDRAWN</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22"/>
                <w:szCs w:val="22"/>
                <w:color w:val="auto"/>
                <w:w w:val="96"/>
              </w:rPr>
              <w:t>EE2.</w:t>
            </w:r>
          </w:p>
        </w:tc>
        <w:tc>
          <w:tcPr>
            <w:tcW w:w="700" w:type="dxa"/>
            <w:vAlign w:val="bottom"/>
          </w:tcPr>
          <w:p>
            <w:pPr>
              <w:spacing w:after="0"/>
              <w:rPr>
                <w:sz w:val="24"/>
                <w:szCs w:val="24"/>
                <w:color w:val="auto"/>
              </w:rPr>
            </w:pPr>
          </w:p>
        </w:tc>
        <w:tc>
          <w:tcPr>
            <w:tcW w:w="326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rPr>
              <w:t>[***]</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7"/>
        </w:trPr>
        <w:tc>
          <w:tcPr>
            <w:tcW w:w="272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P.A. No. 3219   SA-17</w:t>
            </w:r>
          </w:p>
        </w:tc>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2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Table of Contents</w:t>
            </w:r>
          </w:p>
        </w:tc>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Page i</w:t>
            </w:r>
          </w:p>
        </w:tc>
        <w:tc>
          <w:tcPr>
            <w:tcW w:w="340" w:type="dxa"/>
            <w:vAlign w:val="bottom"/>
          </w:tcPr>
          <w:p>
            <w:pPr>
              <w:spacing w:after="0"/>
              <w:rPr>
                <w:sz w:val="24"/>
                <w:szCs w:val="24"/>
                <w:color w:val="auto"/>
              </w:rPr>
            </w:pPr>
          </w:p>
        </w:tc>
        <w:tc>
          <w:tcPr>
            <w:tcW w:w="5900" w:type="dxa"/>
            <w:vAlign w:val="bottom"/>
            <w:gridSpan w:val="2"/>
            <w:vMerge w:val="restart"/>
          </w:tcPr>
          <w:p>
            <w:pPr>
              <w:jc w:val="center"/>
              <w:ind w:right="672"/>
              <w:spacing w:after="0"/>
              <w:rPr>
                <w:sz w:val="20"/>
                <w:szCs w:val="20"/>
                <w:color w:val="auto"/>
              </w:rPr>
            </w:pPr>
            <w:r>
              <w:rPr>
                <w:rFonts w:ascii="Times New Roman" w:cs="Times New Roman" w:eastAsia="Times New Roman" w:hAnsi="Times New Roman"/>
                <w:sz w:val="22"/>
                <w:szCs w:val="22"/>
                <w:b w:val="1"/>
                <w:bCs w:val="1"/>
                <w:color w:val="auto"/>
                <w:w w:val="97"/>
              </w:rPr>
              <w:t>BOEING PROPRIETARY</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w:t>
      </w:r>
    </w:p>
    <w:p>
      <w:pPr>
        <w:jc w:val="center"/>
        <w:spacing w:after="0"/>
        <w:rPr>
          <w:sz w:val="20"/>
          <w:szCs w:val="20"/>
          <w:color w:val="auto"/>
        </w:rPr>
      </w:pPr>
      <w:r>
        <w:rPr>
          <w:rFonts w:ascii="Times New Roman" w:cs="Times New Roman" w:eastAsia="Times New Roman" w:hAnsi="Times New Roman"/>
          <w:sz w:val="21"/>
          <w:szCs w:val="21"/>
          <w:u w:val="single" w:color="auto"/>
          <w:color w:val="auto"/>
        </w:rPr>
        <w:t>NUMBER</w:t>
      </w:r>
    </w:p>
    <w:p>
      <w:pPr>
        <w:spacing w:after="0" w:line="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SA-2</w:t>
      </w:r>
    </w:p>
    <w:p>
      <w:pPr>
        <w:spacing w:after="0" w:line="200" w:lineRule="exact"/>
        <w:rPr>
          <w:sz w:val="20"/>
          <w:szCs w:val="20"/>
          <w:color w:val="auto"/>
        </w:rPr>
      </w:pPr>
    </w:p>
    <w:p>
      <w:pPr>
        <w:spacing w:after="0" w:line="3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SA-5</w:t>
      </w: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SA-5</w:t>
      </w:r>
    </w:p>
    <w:p>
      <w:pPr>
        <w:spacing w:after="0" w:line="200" w:lineRule="exact"/>
        <w:rPr>
          <w:sz w:val="20"/>
          <w:szCs w:val="20"/>
          <w:color w:val="auto"/>
        </w:rPr>
      </w:pP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SA-6</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SA-17</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SA-16</w:t>
      </w:r>
    </w:p>
    <w:p>
      <w:pPr>
        <w:ind w:left="180"/>
        <w:spacing w:after="0"/>
        <w:rPr>
          <w:sz w:val="20"/>
          <w:szCs w:val="20"/>
          <w:color w:val="auto"/>
        </w:rPr>
      </w:pPr>
      <w:r>
        <w:rPr>
          <w:rFonts w:ascii="Times New Roman" w:cs="Times New Roman" w:eastAsia="Times New Roman" w:hAnsi="Times New Roman"/>
          <w:sz w:val="22"/>
          <w:szCs w:val="22"/>
          <w:b w:val="1"/>
          <w:bCs w:val="1"/>
          <w:color w:val="auto"/>
        </w:rPr>
        <w:t>SA-17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SA-11</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SA-12</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SA-2</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SA-4</w:t>
      </w:r>
    </w:p>
    <w:p>
      <w:pPr>
        <w:sectPr>
          <w:pgSz w:w="11900" w:h="16838" w:orient="portrait"/>
          <w:cols w:equalWidth="0" w:num="2">
            <w:col w:w="9280" w:space="720"/>
            <w:col w:w="940"/>
          </w:cols>
          <w:pgMar w:left="320" w:top="315" w:right="639" w:bottom="219"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SLP1.</w:t>
      </w: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u w:val="single" w:color="auto"/>
          <w:color w:val="auto"/>
        </w:rPr>
        <w:t>LETTER AGREEMENTS</w:t>
      </w:r>
    </w:p>
    <w:p>
      <w:pPr>
        <w:spacing w:after="0" w:line="200" w:lineRule="exact"/>
        <w:rPr>
          <w:sz w:val="20"/>
          <w:szCs w:val="20"/>
          <w:color w:val="auto"/>
        </w:rPr>
      </w:pPr>
    </w:p>
    <w:p>
      <w:pPr>
        <w:spacing w:after="0" w:line="2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3219-01</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3219-02</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3219-04</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3219-05R1</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3219-06R1</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strike w:val="1"/>
        </w:rPr>
        <w:t>3219-08R2</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strike w:val="1"/>
        </w:rPr>
        <w:t>6-1162-AKP-071R1</w:t>
      </w:r>
    </w:p>
    <w:p>
      <w:pPr>
        <w:spacing w:after="0" w:line="3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strike w:val="1"/>
        </w:rPr>
        <w:t>6-1162-AKP-072R2</w:t>
      </w:r>
    </w:p>
    <w:p>
      <w:pPr>
        <w:spacing w:after="0" w:line="3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6-1162-AKP-073R1</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strike w:val="1"/>
        </w:rPr>
        <w:t>6-1162-CLO-1031R1</w:t>
      </w:r>
    </w:p>
    <w:p>
      <w:pPr>
        <w:spacing w:after="0" w:line="200" w:lineRule="exact"/>
        <w:rPr>
          <w:sz w:val="20"/>
          <w:szCs w:val="20"/>
          <w:color w:val="auto"/>
        </w:rPr>
      </w:pPr>
    </w:p>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strike w:val="1"/>
        </w:rPr>
        <w:t>6-1162-CLO-1032R1</w:t>
      </w:r>
    </w:p>
    <w:p>
      <w:pPr>
        <w:spacing w:after="0" w:line="3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6-1162-CLO-1039</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6-1162-CLO-1042</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6-1162-CLO-1043R1</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6-1162-CLO-1045R1</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strike w:val="1"/>
        </w:rPr>
        <w:t>6-1162-CLO-1046</w:t>
      </w:r>
    </w:p>
    <w:p>
      <w:pPr>
        <w:spacing w:after="0" w:line="200" w:lineRule="exact"/>
        <w:rPr>
          <w:sz w:val="20"/>
          <w:szCs w:val="20"/>
          <w:color w:val="auto"/>
        </w:rPr>
      </w:pPr>
    </w:p>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6-1162-CLO-1047R4</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strike w:val="1"/>
        </w:rPr>
        <w:t>6-1162-CLO-1048</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6-1162-CLO-1049R2</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6-1162-TRW-0664R2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color w:val="auto"/>
        </w:rPr>
        <w:t>P.A. No. 3219</w:t>
      </w:r>
      <w:r>
        <w:rPr>
          <w:sz w:val="20"/>
          <w:szCs w:val="20"/>
          <w:color w:val="auto"/>
        </w:rPr>
        <w:tab/>
      </w:r>
      <w:r>
        <w:rPr>
          <w:rFonts w:ascii="Times New Roman" w:cs="Times New Roman" w:eastAsia="Times New Roman" w:hAnsi="Times New Roman"/>
          <w:sz w:val="21"/>
          <w:szCs w:val="21"/>
          <w:color w:val="auto"/>
        </w:rPr>
        <w:t>SA-17</w:t>
      </w:r>
    </w:p>
    <w:p>
      <w:pPr>
        <w:spacing w:after="0"/>
        <w:tabs>
          <w:tab w:leader="none" w:pos="2000" w:val="left"/>
        </w:tabs>
        <w:rPr>
          <w:sz w:val="20"/>
          <w:szCs w:val="20"/>
          <w:color w:val="auto"/>
        </w:rPr>
      </w:pPr>
      <w:r>
        <w:rPr>
          <w:rFonts w:ascii="Times New Roman" w:cs="Times New Roman" w:eastAsia="Times New Roman" w:hAnsi="Times New Roman"/>
          <w:sz w:val="22"/>
          <w:szCs w:val="22"/>
          <w:color w:val="auto"/>
        </w:rPr>
        <w:t>Table of Contents</w:t>
      </w:r>
      <w:r>
        <w:rPr>
          <w:sz w:val="20"/>
          <w:szCs w:val="20"/>
          <w:color w:val="auto"/>
        </w:rPr>
        <w:tab/>
      </w:r>
      <w:r>
        <w:rPr>
          <w:rFonts w:ascii="Times New Roman" w:cs="Times New Roman" w:eastAsia="Times New Roman" w:hAnsi="Times New Roman"/>
          <w:sz w:val="21"/>
          <w:szCs w:val="21"/>
          <w:color w:val="auto"/>
        </w:rPr>
        <w:t>Page ii</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Times New Roman" w:cs="Times New Roman" w:eastAsia="Times New Roman" w:hAnsi="Times New Roman"/>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Service Life Policy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Special Terms – Seats and In-Flight Entertainment</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Spare Parts Commitments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Spare Parts Initial Provisioning</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strike w:val="1"/>
        </w:rPr>
        <w:t>Open Configuration Matters</w:t>
      </w:r>
      <w:r>
        <w:rPr>
          <w:rFonts w:ascii="Times New Roman" w:cs="Times New Roman" w:eastAsia="Times New Roman" w:hAnsi="Times New Roman"/>
          <w:sz w:val="22"/>
          <w:szCs w:val="22"/>
          <w:color w:val="auto"/>
        </w:rPr>
        <w:t xml:space="preserve"> WITHDRAWN</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ind w:left="380"/>
        <w:spacing w:after="0"/>
        <w:rPr>
          <w:sz w:val="20"/>
          <w:szCs w:val="20"/>
          <w:color w:val="auto"/>
        </w:rPr>
      </w:pPr>
      <w:r>
        <w:rPr>
          <w:rFonts w:ascii="Times New Roman" w:cs="Times New Roman" w:eastAsia="Times New Roman" w:hAnsi="Times New Roman"/>
          <w:sz w:val="22"/>
          <w:szCs w:val="22"/>
          <w:color w:val="auto"/>
        </w:rPr>
        <w:t>Terminated per AAL-PA-1977-LA-1105595</w:t>
      </w:r>
    </w:p>
    <w:p>
      <w:pPr>
        <w:spacing w:after="0" w:line="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ind w:left="60" w:right="1260" w:firstLine="324"/>
        <w:spacing w:after="0" w:line="363" w:lineRule="auto"/>
        <w:rPr>
          <w:sz w:val="20"/>
          <w:szCs w:val="20"/>
          <w:color w:val="auto"/>
        </w:rPr>
      </w:pPr>
      <w:r>
        <w:rPr>
          <w:rFonts w:ascii="Times New Roman" w:cs="Times New Roman" w:eastAsia="Times New Roman" w:hAnsi="Times New Roman"/>
          <w:sz w:val="22"/>
          <w:szCs w:val="22"/>
          <w:color w:val="auto"/>
        </w:rPr>
        <w:t>Terminated per AAL-PA-1977-LA-1105595 Accident Claims and Litigation</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ind w:left="60"/>
        <w:spacing w:after="0"/>
        <w:rPr>
          <w:sz w:val="20"/>
          <w:szCs w:val="20"/>
          <w:color w:val="auto"/>
        </w:rPr>
      </w:pPr>
      <w:r>
        <w:rPr>
          <w:rFonts w:ascii="Times New Roman" w:cs="Times New Roman" w:eastAsia="Times New Roman" w:hAnsi="Times New Roman"/>
          <w:sz w:val="22"/>
          <w:szCs w:val="22"/>
          <w:color w:val="auto"/>
        </w:rPr>
        <w:t>WITHDRAWN</w:t>
      </w:r>
    </w:p>
    <w:p>
      <w:pPr>
        <w:spacing w:after="0" w:line="1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ind w:left="380"/>
        <w:spacing w:after="0"/>
        <w:rPr>
          <w:sz w:val="20"/>
          <w:szCs w:val="20"/>
          <w:color w:val="auto"/>
        </w:rPr>
      </w:pPr>
      <w:r>
        <w:rPr>
          <w:rFonts w:ascii="Times New Roman" w:cs="Times New Roman" w:eastAsia="Times New Roman" w:hAnsi="Times New Roman"/>
          <w:sz w:val="22"/>
          <w:szCs w:val="22"/>
          <w:color w:val="auto"/>
        </w:rPr>
        <w:t>Terminated</w:t>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787 Inspection Process</w:t>
      </w:r>
    </w:p>
    <w:p>
      <w:pPr>
        <w:spacing w:after="0" w:line="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left="60" w:right="660"/>
        <w:spacing w:after="0" w:line="284" w:lineRule="auto"/>
        <w:rPr>
          <w:sz w:val="20"/>
          <w:szCs w:val="20"/>
          <w:color w:val="auto"/>
        </w:rPr>
      </w:pPr>
      <w:r>
        <w:rPr>
          <w:rFonts w:ascii="Times New Roman" w:cs="Times New Roman" w:eastAsia="Times New Roman" w:hAnsi="Times New Roman"/>
          <w:sz w:val="22"/>
          <w:szCs w:val="22"/>
          <w:color w:val="auto"/>
          <w:strike w:val="1"/>
        </w:rPr>
        <w:t>SA-eE, COTS Software and End User License Matters WITHDRAWN</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w:t>
      </w:r>
    </w:p>
    <w:p>
      <w:pPr>
        <w:spacing w:after="0" w:line="143" w:lineRule="exact"/>
        <w:rPr>
          <w:sz w:val="20"/>
          <w:szCs w:val="20"/>
          <w:color w:val="auto"/>
        </w:rPr>
      </w:pPr>
    </w:p>
    <w:p>
      <w:pPr>
        <w:ind w:left="60"/>
        <w:spacing w:after="0"/>
        <w:tabs>
          <w:tab w:leader="none" w:pos="1400" w:val="left"/>
        </w:tabs>
        <w:rPr>
          <w:sz w:val="20"/>
          <w:szCs w:val="20"/>
          <w:color w:val="auto"/>
        </w:rPr>
      </w:pPr>
      <w:r>
        <w:rPr>
          <w:rFonts w:ascii="Times New Roman" w:cs="Times New Roman" w:eastAsia="Times New Roman" w:hAnsi="Times New Roman"/>
          <w:sz w:val="22"/>
          <w:szCs w:val="22"/>
          <w:color w:val="auto"/>
          <w:strike w:val="1"/>
        </w:rPr>
        <w:t>Final Matters</w:t>
      </w:r>
      <w:r>
        <w:rPr>
          <w:sz w:val="20"/>
          <w:szCs w:val="20"/>
          <w:color w:val="auto"/>
        </w:rPr>
        <w:tab/>
      </w:r>
      <w:r>
        <w:rPr>
          <w:rFonts w:ascii="Times New Roman" w:cs="Times New Roman" w:eastAsia="Times New Roman" w:hAnsi="Times New Roman"/>
          <w:sz w:val="21"/>
          <w:szCs w:val="21"/>
          <w:color w:val="auto"/>
        </w:rPr>
        <w:t>WITHDRAWN</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CS1 Matters</w:t>
      </w:r>
    </w:p>
    <w:p>
      <w:pPr>
        <w:spacing w:after="0" w:line="44" w:lineRule="exact"/>
        <w:rPr>
          <w:sz w:val="20"/>
          <w:szCs w:val="20"/>
          <w:color w:val="auto"/>
        </w:rPr>
      </w:pPr>
    </w:p>
    <w:p>
      <w:pPr>
        <w:ind w:right="260"/>
        <w:spacing w:after="0" w:line="355" w:lineRule="auto"/>
        <w:rPr>
          <w:sz w:val="20"/>
          <w:szCs w:val="20"/>
          <w:color w:val="auto"/>
        </w:rPr>
      </w:pPr>
      <w:r>
        <w:rPr>
          <w:rFonts w:ascii="Times New Roman" w:cs="Times New Roman" w:eastAsia="Times New Roman" w:hAnsi="Times New Roman"/>
          <w:sz w:val="21"/>
          <w:szCs w:val="21"/>
          <w:color w:val="auto"/>
        </w:rPr>
        <w:t xml:space="preserve">Aircraft Purchase Rights and Substitution Rights </w:t>
      </w:r>
      <w:r>
        <w:rPr>
          <w:rFonts w:ascii="Times New Roman" w:cs="Times New Roman" w:eastAsia="Times New Roman" w:hAnsi="Times New Roman"/>
          <w:sz w:val="21"/>
          <w:szCs w:val="21"/>
          <w:color w:val="auto"/>
          <w:strike w:val="1"/>
        </w:rPr>
        <w:t>Attachment A(R2) – MADP Exercise Dates</w:t>
      </w:r>
      <w:r>
        <w:rPr>
          <w:rFonts w:ascii="Times New Roman" w:cs="Times New Roman" w:eastAsia="Times New Roman" w:hAnsi="Times New Roman"/>
          <w:sz w:val="21"/>
          <w:szCs w:val="21"/>
          <w:color w:val="auto"/>
        </w:rPr>
        <w:t xml:space="preserve"> WITHDRAWN </w:t>
      </w:r>
      <w:r>
        <w:rPr>
          <w:rFonts w:ascii="Times New Roman" w:cs="Times New Roman" w:eastAsia="Times New Roman" w:hAnsi="Times New Roman"/>
          <w:sz w:val="21"/>
          <w:szCs w:val="21"/>
          <w:color w:val="auto"/>
          <w:strike w:val="1"/>
        </w:rPr>
        <w:t>Attachment B(R2) – QADP Exercise Dates</w:t>
      </w:r>
      <w:r>
        <w:rPr>
          <w:rFonts w:ascii="Times New Roman" w:cs="Times New Roman" w:eastAsia="Times New Roman" w:hAnsi="Times New Roman"/>
          <w:sz w:val="21"/>
          <w:szCs w:val="21"/>
          <w:color w:val="auto"/>
        </w:rPr>
        <w:t xml:space="preserve"> WITHDRAWN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w:t>
      </w:r>
    </w:p>
    <w:p>
      <w:pPr>
        <w:jc w:val="center"/>
        <w:spacing w:after="0"/>
        <w:rPr>
          <w:sz w:val="20"/>
          <w:szCs w:val="20"/>
          <w:color w:val="auto"/>
        </w:rPr>
      </w:pPr>
      <w:r>
        <w:rPr>
          <w:rFonts w:ascii="Times New Roman" w:cs="Times New Roman" w:eastAsia="Times New Roman" w:hAnsi="Times New Roman"/>
          <w:sz w:val="21"/>
          <w:szCs w:val="21"/>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SA-2</w:t>
      </w: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SA-2</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SA-3</w:t>
      </w:r>
    </w:p>
    <w:p>
      <w:pPr>
        <w:spacing w:after="0" w:line="3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SA-11</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SA-2</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SA-6</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SA-11</w:t>
      </w:r>
    </w:p>
    <w:p>
      <w:pPr>
        <w:spacing w:after="0" w:line="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SA-11</w:t>
      </w:r>
    </w:p>
    <w:p>
      <w:pPr>
        <w:spacing w:after="0" w:line="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SA-11</w:t>
      </w:r>
    </w:p>
    <w:p>
      <w:pPr>
        <w:sectPr>
          <w:pgSz w:w="11900" w:h="16838" w:orient="portrait"/>
          <w:cols w:equalWidth="0" w:num="3">
            <w:col w:w="3100" w:space="720"/>
            <w:col w:w="5460" w:space="720"/>
            <w:col w:w="940"/>
          </w:cols>
          <w:pgMar w:left="320" w:top="315" w:right="63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strike w:val="1"/>
        </w:rPr>
        <w:t>6-1162-TRW-0665</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strike w:val="1"/>
        </w:rPr>
        <w:t>6-1162-TRW-0666</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6-1162-TRW-0667R3</w:t>
      </w:r>
    </w:p>
    <w:p>
      <w:pPr>
        <w:spacing w:after="0" w:line="1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6-1162-TRW-0668R1</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Times New Roman" w:cs="Times New Roman" w:eastAsia="Times New Roman" w:hAnsi="Times New Roman"/>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620" w:type="dxa"/>
            <w:vAlign w:val="bottom"/>
          </w:tcPr>
          <w:p>
            <w:pPr>
              <w:spacing w:after="0"/>
              <w:rPr>
                <w:sz w:val="4"/>
                <w:szCs w:val="4"/>
                <w:color w:val="auto"/>
              </w:rPr>
            </w:pPr>
          </w:p>
        </w:tc>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strike w:val="1"/>
              </w:rPr>
              <w:t>Attachment C(R3) – MADP &amp; QADP Rights Aircraft:</w:t>
            </w:r>
          </w:p>
        </w:tc>
        <w:tc>
          <w:tcPr>
            <w:tcW w:w="820" w:type="dxa"/>
            <w:vAlign w:val="bottom"/>
            <w:vMerge w:val="restart"/>
          </w:tcPr>
          <w:p>
            <w:pPr>
              <w:jc w:val="center"/>
              <w:ind w:left="172"/>
              <w:spacing w:after="0"/>
              <w:rPr>
                <w:sz w:val="20"/>
                <w:szCs w:val="20"/>
                <w:color w:val="auto"/>
              </w:rPr>
            </w:pPr>
            <w:r>
              <w:rPr>
                <w:rFonts w:ascii="Times New Roman" w:cs="Times New Roman" w:eastAsia="Times New Roman" w:hAnsi="Times New Roman"/>
                <w:sz w:val="22"/>
                <w:szCs w:val="22"/>
                <w:color w:val="auto"/>
                <w:w w:val="93"/>
              </w:rPr>
              <w:t>SA-11</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610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6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22"/>
                <w:szCs w:val="22"/>
                <w:color w:val="auto"/>
                <w:strike w:val="1"/>
                <w:w w:val="99"/>
              </w:rPr>
              <w:t>Description/Price Data</w:t>
            </w:r>
          </w:p>
        </w:tc>
        <w:tc>
          <w:tcPr>
            <w:tcW w:w="4080" w:type="dxa"/>
            <w:vAlign w:val="bottom"/>
          </w:tcPr>
          <w:p>
            <w:pPr>
              <w:spacing w:after="0"/>
              <w:rPr>
                <w:sz w:val="20"/>
                <w:szCs w:val="20"/>
                <w:color w:val="auto"/>
              </w:rPr>
            </w:pPr>
            <w:r>
              <w:rPr>
                <w:rFonts w:ascii="Times New Roman" w:cs="Times New Roman" w:eastAsia="Times New Roman" w:hAnsi="Times New Roman"/>
                <w:sz w:val="22"/>
                <w:szCs w:val="22"/>
                <w:color w:val="auto"/>
              </w:rPr>
              <w:t>Attachment C(R4)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Attachment D – Form of Purchase Agreement Supplement</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3"/>
              </w:rPr>
              <w:t>SA-11</w:t>
            </w:r>
          </w:p>
        </w:tc>
        <w:tc>
          <w:tcPr>
            <w:tcW w:w="0" w:type="dxa"/>
            <w:vAlign w:val="bottom"/>
          </w:tcPr>
          <w:p>
            <w:pPr>
              <w:spacing w:after="0"/>
              <w:rPr>
                <w:sz w:val="1"/>
                <w:szCs w:val="1"/>
                <w:color w:val="auto"/>
              </w:rPr>
            </w:pPr>
          </w:p>
        </w:tc>
      </w:tr>
      <w:tr>
        <w:trPr>
          <w:trHeight w:val="567"/>
        </w:trPr>
        <w:tc>
          <w:tcPr>
            <w:tcW w:w="6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Attachment E – Letter Agreements To Be Included In Purchase</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8"/>
              </w:rPr>
              <w:t>SA-6</w:t>
            </w:r>
          </w:p>
        </w:tc>
        <w:tc>
          <w:tcPr>
            <w:tcW w:w="0" w:type="dxa"/>
            <w:vAlign w:val="bottom"/>
          </w:tcPr>
          <w:p>
            <w:pPr>
              <w:spacing w:after="0"/>
              <w:rPr>
                <w:sz w:val="1"/>
                <w:szCs w:val="1"/>
                <w:color w:val="auto"/>
              </w:rPr>
            </w:pPr>
          </w:p>
        </w:tc>
      </w:tr>
      <w:tr>
        <w:trPr>
          <w:trHeight w:val="297"/>
        </w:trPr>
        <w:tc>
          <w:tcPr>
            <w:tcW w:w="6720" w:type="dxa"/>
            <w:vAlign w:val="bottom"/>
            <w:gridSpan w:val="3"/>
          </w:tcPr>
          <w:p>
            <w:pPr>
              <w:jc w:val="right"/>
              <w:ind w:right="4572"/>
              <w:spacing w:after="0"/>
              <w:rPr>
                <w:sz w:val="20"/>
                <w:szCs w:val="20"/>
                <w:color w:val="auto"/>
              </w:rPr>
            </w:pPr>
            <w:r>
              <w:rPr>
                <w:rFonts w:ascii="Times New Roman" w:cs="Times New Roman" w:eastAsia="Times New Roman" w:hAnsi="Times New Roman"/>
                <w:sz w:val="22"/>
                <w:szCs w:val="22"/>
                <w:color w:val="auto"/>
                <w:w w:val="96"/>
              </w:rPr>
              <w:t>Agreement Supplement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 w:type="dxa"/>
            <w:vAlign w:val="bottom"/>
          </w:tcPr>
          <w:p>
            <w:pPr>
              <w:spacing w:after="0"/>
              <w:rPr>
                <w:sz w:val="24"/>
                <w:szCs w:val="24"/>
                <w:color w:val="auto"/>
              </w:rPr>
            </w:pPr>
          </w:p>
        </w:tc>
        <w:tc>
          <w:tcPr>
            <w:tcW w:w="6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WITHDRAWN</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359"/>
        </w:trPr>
        <w:tc>
          <w:tcPr>
            <w:tcW w:w="620" w:type="dxa"/>
            <w:vAlign w:val="bottom"/>
          </w:tcPr>
          <w:p>
            <w:pPr>
              <w:spacing w:after="0"/>
              <w:rPr>
                <w:sz w:val="24"/>
                <w:szCs w:val="24"/>
                <w:color w:val="auto"/>
              </w:rPr>
            </w:pPr>
          </w:p>
        </w:tc>
        <w:tc>
          <w:tcPr>
            <w:tcW w:w="6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r>
              <w:rPr>
                <w:rFonts w:ascii="Calibri" w:cs="Calibri" w:eastAsia="Calibri" w:hAnsi="Calibri"/>
                <w:sz w:val="21"/>
                <w:szCs w:val="21"/>
                <w:color w:val="auto"/>
              </w:rPr>
              <w:t>WITHDRAWN</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378"/>
        </w:trPr>
        <w:tc>
          <w:tcPr>
            <w:tcW w:w="264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auto"/>
              </w:rPr>
              <w:t>[***]</w:t>
            </w:r>
          </w:p>
        </w:tc>
        <w:tc>
          <w:tcPr>
            <w:tcW w:w="4080" w:type="dxa"/>
            <w:vAlign w:val="bottom"/>
          </w:tcPr>
          <w:p>
            <w:pPr>
              <w:spacing w:after="0"/>
              <w:rPr>
                <w:sz w:val="24"/>
                <w:szCs w:val="24"/>
                <w:color w:val="auto"/>
              </w:rPr>
            </w:pP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3"/>
              </w:rPr>
              <w:t>SA-11</w:t>
            </w:r>
          </w:p>
        </w:tc>
        <w:tc>
          <w:tcPr>
            <w:tcW w:w="0" w:type="dxa"/>
            <w:vAlign w:val="bottom"/>
          </w:tcPr>
          <w:p>
            <w:pPr>
              <w:spacing w:after="0"/>
              <w:rPr>
                <w:sz w:val="1"/>
                <w:szCs w:val="1"/>
                <w:color w:val="auto"/>
              </w:rPr>
            </w:pPr>
          </w:p>
        </w:tc>
      </w:tr>
      <w:tr>
        <w:trPr>
          <w:trHeight w:val="332"/>
        </w:trPr>
        <w:tc>
          <w:tcPr>
            <w:tcW w:w="620" w:type="dxa"/>
            <w:vAlign w:val="bottom"/>
          </w:tcPr>
          <w:p>
            <w:pPr>
              <w:spacing w:after="0"/>
              <w:rPr>
                <w:sz w:val="24"/>
                <w:szCs w:val="24"/>
                <w:color w:val="auto"/>
              </w:rPr>
            </w:pPr>
          </w:p>
        </w:tc>
        <w:tc>
          <w:tcPr>
            <w:tcW w:w="61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Special Matters Relating to COTS Software and End User License</w:t>
            </w:r>
          </w:p>
        </w:tc>
        <w:tc>
          <w:tcPr>
            <w:tcW w:w="82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8"/>
              </w:rPr>
              <w:t>SA-3</w:t>
            </w:r>
          </w:p>
        </w:tc>
        <w:tc>
          <w:tcPr>
            <w:tcW w:w="0" w:type="dxa"/>
            <w:vAlign w:val="bottom"/>
          </w:tcPr>
          <w:p>
            <w:pPr>
              <w:spacing w:after="0"/>
              <w:rPr>
                <w:sz w:val="1"/>
                <w:szCs w:val="1"/>
                <w:color w:val="auto"/>
              </w:rPr>
            </w:pPr>
          </w:p>
        </w:tc>
      </w:tr>
      <w:tr>
        <w:trPr>
          <w:trHeight w:val="282"/>
        </w:trPr>
        <w:tc>
          <w:tcPr>
            <w:tcW w:w="620" w:type="dxa"/>
            <w:vAlign w:val="bottom"/>
          </w:tcPr>
          <w:p>
            <w:pPr>
              <w:spacing w:after="0"/>
              <w:rPr>
                <w:sz w:val="24"/>
                <w:szCs w:val="24"/>
                <w:color w:val="auto"/>
              </w:rPr>
            </w:pPr>
          </w:p>
        </w:tc>
        <w:tc>
          <w:tcPr>
            <w:tcW w:w="6100" w:type="dxa"/>
            <w:vAlign w:val="bottom"/>
            <w:gridSpan w:val="2"/>
          </w:tcPr>
          <w:p>
            <w:pPr>
              <w:jc w:val="right"/>
              <w:ind w:right="4572"/>
              <w:spacing w:after="0"/>
              <w:rPr>
                <w:sz w:val="20"/>
                <w:szCs w:val="20"/>
                <w:color w:val="auto"/>
              </w:rPr>
            </w:pPr>
            <w:r>
              <w:rPr>
                <w:rFonts w:ascii="Times New Roman" w:cs="Times New Roman" w:eastAsia="Times New Roman" w:hAnsi="Times New Roman"/>
                <w:sz w:val="22"/>
                <w:szCs w:val="22"/>
                <w:color w:val="auto"/>
              </w:rPr>
              <w:t>Agreements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ectPr>
          <w:pgSz w:w="11900" w:h="16838" w:orient="portrait"/>
          <w:cols w:equalWidth="0" w:num="2">
            <w:col w:w="2480" w:space="720"/>
            <w:col w:w="7540"/>
          </w:cols>
          <w:pgMar w:left="320" w:top="315" w:right="839" w:bottom="1440" w:gutter="0" w:footer="0" w:header="0"/>
        </w:sectPr>
      </w:pPr>
    </w:p>
    <w:p>
      <w:pPr>
        <w:spacing w:after="0" w:line="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6-1162-TRW-0670R1</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strike w:val="1"/>
        </w:rPr>
        <w:t>6-1162-TRW-0671</w:t>
      </w:r>
    </w:p>
    <w:p>
      <w:pPr>
        <w:spacing w:after="0" w:line="200" w:lineRule="exact"/>
        <w:rPr>
          <w:sz w:val="20"/>
          <w:szCs w:val="20"/>
          <w:color w:val="auto"/>
        </w:rPr>
      </w:pPr>
    </w:p>
    <w:p>
      <w:pPr>
        <w:spacing w:after="0" w:line="2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6-1162-TRW-0672R1</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6-1162-TRW-0673R1</w:t>
      </w:r>
    </w:p>
    <w:p>
      <w:pPr>
        <w:spacing w:after="0" w:line="125" w:lineRule="exact"/>
        <w:rPr>
          <w:sz w:val="20"/>
          <w:szCs w:val="20"/>
          <w:color w:val="auto"/>
        </w:rPr>
      </w:pPr>
    </w:p>
    <w:p>
      <w:pPr>
        <w:ind w:left="140" w:right="520"/>
        <w:spacing w:after="0" w:line="375" w:lineRule="auto"/>
        <w:rPr>
          <w:sz w:val="20"/>
          <w:szCs w:val="20"/>
          <w:color w:val="auto"/>
        </w:rPr>
      </w:pPr>
      <w:r>
        <w:rPr>
          <w:rFonts w:ascii="Times New Roman" w:cs="Times New Roman" w:eastAsia="Times New Roman" w:hAnsi="Times New Roman"/>
          <w:sz w:val="21"/>
          <w:szCs w:val="21"/>
          <w:color w:val="auto"/>
        </w:rPr>
        <w:t>6-1162-TRW-0674R4 AAL-PA-3219-LA-08836R2 AAL-PA-3219-LA-08837R1 AAL-PA-3219-LA-08838 AAL-LA-1106678</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AAL-PA-3219-LA-1302236R</w:t>
      </w:r>
      <w:r>
        <w:rPr>
          <w:rFonts w:ascii="Times New Roman" w:cs="Times New Roman" w:eastAsia="Times New Roman" w:hAnsi="Times New Roman"/>
          <w:sz w:val="21"/>
          <w:szCs w:val="21"/>
          <w:color w:val="auto"/>
        </w:rPr>
        <w:t>2</w:t>
      </w:r>
    </w:p>
    <w:p>
      <w:pPr>
        <w:spacing w:after="0" w:line="1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AAL-PA-3219-LA-1604503R1</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AAL-PA-03219-LA-1701988</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AAL-PA-03219_LA-1804779</w:t>
      </w: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AAL-PA-03219-LA-1802262R1</w:t>
      </w:r>
    </w:p>
    <w:p>
      <w:pPr>
        <w:spacing w:after="0" w:line="137" w:lineRule="exact"/>
        <w:rPr>
          <w:sz w:val="20"/>
          <w:szCs w:val="20"/>
          <w:color w:val="auto"/>
        </w:rPr>
      </w:pPr>
    </w:p>
    <w:p>
      <w:pPr>
        <w:ind w:left="140" w:right="440"/>
        <w:spacing w:after="0" w:line="255" w:lineRule="auto"/>
        <w:rPr>
          <w:sz w:val="20"/>
          <w:szCs w:val="20"/>
          <w:color w:val="auto"/>
        </w:rPr>
      </w:pPr>
      <w:r>
        <w:rPr>
          <w:rFonts w:ascii="Times New Roman" w:cs="Times New Roman" w:eastAsia="Times New Roman" w:hAnsi="Times New Roman"/>
          <w:sz w:val="21"/>
          <w:szCs w:val="21"/>
          <w:color w:val="auto"/>
        </w:rPr>
        <w:t>AAL-PA-03219-LA-1802492 AAL-PA-3219-LA-2001170</w:t>
      </w:r>
    </w:p>
    <w:p>
      <w:pPr>
        <w:spacing w:after="0" w:line="13" w:lineRule="exact"/>
        <w:rPr>
          <w:sz w:val="20"/>
          <w:szCs w:val="20"/>
          <w:color w:val="auto"/>
        </w:rPr>
      </w:pPr>
    </w:p>
    <w:p>
      <w:pPr>
        <w:ind w:left="140" w:right="920"/>
        <w:spacing w:after="0" w:line="362" w:lineRule="auto"/>
        <w:rPr>
          <w:sz w:val="20"/>
          <w:szCs w:val="20"/>
          <w:color w:val="auto"/>
        </w:rPr>
      </w:pPr>
      <w:r>
        <w:rPr>
          <w:rFonts w:ascii="Times New Roman" w:cs="Times New Roman" w:eastAsia="Times New Roman" w:hAnsi="Times New Roman"/>
          <w:sz w:val="21"/>
          <w:szCs w:val="21"/>
          <w:color w:val="auto"/>
        </w:rPr>
        <w:t>AAL-PA-3219-2101557 AAL-LA-2100530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color w:val="auto"/>
        </w:rPr>
        <w:t>P.A. No. 3219</w:t>
      </w:r>
      <w:r>
        <w:rPr>
          <w:sz w:val="20"/>
          <w:szCs w:val="20"/>
          <w:color w:val="auto"/>
        </w:rPr>
        <w:tab/>
      </w:r>
      <w:r>
        <w:rPr>
          <w:rFonts w:ascii="Times New Roman" w:cs="Times New Roman" w:eastAsia="Times New Roman" w:hAnsi="Times New Roman"/>
          <w:sz w:val="21"/>
          <w:szCs w:val="21"/>
          <w:color w:val="auto"/>
        </w:rPr>
        <w:t>SA-17</w:t>
      </w:r>
    </w:p>
    <w:p>
      <w:pPr>
        <w:spacing w:after="0"/>
        <w:tabs>
          <w:tab w:leader="none" w:pos="2000" w:val="left"/>
        </w:tabs>
        <w:rPr>
          <w:sz w:val="20"/>
          <w:szCs w:val="20"/>
          <w:color w:val="auto"/>
        </w:rPr>
      </w:pPr>
      <w:r>
        <w:rPr>
          <w:rFonts w:ascii="Times New Roman" w:cs="Times New Roman" w:eastAsia="Times New Roman" w:hAnsi="Times New Roman"/>
          <w:sz w:val="22"/>
          <w:szCs w:val="22"/>
          <w:color w:val="auto"/>
        </w:rPr>
        <w:t>Table of Contents</w:t>
      </w:r>
      <w:r>
        <w:rPr>
          <w:sz w:val="20"/>
          <w:szCs w:val="20"/>
          <w:color w:val="auto"/>
        </w:rPr>
        <w:tab/>
      </w:r>
      <w:r>
        <w:rPr>
          <w:rFonts w:ascii="Times New Roman" w:cs="Times New Roman" w:eastAsia="Times New Roman" w:hAnsi="Times New Roman"/>
          <w:sz w:val="21"/>
          <w:szCs w:val="21"/>
          <w:color w:val="auto"/>
        </w:rPr>
        <w:t>Page iii</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Times New Roman" w:cs="Times New Roman" w:eastAsia="Times New Roman" w:hAnsi="Times New Roman"/>
          <w:sz w:val="21"/>
          <w:szCs w:val="21"/>
          <w:color w:val="auto"/>
        </w:rPr>
        <w:t>Miscellaneous Commitments for Model 787 Aircraft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WITHDRAWN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Promotional Support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Confidentiality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Business Considerations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Open Configuration Matters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Times New Roman" w:cs="Times New Roman" w:eastAsia="Times New Roman" w:hAnsi="Times New Roman"/>
          <w:sz w:val="22"/>
          <w:szCs w:val="22"/>
          <w:color w:val="auto"/>
        </w:rPr>
        <w:t>SA-3</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SA-3</w:t>
      </w:r>
    </w:p>
    <w:p>
      <w:pPr>
        <w:spacing w:after="0" w:line="200" w:lineRule="exact"/>
        <w:rPr>
          <w:sz w:val="20"/>
          <w:szCs w:val="20"/>
          <w:color w:val="auto"/>
        </w:rPr>
      </w:pPr>
    </w:p>
    <w:p>
      <w:pPr>
        <w:spacing w:after="0" w:line="2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SA-3</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SA-3</w:t>
      </w:r>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SA-11</w:t>
      </w:r>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SA-11</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SA-6</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SA-3</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SA-3</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SA-13</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SA-8</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SA-10</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SA-11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SA-12</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SA-11</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SA-15</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SA-16</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SA-16</w:t>
      </w:r>
    </w:p>
    <w:p>
      <w:pPr>
        <w:sectPr>
          <w:pgSz w:w="11900" w:h="16838" w:orient="portrait"/>
          <w:cols w:equalWidth="0" w:num="3">
            <w:col w:w="3160" w:space="720"/>
            <w:col w:w="5140" w:space="720"/>
            <w:col w:w="1000"/>
          </w:cols>
          <w:pgMar w:left="320" w:top="315" w:right="839" w:bottom="144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u w:val="single" w:color="auto"/>
          <w:color w:val="auto"/>
        </w:rPr>
        <w:t>ATTACHMENTS</w:t>
      </w:r>
    </w:p>
    <w:p>
      <w:pPr>
        <w:spacing w:after="0" w:line="2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Attachment 1</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Attachment 2</w:t>
      </w:r>
    </w:p>
    <w:p>
      <w:pPr>
        <w:spacing w:after="0" w:line="1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Attachment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color w:val="auto"/>
        </w:rPr>
        <w:t>P.A. No. 3219</w:t>
      </w:r>
      <w:r>
        <w:rPr>
          <w:sz w:val="20"/>
          <w:szCs w:val="20"/>
          <w:color w:val="auto"/>
        </w:rPr>
        <w:tab/>
      </w:r>
      <w:r>
        <w:rPr>
          <w:rFonts w:ascii="Times New Roman" w:cs="Times New Roman" w:eastAsia="Times New Roman" w:hAnsi="Times New Roman"/>
          <w:sz w:val="21"/>
          <w:szCs w:val="21"/>
          <w:color w:val="auto"/>
        </w:rPr>
        <w:t>SA-17</w:t>
      </w:r>
    </w:p>
    <w:p>
      <w:pPr>
        <w:spacing w:after="0"/>
        <w:tabs>
          <w:tab w:leader="none" w:pos="2000" w:val="left"/>
        </w:tabs>
        <w:rPr>
          <w:sz w:val="20"/>
          <w:szCs w:val="20"/>
          <w:color w:val="auto"/>
        </w:rPr>
      </w:pPr>
      <w:r>
        <w:rPr>
          <w:rFonts w:ascii="Times New Roman" w:cs="Times New Roman" w:eastAsia="Times New Roman" w:hAnsi="Times New Roman"/>
          <w:sz w:val="22"/>
          <w:szCs w:val="22"/>
          <w:color w:val="auto"/>
        </w:rPr>
        <w:t>Table of Contents</w:t>
      </w:r>
      <w:r>
        <w:rPr>
          <w:sz w:val="20"/>
          <w:szCs w:val="20"/>
          <w:color w:val="auto"/>
        </w:rPr>
        <w:tab/>
      </w:r>
      <w:r>
        <w:rPr>
          <w:rFonts w:ascii="Times New Roman" w:cs="Times New Roman" w:eastAsia="Times New Roman" w:hAnsi="Times New Roman"/>
          <w:sz w:val="21"/>
          <w:szCs w:val="21"/>
          <w:color w:val="auto"/>
        </w:rPr>
        <w:t>Page iv</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Times New Roman" w:cs="Times New Roman" w:eastAsia="Times New Roman" w:hAnsi="Times New Roman"/>
          <w:sz w:val="22"/>
          <w:szCs w:val="22"/>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for [***] of 787-9 MADP Rights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for [***] of 787-9 QADP Rights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787-9 Purchase Rights Aircraft [***]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SA-11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SA-11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SA-11</w:t>
      </w:r>
    </w:p>
    <w:p>
      <w:pPr>
        <w:sectPr>
          <w:pgSz w:w="11900" w:h="16838" w:orient="portrait"/>
          <w:cols w:equalWidth="0" w:num="3">
            <w:col w:w="3160" w:space="720"/>
            <w:col w:w="5160" w:space="720"/>
            <w:col w:w="540"/>
          </w:cols>
          <w:pgMar w:left="320" w:top="315" w:right="1279" w:bottom="1440" w:gutter="0" w:footer="0" w:header="0"/>
        </w:sectPr>
      </w:pPr>
    </w:p>
    <w:bookmarkStart w:id="102" w:name="page103"/>
    <w:bookmarkEnd w:id="102"/>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Attachment 5(R2) To</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Purchase Agreement No. 03219</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 xml:space="preserve">787-9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Aircraft Delivery, Description, Price and Advance Payments</w:t>
      </w:r>
    </w:p>
    <w:p>
      <w:pPr>
        <w:spacing w:after="0" w:line="200" w:lineRule="exact"/>
        <w:rPr>
          <w:sz w:val="20"/>
          <w:szCs w:val="20"/>
          <w:color w:val="auto"/>
        </w:rPr>
      </w:pPr>
    </w:p>
    <w:p>
      <w:pPr>
        <w:spacing w:after="0" w:line="31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11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787-9</w:t>
            </w:r>
          </w:p>
        </w:tc>
        <w:tc>
          <w:tcPr>
            <w:tcW w:w="1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 pounds</w:t>
            </w: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Model/MTOW:</w:t>
            </w:r>
          </w:p>
        </w:tc>
        <w:tc>
          <w:tcPr>
            <w:tcW w:w="110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25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Detail Specification:</w:t>
            </w: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FFFFFF"/>
              </w:rPr>
              <w:t>2Q21 External Fcst</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GENX-</w:t>
            </w:r>
          </w:p>
        </w:tc>
        <w:tc>
          <w:tcPr>
            <w:tcW w:w="1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 pounds</w:t>
            </w:r>
          </w:p>
        </w:tc>
        <w:tc>
          <w:tcPr>
            <w:tcW w:w="354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Airframe Price Base Year/Escalation</w:t>
            </w:r>
          </w:p>
        </w:tc>
        <w:tc>
          <w:tcPr>
            <w:tcW w:w="10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Model/Thrust: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1B74/75</w:t>
            </w:r>
          </w:p>
        </w:tc>
        <w:tc>
          <w:tcPr>
            <w:tcW w:w="1820" w:type="dxa"/>
            <w:vAlign w:val="bottom"/>
            <w:gridSpan w:val="2"/>
            <w:vMerge w:val="continue"/>
          </w:tcPr>
          <w:p>
            <w:pPr>
              <w:spacing w:after="0"/>
              <w:rPr>
                <w:sz w:val="9"/>
                <w:szCs w:val="9"/>
                <w:color w:val="auto"/>
              </w:rPr>
            </w:pPr>
          </w:p>
        </w:tc>
        <w:tc>
          <w:tcPr>
            <w:tcW w:w="25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9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1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c>
          <w:tcPr>
            <w:tcW w:w="4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Engine Price Base Year/Escalation Formula:  </w:t>
            </w: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1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 of Airframe and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c>
          <w:tcPr>
            <w:tcW w:w="258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Airframe Escalation Data:</w:t>
            </w: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Features:</w:t>
            </w:r>
          </w:p>
        </w:tc>
        <w:tc>
          <w:tcPr>
            <w:tcW w:w="1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Engine Price (Per Aircraft):</w:t>
            </w:r>
          </w:p>
        </w:tc>
        <w:tc>
          <w:tcPr>
            <w:tcW w:w="10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25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800" w:type="dxa"/>
            <w:vAlign w:val="bottom"/>
            <w:gridSpan w:val="2"/>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2580" w:type="dxa"/>
            <w:vAlign w:val="bottom"/>
            <w:gridSpan w:val="3"/>
            <w:vMerge w:val="continue"/>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Aircraft Basic Price (Excluding</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c>
          <w:tcPr>
            <w:tcW w:w="258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BFE/SPE):</w:t>
            </w:r>
          </w:p>
        </w:tc>
        <w:tc>
          <w:tcPr>
            <w:tcW w:w="1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86" w:right="319" w:bottom="1440" w:gutter="0" w:footer="0" w:header="0"/>
        </w:sectPr>
      </w:pP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Buyer Furnished Equipment (BFE)</w:t>
      </w:r>
    </w:p>
    <w:p>
      <w:pPr>
        <w:spacing w:after="0" w:line="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p>
      <w:pPr>
        <w:spacing w:after="0" w:line="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Seller Purchased Equipment (SPE)</w:t>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p>
      <w:pPr>
        <w:spacing w:after="0" w:line="77" w:lineRule="exact"/>
        <w:rPr>
          <w:sz w:val="20"/>
          <w:szCs w:val="20"/>
          <w:color w:val="auto"/>
        </w:rPr>
      </w:pPr>
    </w:p>
    <w:p>
      <w:pPr>
        <w:ind w:left="80" w:right="300"/>
        <w:spacing w:after="0" w:line="305" w:lineRule="auto"/>
        <w:rPr>
          <w:sz w:val="20"/>
          <w:szCs w:val="20"/>
          <w:color w:val="auto"/>
        </w:rPr>
      </w:pPr>
      <w:r>
        <w:rPr>
          <w:rFonts w:ascii="Times New Roman" w:cs="Times New Roman" w:eastAsia="Times New Roman" w:hAnsi="Times New Roman"/>
          <w:sz w:val="18"/>
          <w:szCs w:val="18"/>
          <w:b w:val="1"/>
          <w:bCs w:val="1"/>
          <w:color w:val="auto"/>
        </w:rPr>
        <w:t>LIFT Seats Provided by Boeing (Estimate):</w:t>
      </w:r>
    </w:p>
    <w:p>
      <w:pPr>
        <w:ind w:left="80"/>
        <w:spacing w:after="0"/>
        <w:rPr>
          <w:sz w:val="20"/>
          <w:szCs w:val="20"/>
          <w:color w:val="auto"/>
        </w:rPr>
      </w:pPr>
      <w:r>
        <w:rPr>
          <w:rFonts w:ascii="Times New Roman" w:cs="Times New Roman" w:eastAsia="Times New Roman" w:hAnsi="Times New Roman"/>
          <w:sz w:val="18"/>
          <w:szCs w:val="18"/>
          <w:b w:val="1"/>
          <w:bCs w:val="1"/>
          <w:color w:val="auto"/>
        </w:rPr>
        <w:t>Deposit per Aircraft: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
        </w:trPr>
        <w:tc>
          <w:tcPr>
            <w:tcW w:w="1000" w:type="dxa"/>
            <w:vAlign w:val="bottom"/>
            <w:tcBorders>
              <w:top w:val="single" w:sz="8" w:color="auto"/>
              <w:bottom w:val="single" w:sz="8" w:color="auto"/>
            </w:tcBorders>
          </w:tcPr>
          <w:p>
            <w:pPr>
              <w:spacing w:after="0"/>
              <w:rPr>
                <w:sz w:val="3"/>
                <w:szCs w:val="3"/>
                <w:color w:val="auto"/>
              </w:rPr>
            </w:pPr>
          </w:p>
        </w:tc>
        <w:tc>
          <w:tcPr>
            <w:tcW w:w="1120" w:type="dxa"/>
            <w:vAlign w:val="bottom"/>
            <w:vMerge w:val="restart"/>
          </w:tcPr>
          <w:p>
            <w:pPr>
              <w:spacing w:after="0"/>
              <w:rPr>
                <w:sz w:val="3"/>
                <w:szCs w:val="3"/>
                <w:color w:val="auto"/>
              </w:rPr>
            </w:pPr>
          </w:p>
        </w:tc>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Engine Escalation Data:</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1120" w:type="dxa"/>
            <w:vAlign w:val="bottom"/>
            <w:vMerge w:val="restart"/>
          </w:tcPr>
          <w:p>
            <w:pPr>
              <w:spacing w:after="0"/>
              <w:rPr>
                <w:sz w:val="13"/>
                <w:szCs w:val="13"/>
                <w:color w:val="auto"/>
              </w:rPr>
            </w:pPr>
          </w:p>
        </w:tc>
        <w:tc>
          <w:tcPr>
            <w:tcW w:w="18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1380" w:type="dxa"/>
            <w:vAlign w:val="bottom"/>
            <w:vMerge w:val="restart"/>
          </w:tcPr>
          <w:p>
            <w:pPr>
              <w:spacing w:after="0"/>
              <w:rPr>
                <w:sz w:val="13"/>
                <w:szCs w:val="13"/>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2"/>
        </w:trPr>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2800" w:space="80"/>
            <w:col w:w="8380"/>
          </w:cols>
          <w:pgMar w:left="320" w:top="86" w:right="319" w:bottom="1440" w:gutter="0" w:footer="0" w:header="0"/>
          <w:type w:val="continuous"/>
        </w:sectPr>
      </w:pPr>
    </w:p>
    <w:tbl>
      <w:tblPr>
        <w:tblLayout w:type="fixed"/>
        <w:tblInd w:w="10" w:type="dxa"/>
        <w:tblCellMar>
          <w:top w:w="0" w:type="dxa"/>
          <w:left w:w="0" w:type="dxa"/>
          <w:bottom w:w="0" w:type="dxa"/>
          <w:right w:w="0" w:type="dxa"/>
        </w:tblCellMar>
      </w:tblPr>
      <w:tr>
        <w:trPr>
          <w:trHeight w:val="194"/>
        </w:trPr>
        <w:tc>
          <w:tcPr>
            <w:tcW w:w="940" w:type="dxa"/>
            <w:vAlign w:val="bottom"/>
            <w:tcBorders>
              <w:top w:val="single" w:sz="8" w:color="auto"/>
              <w:left w:val="single" w:sz="8" w:color="auto"/>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right w:val="single" w:sz="8" w:color="auto"/>
            </w:tcBorders>
            <w:shd w:val="clear" w:color="auto" w:fill="C0C0C0"/>
          </w:tcPr>
          <w:p>
            <w:pPr>
              <w:spacing w:after="0"/>
              <w:rPr>
                <w:sz w:val="16"/>
                <w:szCs w:val="16"/>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4760" w:type="dxa"/>
            <w:vAlign w:val="bottom"/>
            <w:tcBorders>
              <w:top w:val="single" w:sz="8" w:color="auto"/>
              <w:right w:val="single" w:sz="8" w:color="auto"/>
            </w:tcBorders>
            <w:gridSpan w:val="4"/>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Advance Payment Per Aircraft (Amts. Due/Mos. Prior to</w:t>
            </w: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40" w:type="dxa"/>
            <w:vAlign w:val="bottom"/>
            <w:tcBorders>
              <w:left w:val="single" w:sz="8" w:color="auto"/>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Escalation</w:t>
            </w:r>
          </w:p>
        </w:tc>
        <w:tc>
          <w:tcPr>
            <w:tcW w:w="10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shd w:val="clear" w:color="auto" w:fill="C0C0C0"/>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15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40" w:type="dxa"/>
            <w:vAlign w:val="bottom"/>
            <w:tcBorders>
              <w:left w:val="single" w:sz="8" w:color="auto"/>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5"/>
                <w:szCs w:val="15"/>
                <w:b w:val="1"/>
                <w:bCs w:val="1"/>
                <w:color w:val="auto"/>
              </w:rPr>
              <w:t>Escalation</w:t>
            </w:r>
          </w:p>
        </w:tc>
        <w:tc>
          <w:tcPr>
            <w:tcW w:w="1060" w:type="dxa"/>
            <w:vAlign w:val="bottom"/>
            <w:tcBorders>
              <w:right w:val="single" w:sz="8" w:color="auto"/>
            </w:tcBorders>
            <w:shd w:val="clear" w:color="auto" w:fill="C0C0C0"/>
          </w:tcPr>
          <w:p>
            <w:pPr>
              <w:spacing w:after="0"/>
              <w:rPr>
                <w:sz w:val="8"/>
                <w:szCs w:val="8"/>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1060" w:type="dxa"/>
            <w:vAlign w:val="bottom"/>
            <w:tcBorders>
              <w:bottom w:val="single" w:sz="8" w:color="C0C0C0"/>
              <w:right w:val="single" w:sz="8" w:color="auto"/>
            </w:tcBorders>
            <w:shd w:val="clear" w:color="auto" w:fill="C0C0C0"/>
          </w:tcPr>
          <w:p>
            <w:pPr>
              <w:spacing w:after="0"/>
              <w:rPr>
                <w:sz w:val="14"/>
                <w:szCs w:val="14"/>
                <w:color w:val="auto"/>
              </w:rPr>
            </w:pPr>
          </w:p>
        </w:tc>
        <w:tc>
          <w:tcPr>
            <w:tcW w:w="1460" w:type="dxa"/>
            <w:vAlign w:val="bottom"/>
            <w:tcBorders>
              <w:right w:val="single" w:sz="8" w:color="auto"/>
            </w:tcBorders>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Factor</w:t>
            </w:r>
          </w:p>
        </w:tc>
        <w:tc>
          <w:tcPr>
            <w:tcW w:w="100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shd w:val="clear" w:color="auto" w:fill="C0C0C0"/>
          </w:tcPr>
          <w:p>
            <w:pPr>
              <w:spacing w:after="0"/>
              <w:rPr>
                <w:sz w:val="21"/>
                <w:szCs w:val="21"/>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Adv Payment</w:t>
            </w:r>
          </w:p>
        </w:tc>
        <w:tc>
          <w:tcPr>
            <w:tcW w:w="9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62"/>
        </w:trPr>
        <w:tc>
          <w:tcPr>
            <w:tcW w:w="940" w:type="dxa"/>
            <w:vAlign w:val="bottom"/>
            <w:tcBorders>
              <w:left w:val="single" w:sz="8" w:color="auto"/>
              <w:right w:val="single" w:sz="8" w:color="auto"/>
            </w:tcBorders>
            <w:vMerge w:val="continue"/>
          </w:tcPr>
          <w:p>
            <w:pPr>
              <w:spacing w:after="0"/>
              <w:rPr>
                <w:sz w:val="22"/>
                <w:szCs w:val="22"/>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120" w:type="dxa"/>
            <w:vAlign w:val="bottom"/>
            <w:tcBorders>
              <w:right w:val="single" w:sz="8" w:color="auto"/>
            </w:tcBorders>
            <w:vMerge w:val="continue"/>
          </w:tcPr>
          <w:p>
            <w:pPr>
              <w:spacing w:after="0"/>
              <w:rPr>
                <w:sz w:val="22"/>
                <w:szCs w:val="22"/>
                <w:color w:val="auto"/>
              </w:rPr>
            </w:pPr>
          </w:p>
        </w:tc>
        <w:tc>
          <w:tcPr>
            <w:tcW w:w="1000" w:type="dxa"/>
            <w:vAlign w:val="bottom"/>
            <w:tcBorders>
              <w:right w:val="single" w:sz="8" w:color="auto"/>
            </w:tcBorders>
          </w:tcPr>
          <w:p>
            <w:pPr>
              <w:jc w:val="right"/>
              <w:ind w:right="194"/>
              <w:spacing w:after="0"/>
              <w:rPr>
                <w:sz w:val="20"/>
                <w:szCs w:val="20"/>
                <w:color w:val="auto"/>
              </w:rPr>
            </w:pPr>
            <w:r>
              <w:rPr>
                <w:rFonts w:ascii="Times New Roman" w:cs="Times New Roman" w:eastAsia="Times New Roman" w:hAnsi="Times New Roman"/>
                <w:sz w:val="15"/>
                <w:szCs w:val="15"/>
                <w:b w:val="1"/>
                <w:bCs w:val="1"/>
                <w:color w:val="auto"/>
              </w:rPr>
              <w:t>Factor</w:t>
            </w:r>
          </w:p>
        </w:tc>
        <w:tc>
          <w:tcPr>
            <w:tcW w:w="1060" w:type="dxa"/>
            <w:vAlign w:val="bottom"/>
            <w:tcBorders>
              <w:right w:val="single" w:sz="8" w:color="auto"/>
            </w:tcBorders>
            <w:shd w:val="clear" w:color="auto" w:fill="C0C0C0"/>
          </w:tcPr>
          <w:p>
            <w:pPr>
              <w:spacing w:after="0"/>
              <w:rPr>
                <w:sz w:val="22"/>
                <w:szCs w:val="22"/>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920" w:type="dxa"/>
            <w:vAlign w:val="bottom"/>
            <w:tcBorders>
              <w:right w:val="single" w:sz="8" w:color="auto"/>
            </w:tcBorders>
            <w:vMerge w:val="continue"/>
          </w:tcPr>
          <w:p>
            <w:pPr>
              <w:spacing w:after="0"/>
              <w:rPr>
                <w:sz w:val="22"/>
                <w:szCs w:val="22"/>
                <w:color w:val="auto"/>
              </w:rPr>
            </w:pPr>
          </w:p>
        </w:tc>
        <w:tc>
          <w:tcPr>
            <w:tcW w:w="940" w:type="dxa"/>
            <w:vAlign w:val="bottom"/>
            <w:tcBorders>
              <w:right w:val="single" w:sz="8" w:color="auto"/>
            </w:tcBorders>
            <w:vMerge w:val="continue"/>
          </w:tcPr>
          <w:p>
            <w:pPr>
              <w:spacing w:after="0"/>
              <w:rPr>
                <w:sz w:val="22"/>
                <w:szCs w:val="22"/>
                <w:color w:val="auto"/>
              </w:rPr>
            </w:pPr>
          </w:p>
        </w:tc>
        <w:tc>
          <w:tcPr>
            <w:tcW w:w="1340" w:type="dxa"/>
            <w:vAlign w:val="bottom"/>
            <w:tcBorders>
              <w:right w:val="single" w:sz="8" w:color="auto"/>
            </w:tcBorders>
            <w:vMerge w:val="continue"/>
          </w:tcPr>
          <w:p>
            <w:pPr>
              <w:spacing w:after="0"/>
              <w:rPr>
                <w:sz w:val="22"/>
                <w:szCs w:val="22"/>
                <w:color w:val="auto"/>
              </w:rPr>
            </w:pPr>
          </w:p>
        </w:tc>
        <w:tc>
          <w:tcPr>
            <w:tcW w:w="1640" w:type="dxa"/>
            <w:vAlign w:val="bottom"/>
            <w:tcBorders>
              <w:right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(Airframe)</w:t>
            </w:r>
          </w:p>
        </w:tc>
        <w:tc>
          <w:tcPr>
            <w:tcW w:w="1000" w:type="dxa"/>
            <w:vAlign w:val="bottom"/>
            <w:tcBorders>
              <w:bottom w:val="single" w:sz="8" w:color="auto"/>
              <w:right w:val="single" w:sz="8" w:color="auto"/>
            </w:tcBorders>
          </w:tcPr>
          <w:p>
            <w:pPr>
              <w:jc w:val="right"/>
              <w:ind w:right="134"/>
              <w:spacing w:after="0"/>
              <w:rPr>
                <w:sz w:val="20"/>
                <w:szCs w:val="20"/>
                <w:color w:val="auto"/>
              </w:rPr>
            </w:pPr>
            <w:r>
              <w:rPr>
                <w:rFonts w:ascii="Times New Roman" w:cs="Times New Roman" w:eastAsia="Times New Roman" w:hAnsi="Times New Roman"/>
                <w:sz w:val="15"/>
                <w:szCs w:val="15"/>
                <w:b w:val="1"/>
                <w:bCs w:val="1"/>
                <w:color w:val="auto"/>
              </w:rPr>
              <w:t>(Engine)</w:t>
            </w:r>
          </w:p>
        </w:tc>
        <w:tc>
          <w:tcPr>
            <w:tcW w:w="1060" w:type="dxa"/>
            <w:vAlign w:val="bottom"/>
            <w:tcBorders>
              <w:bottom w:val="single" w:sz="8" w:color="auto"/>
              <w:right w:val="single" w:sz="8" w:color="auto"/>
            </w:tcBorders>
            <w:shd w:val="clear" w:color="auto" w:fill="C0C0C0"/>
          </w:tcPr>
          <w:p>
            <w:pPr>
              <w:spacing w:after="0"/>
              <w:rPr>
                <w:sz w:val="24"/>
                <w:szCs w:val="24"/>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 A/P</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right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0C0C0"/>
              <w:right w:val="single" w:sz="8" w:color="auto"/>
            </w:tcBorders>
            <w:shd w:val="clear" w:color="auto" w:fill="C0C0C0"/>
          </w:tcPr>
          <w:p>
            <w:pPr>
              <w:spacing w:after="0"/>
              <w:rPr>
                <w:sz w:val="24"/>
                <w:szCs w:val="24"/>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auto"/>
              <w:right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2</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auto"/>
              <w:right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2</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auto"/>
              <w:right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auto"/>
              <w:right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2</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auto"/>
              <w:right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2</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auto"/>
              <w:right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2</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auto"/>
              <w:right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0C0C0"/>
              <w:right w:val="single" w:sz="8" w:color="auto"/>
            </w:tcBorders>
            <w:shd w:val="clear" w:color="auto" w:fill="C0C0C0"/>
          </w:tcPr>
          <w:p>
            <w:pPr>
              <w:spacing w:after="0"/>
              <w:rPr>
                <w:sz w:val="23"/>
                <w:szCs w:val="23"/>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3000" w:val="left"/>
          <w:tab w:leader="none" w:pos="5680" w:val="left"/>
          <w:tab w:leader="none" w:pos="7920" w:val="left"/>
        </w:tabs>
        <w:rPr>
          <w:sz w:val="20"/>
          <w:szCs w:val="20"/>
          <w:color w:val="auto"/>
        </w:rPr>
      </w:pPr>
      <w:r>
        <w:rPr>
          <w:rFonts w:ascii="Arial" w:cs="Arial" w:eastAsia="Arial" w:hAnsi="Arial"/>
          <w:sz w:val="22"/>
          <w:szCs w:val="22"/>
          <w:color w:val="auto"/>
        </w:rPr>
        <w:t>AAL-PA-03735 118070-1F.txt</w:t>
        <w:tab/>
        <w:t>BOEING PROPRIETARY</w:t>
        <w:tab/>
        <w:t>SA-17 Table 5(R2)</w:t>
      </w:r>
      <w:r>
        <w:rPr>
          <w:sz w:val="20"/>
          <w:szCs w:val="20"/>
          <w:color w:val="auto"/>
        </w:rPr>
        <w:tab/>
      </w:r>
      <w:r>
        <w:rPr>
          <w:rFonts w:ascii="Arial" w:cs="Arial" w:eastAsia="Arial" w:hAnsi="Arial"/>
          <w:sz w:val="22"/>
          <w:szCs w:val="22"/>
          <w:color w:val="auto"/>
        </w:rPr>
        <w:t>Page 1</w:t>
      </w:r>
    </w:p>
    <w:p>
      <w:pPr>
        <w:sectPr>
          <w:pgSz w:w="11900" w:h="16838" w:orient="portrait"/>
          <w:cols w:equalWidth="0" w:num="1">
            <w:col w:w="11260"/>
          </w:cols>
          <w:pgMar w:left="320" w:top="86" w:right="319" w:bottom="1440" w:gutter="0" w:footer="0" w:header="0"/>
          <w:type w:val="continuous"/>
        </w:sectPr>
      </w:pPr>
    </w:p>
    <w:bookmarkStart w:id="103" w:name="page104"/>
    <w:bookmarkEnd w:id="103"/>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Attachment 5(R2) To</w:t>
      </w:r>
    </w:p>
    <w:p>
      <w:pPr>
        <w:jc w:val="center"/>
        <w:ind w:right="-219"/>
        <w:spacing w:after="0" w:line="204" w:lineRule="auto"/>
        <w:rPr>
          <w:sz w:val="20"/>
          <w:szCs w:val="20"/>
          <w:color w:val="auto"/>
        </w:rPr>
      </w:pPr>
      <w:r>
        <w:rPr>
          <w:rFonts w:ascii="Times New Roman" w:cs="Times New Roman" w:eastAsia="Times New Roman" w:hAnsi="Times New Roman"/>
          <w:sz w:val="22"/>
          <w:szCs w:val="22"/>
          <w:b w:val="1"/>
          <w:bCs w:val="1"/>
          <w:color w:val="auto"/>
        </w:rPr>
        <w:t>Purchase Agreement No. 03219</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 xml:space="preserve">787-9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Aircraft Delivery, Description, Price and Advance Payments</w:t>
      </w:r>
    </w:p>
    <w:p>
      <w:pPr>
        <w:spacing w:after="0" w:line="200" w:lineRule="exact"/>
        <w:rPr>
          <w:sz w:val="20"/>
          <w:szCs w:val="20"/>
          <w:color w:val="auto"/>
        </w:rPr>
      </w:pP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900" w:type="dxa"/>
            <w:vAlign w:val="bottom"/>
            <w:tcBorders>
              <w:top w:val="single" w:sz="8" w:color="auto"/>
              <w:left w:val="single" w:sz="8" w:color="auto"/>
              <w:right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right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Escalation</w:t>
            </w:r>
          </w:p>
        </w:tc>
        <w:tc>
          <w:tcPr>
            <w:tcW w:w="1000" w:type="dxa"/>
            <w:vAlign w:val="bottom"/>
            <w:tcBorders>
              <w:top w:val="single" w:sz="8" w:color="auto"/>
              <w:right w:val="single" w:sz="8" w:color="auto"/>
            </w:tcBorders>
            <w:shd w:val="clear" w:color="auto" w:fill="C0C0C0"/>
          </w:tcPr>
          <w:p>
            <w:pPr>
              <w:spacing w:after="0"/>
              <w:rPr>
                <w:sz w:val="16"/>
                <w:szCs w:val="16"/>
                <w:color w:val="auto"/>
              </w:rPr>
            </w:pPr>
          </w:p>
        </w:tc>
        <w:tc>
          <w:tcPr>
            <w:tcW w:w="1580" w:type="dxa"/>
            <w:vAlign w:val="bottom"/>
            <w:tcBorders>
              <w:top w:val="single" w:sz="8" w:color="auto"/>
              <w:right w:val="single" w:sz="8" w:color="auto"/>
            </w:tcBorders>
          </w:tcPr>
          <w:p>
            <w:pPr>
              <w:spacing w:after="0"/>
              <w:rPr>
                <w:sz w:val="16"/>
                <w:szCs w:val="16"/>
                <w:color w:val="auto"/>
              </w:rPr>
            </w:pPr>
          </w:p>
        </w:tc>
        <w:tc>
          <w:tcPr>
            <w:tcW w:w="4640" w:type="dxa"/>
            <w:vAlign w:val="bottom"/>
            <w:tcBorders>
              <w:top w:val="single" w:sz="8" w:color="auto"/>
              <w:right w:val="single" w:sz="8" w:color="auto"/>
            </w:tcBorders>
            <w:gridSpan w:val="5"/>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Advance Payment Per Aircraft (Amts. Due/Mos. Prior to</w:t>
            </w:r>
          </w:p>
        </w:tc>
        <w:tc>
          <w:tcPr>
            <w:tcW w:w="0" w:type="dxa"/>
            <w:vAlign w:val="bottom"/>
          </w:tcPr>
          <w:p>
            <w:pPr>
              <w:spacing w:after="0"/>
              <w:rPr>
                <w:sz w:val="1"/>
                <w:szCs w:val="1"/>
                <w:color w:val="auto"/>
              </w:rPr>
            </w:pPr>
          </w:p>
        </w:tc>
      </w:tr>
      <w:tr>
        <w:trPr>
          <w:trHeight w:val="238"/>
        </w:trPr>
        <w:tc>
          <w:tcPr>
            <w:tcW w:w="900" w:type="dxa"/>
            <w:vAlign w:val="bottom"/>
            <w:tcBorders>
              <w:left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30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shd w:val="clear" w:color="auto" w:fill="C0C0C0"/>
          </w:tcPr>
          <w:p>
            <w:pPr>
              <w:spacing w:after="0"/>
              <w:rPr>
                <w:sz w:val="20"/>
                <w:szCs w:val="2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 Estimate</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1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shd w:val="clear" w:color="auto" w:fill="C0C0C0"/>
          </w:tcPr>
          <w:p>
            <w:pPr>
              <w:spacing w:after="0"/>
              <w:rPr>
                <w:sz w:val="11"/>
                <w:szCs w:val="11"/>
                <w:color w:val="auto"/>
              </w:rPr>
            </w:pPr>
          </w:p>
        </w:tc>
        <w:tc>
          <w:tcPr>
            <w:tcW w:w="1580" w:type="dxa"/>
            <w:vAlign w:val="bottom"/>
            <w:tcBorders>
              <w:right w:val="single" w:sz="8" w:color="auto"/>
            </w:tcBorders>
            <w:vMerge w:val="continue"/>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900" w:type="dxa"/>
            <w:vAlign w:val="bottom"/>
            <w:tcBorders>
              <w:left w:val="single" w:sz="8" w:color="auto"/>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Factor</w:t>
            </w:r>
          </w:p>
        </w:tc>
        <w:tc>
          <w:tcPr>
            <w:tcW w:w="1000" w:type="dxa"/>
            <w:vAlign w:val="bottom"/>
            <w:tcBorders>
              <w:bottom w:val="single" w:sz="8" w:color="C0C0C0"/>
              <w:right w:val="single" w:sz="8" w:color="auto"/>
            </w:tcBorders>
            <w:shd w:val="clear" w:color="auto" w:fill="C0C0C0"/>
          </w:tcPr>
          <w:p>
            <w:pPr>
              <w:spacing w:after="0"/>
              <w:rPr>
                <w:sz w:val="3"/>
                <w:szCs w:val="3"/>
                <w:color w:val="auto"/>
              </w:rPr>
            </w:pPr>
          </w:p>
        </w:tc>
        <w:tc>
          <w:tcPr>
            <w:tcW w:w="1580" w:type="dxa"/>
            <w:vAlign w:val="bottom"/>
            <w:tcBorders>
              <w:right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300" w:type="dxa"/>
            <w:vAlign w:val="bottom"/>
            <w:tcBorders>
              <w:right w:val="single" w:sz="8" w:color="auto"/>
            </w:tcBorders>
            <w:vMerge w:val="continue"/>
          </w:tcPr>
          <w:p>
            <w:pPr>
              <w:spacing w:after="0"/>
              <w:rPr>
                <w:sz w:val="21"/>
                <w:szCs w:val="21"/>
                <w:color w:val="auto"/>
              </w:rPr>
            </w:pPr>
          </w:p>
        </w:tc>
        <w:tc>
          <w:tcPr>
            <w:tcW w:w="1000" w:type="dxa"/>
            <w:vAlign w:val="bottom"/>
            <w:tcBorders>
              <w:right w:val="single" w:sz="8" w:color="auto"/>
            </w:tcBorders>
            <w:shd w:val="clear" w:color="auto" w:fill="C0C0C0"/>
          </w:tcPr>
          <w:p>
            <w:pPr>
              <w:spacing w:after="0"/>
              <w:rPr>
                <w:sz w:val="21"/>
                <w:szCs w:val="21"/>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 Payment Base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At</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100" w:type="dxa"/>
            <w:vAlign w:val="bottom"/>
            <w:tcBorders>
              <w:righ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tcBorders>
              <w:right w:val="single" w:sz="8" w:color="auto"/>
            </w:tcBorders>
            <w:vMerge w:val="restart"/>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70"/>
        </w:trPr>
        <w:tc>
          <w:tcPr>
            <w:tcW w:w="900" w:type="dxa"/>
            <w:vAlign w:val="bottom"/>
            <w:tcBorders>
              <w:left w:val="single" w:sz="8" w:color="auto"/>
              <w:right w:val="single" w:sz="8" w:color="auto"/>
            </w:tcBorders>
            <w:vMerge w:val="continue"/>
          </w:tcPr>
          <w:p>
            <w:pPr>
              <w:spacing w:after="0"/>
              <w:rPr>
                <w:sz w:val="23"/>
                <w:szCs w:val="23"/>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900" w:type="dxa"/>
            <w:vAlign w:val="bottom"/>
            <w:tcBorders>
              <w:right w:val="single" w:sz="8" w:color="auto"/>
            </w:tcBorders>
            <w:vMerge w:val="continue"/>
          </w:tcPr>
          <w:p>
            <w:pPr>
              <w:spacing w:after="0"/>
              <w:rPr>
                <w:sz w:val="23"/>
                <w:szCs w:val="23"/>
                <w:color w:val="auto"/>
              </w:rPr>
            </w:pPr>
          </w:p>
        </w:tc>
        <w:tc>
          <w:tcPr>
            <w:tcW w:w="130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5"/>
                <w:szCs w:val="15"/>
                <w:b w:val="1"/>
                <w:bCs w:val="1"/>
                <w:color w:val="auto"/>
              </w:rPr>
              <w:t>(Engine)</w:t>
            </w:r>
          </w:p>
        </w:tc>
        <w:tc>
          <w:tcPr>
            <w:tcW w:w="1000" w:type="dxa"/>
            <w:vAlign w:val="bottom"/>
            <w:tcBorders>
              <w:right w:val="single" w:sz="8" w:color="auto"/>
            </w:tcBorders>
            <w:shd w:val="clear" w:color="auto" w:fill="C0C0C0"/>
          </w:tcPr>
          <w:p>
            <w:pPr>
              <w:spacing w:after="0"/>
              <w:rPr>
                <w:sz w:val="23"/>
                <w:szCs w:val="23"/>
                <w:color w:val="auto"/>
              </w:rPr>
            </w:pPr>
          </w:p>
        </w:tc>
        <w:tc>
          <w:tcPr>
            <w:tcW w:w="1580" w:type="dxa"/>
            <w:vAlign w:val="bottom"/>
            <w:tcBorders>
              <w:right w:val="single" w:sz="8" w:color="auto"/>
            </w:tcBorders>
            <w:vMerge w:val="continue"/>
          </w:tcPr>
          <w:p>
            <w:pPr>
              <w:spacing w:after="0"/>
              <w:rPr>
                <w:sz w:val="23"/>
                <w:szCs w:val="23"/>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Signing</w:t>
            </w:r>
          </w:p>
        </w:tc>
        <w:tc>
          <w:tcPr>
            <w:tcW w:w="640" w:type="dxa"/>
            <w:vAlign w:val="bottom"/>
            <w:tcBorders>
              <w:right w:val="single" w:sz="8" w:color="auto"/>
            </w:tcBorders>
            <w:vMerge w:val="continue"/>
          </w:tcPr>
          <w:p>
            <w:pPr>
              <w:spacing w:after="0"/>
              <w:rPr>
                <w:sz w:val="23"/>
                <w:szCs w:val="23"/>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3"/>
                <w:szCs w:val="23"/>
                <w:color w:val="auto"/>
              </w:rPr>
            </w:pPr>
          </w:p>
        </w:tc>
        <w:tc>
          <w:tcPr>
            <w:tcW w:w="166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300" w:type="dxa"/>
            <w:vAlign w:val="bottom"/>
            <w:tcBorders>
              <w:right w:val="single" w:sz="8" w:color="auto"/>
            </w:tcBorders>
            <w:vMerge w:val="continue"/>
          </w:tcPr>
          <w:p>
            <w:pPr>
              <w:spacing w:after="0"/>
              <w:rPr>
                <w:sz w:val="24"/>
                <w:szCs w:val="24"/>
                <w:color w:val="auto"/>
              </w:rPr>
            </w:pPr>
          </w:p>
        </w:tc>
        <w:tc>
          <w:tcPr>
            <w:tcW w:w="1000" w:type="dxa"/>
            <w:vAlign w:val="bottom"/>
            <w:tcBorders>
              <w:bottom w:val="single" w:sz="8" w:color="C0C0C0"/>
              <w:right w:val="single" w:sz="8" w:color="auto"/>
            </w:tcBorders>
            <w:shd w:val="clear" w:color="auto" w:fill="C0C0C0"/>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166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7"/>
              </w:rPr>
              <w:t>[***]</w:t>
            </w:r>
          </w:p>
        </w:tc>
        <w:tc>
          <w:tcPr>
            <w:tcW w:w="0" w:type="dxa"/>
            <w:vAlign w:val="bottom"/>
          </w:tcPr>
          <w:p>
            <w:pPr>
              <w:spacing w:after="0"/>
              <w:rPr>
                <w:sz w:val="1"/>
                <w:szCs w:val="1"/>
                <w:color w:val="auto"/>
              </w:rPr>
            </w:pPr>
          </w:p>
        </w:tc>
      </w:tr>
      <w:tr>
        <w:trPr>
          <w:trHeight w:val="291"/>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2</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right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0"/>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right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1"/>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right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0"/>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right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1"/>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right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1"/>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right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0"/>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right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1"/>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right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0"/>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2</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right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9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right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right w:val="single" w:sz="8" w:color="auto"/>
            </w:tcBorders>
            <w:shd w:val="clear" w:color="auto" w:fill="C0C0C0"/>
          </w:tcPr>
          <w:p>
            <w:pPr>
              <w:spacing w:after="0"/>
              <w:rPr>
                <w:sz w:val="21"/>
                <w:szCs w:val="21"/>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top w:val="single" w:sz="8" w:color="auto"/>
            </w:tcBorders>
          </w:tcPr>
          <w:p>
            <w:pPr>
              <w:spacing w:after="0"/>
              <w:rPr>
                <w:sz w:val="21"/>
                <w:szCs w:val="21"/>
                <w:color w:val="auto"/>
              </w:rPr>
            </w:pPr>
          </w:p>
        </w:tc>
        <w:tc>
          <w:tcPr>
            <w:tcW w:w="1660" w:type="dxa"/>
            <w:vAlign w:val="bottom"/>
            <w:tcBorders>
              <w:top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0"/>
        </w:trPr>
        <w:tc>
          <w:tcPr>
            <w:tcW w:w="9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7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1000" w:type="dxa"/>
            <w:vAlign w:val="bottom"/>
            <w:tcBorders>
              <w:bottom w:val="single" w:sz="8" w:color="C0C0C0"/>
              <w:right w:val="single" w:sz="8" w:color="auto"/>
            </w:tcBorders>
            <w:shd w:val="clear" w:color="auto" w:fill="C0C0C0"/>
          </w:tcPr>
          <w:p>
            <w:pPr>
              <w:spacing w:after="0"/>
              <w:rPr>
                <w:sz w:val="23"/>
                <w:szCs w:val="23"/>
                <w:color w:val="auto"/>
              </w:rPr>
            </w:pPr>
          </w:p>
        </w:tc>
        <w:tc>
          <w:tcPr>
            <w:tcW w:w="1580" w:type="dxa"/>
            <w:vAlign w:val="bottom"/>
            <w:tcBorders>
              <w:right w:val="single" w:sz="8" w:color="auto"/>
            </w:tcBorders>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Total:</w:t>
            </w: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9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00" w:type="dxa"/>
            <w:vAlign w:val="bottom"/>
          </w:tcPr>
          <w:p>
            <w:pPr>
              <w:jc w:val="center"/>
              <w:spacing w:after="0"/>
              <w:rPr>
                <w:sz w:val="20"/>
                <w:szCs w:val="20"/>
                <w:color w:val="auto"/>
              </w:rPr>
            </w:pPr>
            <w:r>
              <w:rPr>
                <w:rFonts w:ascii="Calibri" w:cs="Calibri" w:eastAsia="Calibri" w:hAnsi="Calibri"/>
                <w:sz w:val="15"/>
                <w:szCs w:val="15"/>
                <w:color w:val="auto"/>
              </w:rPr>
              <w:t xml:space="preserve">Note: </w:t>
            </w:r>
            <w:r>
              <w:rPr>
                <w:rFonts w:ascii="Times New Roman" w:cs="Times New Roman" w:eastAsia="Times New Roman" w:hAnsi="Times New Roman"/>
                <w:sz w:val="17"/>
                <w:szCs w:val="17"/>
                <w:color w:val="auto"/>
              </w:rPr>
              <w:t>[***]</w:t>
            </w:r>
          </w:p>
        </w:tc>
        <w:tc>
          <w:tcPr>
            <w:tcW w:w="7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1016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10180"/>
        <w:spacing w:after="0"/>
        <w:rPr>
          <w:sz w:val="20"/>
          <w:szCs w:val="20"/>
          <w:color w:val="auto"/>
        </w:rPr>
      </w:pPr>
      <w:r>
        <w:rPr>
          <w:rFonts w:ascii="Calibri" w:cs="Calibri" w:eastAsia="Calibri" w:hAnsi="Calibri"/>
          <w:sz w:val="15"/>
          <w:szCs w:val="15"/>
          <w:color w:val="auto"/>
        </w:rPr>
        <w:t xml:space="preserve">Note: </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3000" w:val="left"/>
          <w:tab w:leader="none" w:pos="5680" w:val="left"/>
          <w:tab w:leader="none" w:pos="7920" w:val="left"/>
        </w:tabs>
        <w:rPr>
          <w:sz w:val="20"/>
          <w:szCs w:val="20"/>
          <w:color w:val="auto"/>
        </w:rPr>
      </w:pPr>
      <w:r>
        <w:rPr>
          <w:rFonts w:ascii="Arial" w:cs="Arial" w:eastAsia="Arial" w:hAnsi="Arial"/>
          <w:sz w:val="22"/>
          <w:szCs w:val="22"/>
          <w:color w:val="auto"/>
        </w:rPr>
        <w:t>AAL-PA-03735 118070-1F.txt</w:t>
        <w:tab/>
        <w:t>BOEING PROPRIETARY</w:t>
        <w:tab/>
        <w:t>SA-17 Table 5(R2)</w:t>
      </w:r>
      <w:r>
        <w:rPr>
          <w:sz w:val="20"/>
          <w:szCs w:val="20"/>
          <w:color w:val="auto"/>
        </w:rPr>
        <w:tab/>
      </w:r>
      <w:r>
        <w:rPr>
          <w:rFonts w:ascii="Arial" w:cs="Arial" w:eastAsia="Arial" w:hAnsi="Arial"/>
          <w:sz w:val="22"/>
          <w:szCs w:val="22"/>
          <w:color w:val="auto"/>
        </w:rPr>
        <w:t>Page 2</w:t>
      </w:r>
    </w:p>
    <w:p>
      <w:pPr>
        <w:sectPr>
          <w:pgSz w:w="11900" w:h="16838" w:orient="portrait"/>
          <w:cols w:equalWidth="0" w:num="1">
            <w:col w:w="11020"/>
          </w:cols>
          <w:pgMar w:left="320" w:top="86" w:right="55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Attachment 7(R1) To</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Purchase Agreement No. 03219</w:t>
      </w:r>
    </w:p>
    <w:p>
      <w:pPr>
        <w:spacing w:after="0" w:line="1" w:lineRule="exact"/>
        <w:rPr>
          <w:sz w:val="20"/>
          <w:szCs w:val="20"/>
          <w:color w:val="auto"/>
        </w:rPr>
      </w:pPr>
    </w:p>
    <w:p>
      <w:pPr>
        <w:ind w:left="2560" w:hanging="512"/>
        <w:spacing w:after="0"/>
        <w:tabs>
          <w:tab w:leader="none" w:pos="25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787-9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Aircraft Delivery, Description, Price and Advance Payments</w:t>
      </w:r>
    </w:p>
    <w:p>
      <w:pPr>
        <w:spacing w:after="0" w:line="200" w:lineRule="exact"/>
        <w:rPr>
          <w:sz w:val="20"/>
          <w:szCs w:val="20"/>
          <w:color w:val="auto"/>
        </w:rPr>
      </w:pPr>
    </w:p>
    <w:p>
      <w:pPr>
        <w:spacing w:after="0" w:line="31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11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787-9</w:t>
            </w:r>
          </w:p>
        </w:tc>
        <w:tc>
          <w:tcPr>
            <w:tcW w:w="184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8"/>
              </w:rPr>
              <w:t>[***] pounds</w:t>
            </w: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Model/MTOW:</w:t>
            </w:r>
          </w:p>
        </w:tc>
        <w:tc>
          <w:tcPr>
            <w:tcW w:w="1100" w:type="dxa"/>
            <w:vAlign w:val="bottom"/>
            <w:vMerge w:val="continue"/>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25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Detail Specification:</w:t>
            </w: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FFFFFF"/>
              </w:rPr>
              <w:t>2Q21 External Fcst</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56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GENX-</w:t>
            </w:r>
          </w:p>
        </w:tc>
        <w:tc>
          <w:tcPr>
            <w:tcW w:w="184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rPr>
              <w:t>[***]0 pounds</w:t>
            </w:r>
          </w:p>
        </w:tc>
        <w:tc>
          <w:tcPr>
            <w:tcW w:w="352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Airframe Price Base Year/Escalation</w:t>
            </w:r>
          </w:p>
        </w:tc>
        <w:tc>
          <w:tcPr>
            <w:tcW w:w="10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Model/Thrust: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1B74/75</w:t>
            </w:r>
          </w:p>
        </w:tc>
        <w:tc>
          <w:tcPr>
            <w:tcW w:w="1840" w:type="dxa"/>
            <w:vAlign w:val="bottom"/>
            <w:gridSpan w:val="2"/>
            <w:vMerge w:val="continue"/>
          </w:tcPr>
          <w:p>
            <w:pPr>
              <w:spacing w:after="0"/>
              <w:rPr>
                <w:sz w:val="9"/>
                <w:szCs w:val="9"/>
                <w:color w:val="auto"/>
              </w:rPr>
            </w:pPr>
          </w:p>
        </w:tc>
        <w:tc>
          <w:tcPr>
            <w:tcW w:w="25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9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1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4"/>
                <w:szCs w:val="24"/>
                <w:color w:val="auto"/>
              </w:rPr>
            </w:pPr>
          </w:p>
        </w:tc>
        <w:tc>
          <w:tcPr>
            <w:tcW w:w="45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Engine Price Base Year/Escalation Formula:  </w:t>
            </w: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1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 of Airframe and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2"/>
                <w:szCs w:val="22"/>
                <w:color w:val="auto"/>
              </w:rPr>
            </w:pPr>
          </w:p>
        </w:tc>
        <w:tc>
          <w:tcPr>
            <w:tcW w:w="25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Airframe Escalation Data:</w:t>
            </w:r>
          </w:p>
        </w:tc>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Features:</w:t>
            </w:r>
          </w:p>
        </w:tc>
        <w:tc>
          <w:tcPr>
            <w:tcW w:w="1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7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Engine Price (Per Aircraft):</w:t>
            </w:r>
          </w:p>
        </w:tc>
        <w:tc>
          <w:tcPr>
            <w:tcW w:w="100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25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800" w:type="dxa"/>
            <w:vAlign w:val="bottom"/>
            <w:gridSpan w:val="2"/>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2560" w:type="dxa"/>
            <w:vAlign w:val="bottom"/>
            <w:gridSpan w:val="3"/>
            <w:vMerge w:val="continue"/>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Aircraft Basic Price (Excluding</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4"/>
                <w:szCs w:val="24"/>
                <w:color w:val="auto"/>
              </w:rPr>
            </w:pPr>
          </w:p>
        </w:tc>
        <w:tc>
          <w:tcPr>
            <w:tcW w:w="25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BFE/SPE):</w:t>
            </w:r>
          </w:p>
        </w:tc>
        <w:tc>
          <w:tcPr>
            <w:tcW w:w="1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86" w:right="319" w:bottom="1440" w:gutter="0" w:footer="0" w:header="0"/>
        </w:sectPr>
      </w:pP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Buyer Furnished Equipment (BFE)</w:t>
      </w:r>
    </w:p>
    <w:p>
      <w:pPr>
        <w:spacing w:after="0" w:line="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p>
      <w:pPr>
        <w:spacing w:after="0" w:line="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Seller Purchased Equipment (SPE)</w:t>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p>
      <w:pPr>
        <w:spacing w:after="0" w:line="77" w:lineRule="exact"/>
        <w:rPr>
          <w:sz w:val="20"/>
          <w:szCs w:val="20"/>
          <w:color w:val="auto"/>
        </w:rPr>
      </w:pPr>
    </w:p>
    <w:p>
      <w:pPr>
        <w:ind w:left="80" w:right="300"/>
        <w:spacing w:after="0" w:line="305" w:lineRule="auto"/>
        <w:rPr>
          <w:sz w:val="20"/>
          <w:szCs w:val="20"/>
          <w:color w:val="auto"/>
        </w:rPr>
      </w:pPr>
      <w:r>
        <w:rPr>
          <w:rFonts w:ascii="Times New Roman" w:cs="Times New Roman" w:eastAsia="Times New Roman" w:hAnsi="Times New Roman"/>
          <w:sz w:val="18"/>
          <w:szCs w:val="18"/>
          <w:b w:val="1"/>
          <w:bCs w:val="1"/>
          <w:color w:val="auto"/>
        </w:rPr>
        <w:t>LIFT Seats Provided by Boeing (Estimate):</w:t>
      </w:r>
    </w:p>
    <w:p>
      <w:pPr>
        <w:ind w:left="80"/>
        <w:spacing w:after="0"/>
        <w:rPr>
          <w:sz w:val="20"/>
          <w:szCs w:val="20"/>
          <w:color w:val="auto"/>
        </w:rPr>
      </w:pPr>
      <w:r>
        <w:rPr>
          <w:rFonts w:ascii="Times New Roman" w:cs="Times New Roman" w:eastAsia="Times New Roman" w:hAnsi="Times New Roman"/>
          <w:sz w:val="18"/>
          <w:szCs w:val="18"/>
          <w:b w:val="1"/>
          <w:bCs w:val="1"/>
          <w:color w:val="auto"/>
        </w:rPr>
        <w:t>Deposit per Aircraft: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
        </w:trPr>
        <w:tc>
          <w:tcPr>
            <w:tcW w:w="1000" w:type="dxa"/>
            <w:vAlign w:val="bottom"/>
            <w:tcBorders>
              <w:top w:val="single" w:sz="8" w:color="auto"/>
              <w:bottom w:val="single" w:sz="8" w:color="auto"/>
            </w:tcBorders>
          </w:tcPr>
          <w:p>
            <w:pPr>
              <w:spacing w:after="0"/>
              <w:rPr>
                <w:sz w:val="3"/>
                <w:szCs w:val="3"/>
                <w:color w:val="auto"/>
              </w:rPr>
            </w:pPr>
          </w:p>
        </w:tc>
        <w:tc>
          <w:tcPr>
            <w:tcW w:w="1120" w:type="dxa"/>
            <w:vAlign w:val="bottom"/>
            <w:vMerge w:val="restart"/>
          </w:tcPr>
          <w:p>
            <w:pPr>
              <w:spacing w:after="0"/>
              <w:rPr>
                <w:sz w:val="3"/>
                <w:szCs w:val="3"/>
                <w:color w:val="auto"/>
              </w:rPr>
            </w:pPr>
          </w:p>
        </w:tc>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Engine Escalation Data:</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vMerge w:val="continue"/>
          </w:tcPr>
          <w:p>
            <w:pPr>
              <w:spacing w:after="0"/>
              <w:rPr>
                <w:sz w:val="13"/>
                <w:szCs w:val="13"/>
                <w:color w:val="auto"/>
              </w:rPr>
            </w:pPr>
          </w:p>
        </w:tc>
        <w:tc>
          <w:tcPr>
            <w:tcW w:w="1120" w:type="dxa"/>
            <w:vAlign w:val="bottom"/>
            <w:vMerge w:val="restart"/>
          </w:tcPr>
          <w:p>
            <w:pPr>
              <w:spacing w:after="0"/>
              <w:rPr>
                <w:sz w:val="13"/>
                <w:szCs w:val="13"/>
                <w:color w:val="auto"/>
              </w:rPr>
            </w:pPr>
          </w:p>
        </w:tc>
        <w:tc>
          <w:tcPr>
            <w:tcW w:w="18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1380" w:type="dxa"/>
            <w:vAlign w:val="bottom"/>
            <w:vMerge w:val="restart"/>
          </w:tcPr>
          <w:p>
            <w:pPr>
              <w:spacing w:after="0"/>
              <w:rPr>
                <w:sz w:val="13"/>
                <w:szCs w:val="13"/>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2"/>
        </w:trPr>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2800" w:space="80"/>
            <w:col w:w="8380"/>
          </w:cols>
          <w:pgMar w:left="320" w:top="86" w:right="319" w:bottom="1440" w:gutter="0" w:footer="0" w:header="0"/>
          <w:type w:val="continuous"/>
        </w:sectPr>
      </w:pPr>
    </w:p>
    <w:tbl>
      <w:tblPr>
        <w:tblLayout w:type="fixed"/>
        <w:tblInd w:w="10" w:type="dxa"/>
        <w:tblCellMar>
          <w:top w:w="0" w:type="dxa"/>
          <w:left w:w="0" w:type="dxa"/>
          <w:bottom w:w="0" w:type="dxa"/>
          <w:right w:w="0" w:type="dxa"/>
        </w:tblCellMar>
      </w:tblPr>
      <w:tr>
        <w:trPr>
          <w:trHeight w:val="194"/>
        </w:trPr>
        <w:tc>
          <w:tcPr>
            <w:tcW w:w="940" w:type="dxa"/>
            <w:vAlign w:val="bottom"/>
            <w:tcBorders>
              <w:top w:val="single" w:sz="8" w:color="auto"/>
              <w:left w:val="single" w:sz="8" w:color="auto"/>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1120" w:type="dxa"/>
            <w:vAlign w:val="bottom"/>
            <w:tcBorders>
              <w:top w:val="single" w:sz="8" w:color="auto"/>
              <w:right w:val="single" w:sz="8" w:color="auto"/>
            </w:tcBorders>
          </w:tcPr>
          <w:p>
            <w:pPr>
              <w:spacing w:after="0"/>
              <w:rPr>
                <w:sz w:val="16"/>
                <w:szCs w:val="16"/>
                <w:color w:val="auto"/>
              </w:rPr>
            </w:pPr>
          </w:p>
        </w:tc>
        <w:tc>
          <w:tcPr>
            <w:tcW w:w="100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tcBorders>
            <w:shd w:val="clear" w:color="auto" w:fill="C0C0C0"/>
          </w:tcPr>
          <w:p>
            <w:pPr>
              <w:spacing w:after="0"/>
              <w:rPr>
                <w:sz w:val="16"/>
                <w:szCs w:val="16"/>
                <w:color w:val="auto"/>
              </w:rPr>
            </w:pPr>
          </w:p>
        </w:tc>
        <w:tc>
          <w:tcPr>
            <w:tcW w:w="14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4760" w:type="dxa"/>
            <w:vAlign w:val="bottom"/>
            <w:tcBorders>
              <w:top w:val="single" w:sz="8" w:color="auto"/>
              <w:right w:val="single" w:sz="8" w:color="auto"/>
            </w:tcBorders>
            <w:gridSpan w:val="4"/>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Advance Payment Per Aircraft (Amts. Due/Mos. Prior to</w:t>
            </w: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40" w:type="dxa"/>
            <w:vAlign w:val="bottom"/>
            <w:tcBorders>
              <w:left w:val="single" w:sz="8" w:color="auto"/>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Escalation</w:t>
            </w:r>
          </w:p>
        </w:tc>
        <w:tc>
          <w:tcPr>
            <w:tcW w:w="1000" w:type="dxa"/>
            <w:vAlign w:val="bottom"/>
            <w:tcBorders>
              <w:right w:val="single" w:sz="8" w:color="auto"/>
            </w:tcBorders>
          </w:tcPr>
          <w:p>
            <w:pPr>
              <w:spacing w:after="0"/>
              <w:rPr>
                <w:sz w:val="12"/>
                <w:szCs w:val="12"/>
                <w:color w:val="auto"/>
              </w:rPr>
            </w:pPr>
          </w:p>
        </w:tc>
        <w:tc>
          <w:tcPr>
            <w:tcW w:w="1040" w:type="dxa"/>
            <w:vAlign w:val="bottom"/>
            <w:shd w:val="clear" w:color="auto" w:fill="C0C0C0"/>
          </w:tcPr>
          <w:p>
            <w:pPr>
              <w:spacing w:after="0"/>
              <w:rPr>
                <w:sz w:val="12"/>
                <w:szCs w:val="12"/>
                <w:color w:val="auto"/>
              </w:rPr>
            </w:pPr>
          </w:p>
        </w:tc>
        <w:tc>
          <w:tcPr>
            <w:tcW w:w="1480" w:type="dxa"/>
            <w:vAlign w:val="bottom"/>
            <w:tcBorders>
              <w:left w:val="single" w:sz="8" w:color="auto"/>
              <w:right w:val="single" w:sz="8" w:color="auto"/>
            </w:tcBorders>
            <w:vMerge w:val="continue"/>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15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40" w:type="dxa"/>
            <w:vAlign w:val="bottom"/>
            <w:tcBorders>
              <w:left w:val="single" w:sz="8" w:color="auto"/>
              <w:right w:val="single" w:sz="8" w:color="auto"/>
            </w:tcBorders>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5"/>
                <w:szCs w:val="15"/>
                <w:b w:val="1"/>
                <w:bCs w:val="1"/>
                <w:color w:val="auto"/>
              </w:rPr>
              <w:t>Escalation</w:t>
            </w:r>
          </w:p>
        </w:tc>
        <w:tc>
          <w:tcPr>
            <w:tcW w:w="1040" w:type="dxa"/>
            <w:vAlign w:val="bottom"/>
            <w:shd w:val="clear" w:color="auto" w:fill="C0C0C0"/>
          </w:tcPr>
          <w:p>
            <w:pPr>
              <w:spacing w:after="0"/>
              <w:rPr>
                <w:sz w:val="8"/>
                <w:szCs w:val="8"/>
                <w:color w:val="auto"/>
              </w:rPr>
            </w:pPr>
          </w:p>
        </w:tc>
        <w:tc>
          <w:tcPr>
            <w:tcW w:w="14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5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940" w:type="dxa"/>
            <w:vAlign w:val="bottom"/>
            <w:tcBorders>
              <w:left w:val="single" w:sz="8" w:color="auto"/>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000" w:type="dxa"/>
            <w:vAlign w:val="bottom"/>
            <w:tcBorders>
              <w:right w:val="single" w:sz="8" w:color="auto"/>
            </w:tcBorders>
            <w:vMerge w:val="continue"/>
          </w:tcPr>
          <w:p>
            <w:pPr>
              <w:spacing w:after="0"/>
              <w:rPr>
                <w:sz w:val="14"/>
                <w:szCs w:val="14"/>
                <w:color w:val="auto"/>
              </w:rPr>
            </w:pPr>
          </w:p>
        </w:tc>
        <w:tc>
          <w:tcPr>
            <w:tcW w:w="1040" w:type="dxa"/>
            <w:vAlign w:val="bottom"/>
            <w:tcBorders>
              <w:bottom w:val="single" w:sz="8" w:color="C0C0C0"/>
            </w:tcBorders>
            <w:shd w:val="clear" w:color="auto" w:fill="C0C0C0"/>
          </w:tcPr>
          <w:p>
            <w:pPr>
              <w:spacing w:after="0"/>
              <w:rPr>
                <w:sz w:val="14"/>
                <w:szCs w:val="14"/>
                <w:color w:val="auto"/>
              </w:rPr>
            </w:pPr>
          </w:p>
        </w:tc>
        <w:tc>
          <w:tcPr>
            <w:tcW w:w="1480" w:type="dxa"/>
            <w:vAlign w:val="bottom"/>
            <w:tcBorders>
              <w:left w:val="single" w:sz="8" w:color="auto"/>
              <w:right w:val="single" w:sz="8" w:color="auto"/>
            </w:tcBorders>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Factor</w:t>
            </w:r>
          </w:p>
        </w:tc>
        <w:tc>
          <w:tcPr>
            <w:tcW w:w="1000" w:type="dxa"/>
            <w:vAlign w:val="bottom"/>
            <w:tcBorders>
              <w:right w:val="single" w:sz="8" w:color="auto"/>
            </w:tcBorders>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Adv Payment</w:t>
            </w:r>
          </w:p>
        </w:tc>
        <w:tc>
          <w:tcPr>
            <w:tcW w:w="9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62"/>
        </w:trPr>
        <w:tc>
          <w:tcPr>
            <w:tcW w:w="940" w:type="dxa"/>
            <w:vAlign w:val="bottom"/>
            <w:tcBorders>
              <w:left w:val="single" w:sz="8" w:color="auto"/>
              <w:right w:val="single" w:sz="8" w:color="auto"/>
            </w:tcBorders>
            <w:vMerge w:val="continue"/>
          </w:tcPr>
          <w:p>
            <w:pPr>
              <w:spacing w:after="0"/>
              <w:rPr>
                <w:sz w:val="22"/>
                <w:szCs w:val="22"/>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120" w:type="dxa"/>
            <w:vAlign w:val="bottom"/>
            <w:tcBorders>
              <w:right w:val="single" w:sz="8" w:color="auto"/>
            </w:tcBorders>
            <w:vMerge w:val="continue"/>
          </w:tcPr>
          <w:p>
            <w:pPr>
              <w:spacing w:after="0"/>
              <w:rPr>
                <w:sz w:val="22"/>
                <w:szCs w:val="22"/>
                <w:color w:val="auto"/>
              </w:rPr>
            </w:pPr>
          </w:p>
        </w:tc>
        <w:tc>
          <w:tcPr>
            <w:tcW w:w="1000" w:type="dxa"/>
            <w:vAlign w:val="bottom"/>
            <w:tcBorders>
              <w:right w:val="single" w:sz="8" w:color="auto"/>
            </w:tcBorders>
          </w:tcPr>
          <w:p>
            <w:pPr>
              <w:jc w:val="right"/>
              <w:ind w:right="195"/>
              <w:spacing w:after="0"/>
              <w:rPr>
                <w:sz w:val="20"/>
                <w:szCs w:val="20"/>
                <w:color w:val="auto"/>
              </w:rPr>
            </w:pPr>
            <w:r>
              <w:rPr>
                <w:rFonts w:ascii="Times New Roman" w:cs="Times New Roman" w:eastAsia="Times New Roman" w:hAnsi="Times New Roman"/>
                <w:sz w:val="15"/>
                <w:szCs w:val="15"/>
                <w:b w:val="1"/>
                <w:bCs w:val="1"/>
                <w:color w:val="auto"/>
              </w:rPr>
              <w:t>Factor</w:t>
            </w:r>
          </w:p>
        </w:tc>
        <w:tc>
          <w:tcPr>
            <w:tcW w:w="1040" w:type="dxa"/>
            <w:vAlign w:val="bottom"/>
            <w:shd w:val="clear" w:color="auto" w:fill="C0C0C0"/>
          </w:tcPr>
          <w:p>
            <w:pPr>
              <w:spacing w:after="0"/>
              <w:rPr>
                <w:sz w:val="22"/>
                <w:szCs w:val="22"/>
                <w:color w:val="auto"/>
              </w:rPr>
            </w:pPr>
          </w:p>
        </w:tc>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920" w:type="dxa"/>
            <w:vAlign w:val="bottom"/>
            <w:tcBorders>
              <w:right w:val="single" w:sz="8" w:color="auto"/>
            </w:tcBorders>
            <w:vMerge w:val="continue"/>
          </w:tcPr>
          <w:p>
            <w:pPr>
              <w:spacing w:after="0"/>
              <w:rPr>
                <w:sz w:val="22"/>
                <w:szCs w:val="22"/>
                <w:color w:val="auto"/>
              </w:rPr>
            </w:pPr>
          </w:p>
        </w:tc>
        <w:tc>
          <w:tcPr>
            <w:tcW w:w="940" w:type="dxa"/>
            <w:vAlign w:val="bottom"/>
            <w:tcBorders>
              <w:right w:val="single" w:sz="8" w:color="auto"/>
            </w:tcBorders>
            <w:vMerge w:val="continue"/>
          </w:tcPr>
          <w:p>
            <w:pPr>
              <w:spacing w:after="0"/>
              <w:rPr>
                <w:sz w:val="22"/>
                <w:szCs w:val="22"/>
                <w:color w:val="auto"/>
              </w:rPr>
            </w:pPr>
          </w:p>
        </w:tc>
        <w:tc>
          <w:tcPr>
            <w:tcW w:w="1340" w:type="dxa"/>
            <w:vAlign w:val="bottom"/>
            <w:tcBorders>
              <w:right w:val="single" w:sz="8" w:color="auto"/>
            </w:tcBorders>
            <w:vMerge w:val="continue"/>
          </w:tcPr>
          <w:p>
            <w:pPr>
              <w:spacing w:after="0"/>
              <w:rPr>
                <w:sz w:val="22"/>
                <w:szCs w:val="22"/>
                <w:color w:val="auto"/>
              </w:rPr>
            </w:pPr>
          </w:p>
        </w:tc>
        <w:tc>
          <w:tcPr>
            <w:tcW w:w="1640" w:type="dxa"/>
            <w:vAlign w:val="bottom"/>
            <w:tcBorders>
              <w:right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(Airframe)</w:t>
            </w:r>
          </w:p>
        </w:tc>
        <w:tc>
          <w:tcPr>
            <w:tcW w:w="1000" w:type="dxa"/>
            <w:vAlign w:val="bottom"/>
            <w:tcBorders>
              <w:bottom w:val="single" w:sz="8" w:color="auto"/>
              <w:right w:val="single" w:sz="8" w:color="auto"/>
            </w:tcBorders>
          </w:tcPr>
          <w:p>
            <w:pPr>
              <w:jc w:val="right"/>
              <w:ind w:right="135"/>
              <w:spacing w:after="0"/>
              <w:rPr>
                <w:sz w:val="20"/>
                <w:szCs w:val="20"/>
                <w:color w:val="auto"/>
              </w:rPr>
            </w:pPr>
            <w:r>
              <w:rPr>
                <w:rFonts w:ascii="Times New Roman" w:cs="Times New Roman" w:eastAsia="Times New Roman" w:hAnsi="Times New Roman"/>
                <w:sz w:val="15"/>
                <w:szCs w:val="15"/>
                <w:b w:val="1"/>
                <w:bCs w:val="1"/>
                <w:color w:val="auto"/>
              </w:rPr>
              <w:t>(Engine)</w:t>
            </w:r>
          </w:p>
        </w:tc>
        <w:tc>
          <w:tcPr>
            <w:tcW w:w="1040" w:type="dxa"/>
            <w:vAlign w:val="bottom"/>
            <w:tcBorders>
              <w:bottom w:val="single" w:sz="8" w:color="auto"/>
            </w:tcBorders>
            <w:shd w:val="clear" w:color="auto" w:fill="C0C0C0"/>
          </w:tcPr>
          <w:p>
            <w:pPr>
              <w:spacing w:after="0"/>
              <w:rPr>
                <w:sz w:val="24"/>
                <w:szCs w:val="24"/>
                <w:color w:val="auto"/>
              </w:rPr>
            </w:pPr>
          </w:p>
        </w:tc>
        <w:tc>
          <w:tcPr>
            <w:tcW w:w="1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 A/P</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right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0C0C0"/>
            </w:tcBorders>
            <w:shd w:val="clear" w:color="auto" w:fill="C0C0C0"/>
          </w:tcPr>
          <w:p>
            <w:pPr>
              <w:spacing w:after="0"/>
              <w:rPr>
                <w:sz w:val="24"/>
                <w:szCs w:val="24"/>
                <w:color w:val="auto"/>
              </w:rPr>
            </w:pPr>
          </w:p>
        </w:tc>
        <w:tc>
          <w:tcPr>
            <w:tcW w:w="1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2</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auto"/>
              <w:right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0C0C0"/>
            </w:tcBorders>
            <w:shd w:val="clear" w:color="auto" w:fill="C0C0C0"/>
          </w:tcPr>
          <w:p>
            <w:pPr>
              <w:spacing w:after="0"/>
              <w:rPr>
                <w:sz w:val="24"/>
                <w:szCs w:val="24"/>
                <w:color w:val="auto"/>
              </w:rPr>
            </w:pPr>
          </w:p>
        </w:tc>
        <w:tc>
          <w:tcPr>
            <w:tcW w:w="14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auto"/>
              <w:right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0C0C0"/>
            </w:tcBorders>
            <w:shd w:val="clear" w:color="auto" w:fill="C0C0C0"/>
          </w:tcPr>
          <w:p>
            <w:pPr>
              <w:spacing w:after="0"/>
              <w:rPr>
                <w:sz w:val="24"/>
                <w:szCs w:val="24"/>
                <w:color w:val="auto"/>
              </w:rPr>
            </w:pPr>
          </w:p>
        </w:tc>
        <w:tc>
          <w:tcPr>
            <w:tcW w:w="14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auto"/>
              <w:right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0C0C0"/>
            </w:tcBorders>
            <w:shd w:val="clear" w:color="auto" w:fill="C0C0C0"/>
          </w:tcPr>
          <w:p>
            <w:pPr>
              <w:spacing w:after="0"/>
              <w:rPr>
                <w:sz w:val="24"/>
                <w:szCs w:val="24"/>
                <w:color w:val="auto"/>
              </w:rPr>
            </w:pPr>
          </w:p>
        </w:tc>
        <w:tc>
          <w:tcPr>
            <w:tcW w:w="14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1000" w:type="dxa"/>
            <w:vAlign w:val="bottom"/>
            <w:tcBorders>
              <w:top w:val="single" w:sz="8" w:color="auto"/>
              <w:right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0C0C0"/>
            </w:tcBorders>
            <w:shd w:val="clear" w:color="auto" w:fill="C0C0C0"/>
          </w:tcPr>
          <w:p>
            <w:pPr>
              <w:spacing w:after="0"/>
              <w:rPr>
                <w:sz w:val="24"/>
                <w:szCs w:val="24"/>
                <w:color w:val="auto"/>
              </w:rPr>
            </w:pPr>
          </w:p>
        </w:tc>
        <w:tc>
          <w:tcPr>
            <w:tcW w:w="14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Total:</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120" w:type="dxa"/>
            <w:vAlign w:val="bottom"/>
            <w:tcBorders>
              <w:top w:val="single" w:sz="8" w:color="auto"/>
            </w:tcBorders>
          </w:tcPr>
          <w:p>
            <w:pPr>
              <w:spacing w:after="0"/>
              <w:rPr>
                <w:sz w:val="23"/>
                <w:szCs w:val="23"/>
                <w:color w:val="auto"/>
              </w:rPr>
            </w:pPr>
          </w:p>
        </w:tc>
        <w:tc>
          <w:tcPr>
            <w:tcW w:w="1000" w:type="dxa"/>
            <w:vAlign w:val="bottom"/>
            <w:tcBorders>
              <w:top w:val="single" w:sz="8" w:color="auto"/>
              <w:right w:val="single" w:sz="8" w:color="C0C0C0"/>
            </w:tcBorders>
          </w:tcPr>
          <w:p>
            <w:pPr>
              <w:spacing w:after="0"/>
              <w:rPr>
                <w:sz w:val="23"/>
                <w:szCs w:val="23"/>
                <w:color w:val="auto"/>
              </w:rPr>
            </w:pPr>
          </w:p>
        </w:tc>
        <w:tc>
          <w:tcPr>
            <w:tcW w:w="1040" w:type="dxa"/>
            <w:vAlign w:val="bottom"/>
            <w:tcBorders>
              <w:top w:val="single" w:sz="8" w:color="auto"/>
              <w:bottom w:val="single" w:sz="8" w:color="C0C0C0"/>
            </w:tcBorders>
            <w:shd w:val="clear" w:color="auto" w:fill="C0C0C0"/>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56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w:t>
            </w:r>
          </w:p>
        </w:tc>
        <w:tc>
          <w:tcPr>
            <w:tcW w:w="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Note: [***]</w:t>
      </w:r>
    </w:p>
    <w:p>
      <w:pPr>
        <w:spacing w:after="0" w:line="200" w:lineRule="exact"/>
        <w:rPr>
          <w:sz w:val="20"/>
          <w:szCs w:val="20"/>
          <w:color w:val="auto"/>
        </w:rPr>
      </w:pPr>
    </w:p>
    <w:p>
      <w:pPr>
        <w:spacing w:after="0" w:line="398" w:lineRule="exact"/>
        <w:rPr>
          <w:sz w:val="20"/>
          <w:szCs w:val="20"/>
          <w:color w:val="auto"/>
        </w:rPr>
      </w:pPr>
    </w:p>
    <w:p>
      <w:pPr>
        <w:spacing w:after="0"/>
        <w:tabs>
          <w:tab w:leader="none" w:pos="3000" w:val="left"/>
          <w:tab w:leader="none" w:pos="5680" w:val="left"/>
        </w:tabs>
        <w:rPr>
          <w:sz w:val="20"/>
          <w:szCs w:val="20"/>
          <w:color w:val="auto"/>
        </w:rPr>
      </w:pPr>
      <w:r>
        <w:rPr>
          <w:rFonts w:ascii="Arial" w:cs="Arial" w:eastAsia="Arial" w:hAnsi="Arial"/>
          <w:sz w:val="22"/>
          <w:szCs w:val="22"/>
          <w:color w:val="auto"/>
        </w:rPr>
        <w:t>AAL-PA-03219 118038-1F.txt</w:t>
        <w:tab/>
        <w:t>BOEING PROPRIETARY</w:t>
      </w:r>
      <w:r>
        <w:rPr>
          <w:sz w:val="20"/>
          <w:szCs w:val="20"/>
          <w:color w:val="auto"/>
        </w:rPr>
        <w:tab/>
      </w:r>
      <w:r>
        <w:rPr>
          <w:rFonts w:ascii="Arial" w:cs="Arial" w:eastAsia="Arial" w:hAnsi="Arial"/>
          <w:sz w:val="21"/>
          <w:szCs w:val="21"/>
          <w:color w:val="auto"/>
        </w:rPr>
        <w:t>SA-17 Table 7(R1)</w:t>
      </w:r>
    </w:p>
    <w:p>
      <w:pPr>
        <w:ind w:left="480"/>
        <w:spacing w:after="0"/>
        <w:rPr>
          <w:sz w:val="20"/>
          <w:szCs w:val="20"/>
          <w:color w:val="auto"/>
        </w:rPr>
      </w:pPr>
      <w:r>
        <w:rPr>
          <w:rFonts w:ascii="Arial" w:cs="Arial" w:eastAsia="Arial" w:hAnsi="Arial"/>
          <w:sz w:val="22"/>
          <w:szCs w:val="22"/>
          <w:color w:val="auto"/>
        </w:rPr>
        <w:t>Page 1</w:t>
      </w:r>
    </w:p>
    <w:p>
      <w:pPr>
        <w:sectPr>
          <w:pgSz w:w="11900" w:h="16838" w:orient="portrait"/>
          <w:cols w:equalWidth="0" w:num="1">
            <w:col w:w="11260"/>
          </w:cols>
          <w:pgMar w:left="320" w:top="86" w:right="319" w:bottom="1440" w:gutter="0" w:footer="0" w:header="0"/>
          <w:type w:val="continuous"/>
        </w:sectPr>
      </w:pPr>
    </w:p>
    <w:bookmarkStart w:id="105" w:name="page106"/>
    <w:bookmarkEnd w:id="105"/>
    <w:p>
      <w:pPr>
        <w:ind w:left="10240"/>
        <w:spacing w:after="0"/>
        <w:rPr>
          <w:sz w:val="20"/>
          <w:szCs w:val="20"/>
          <w:color w:val="auto"/>
        </w:rPr>
      </w:pPr>
      <w:r>
        <w:rPr>
          <w:rFonts w:ascii="Arial" w:cs="Arial" w:eastAsia="Arial" w:hAnsi="Arial"/>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40575" cy="2832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54" w:lineRule="exact"/>
        <w:rPr>
          <w:sz w:val="20"/>
          <w:szCs w:val="20"/>
          <w:color w:val="auto"/>
        </w:rPr>
      </w:pPr>
    </w:p>
    <w:p>
      <w:pPr>
        <w:ind w:left="40" w:right="8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SUPPLEMENTAL AGREEMENT NO. 21</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between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This SUPPLEMENTAL AGREEMENT No. 21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21</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January _</w:t>
      </w:r>
      <w:r>
        <w:rPr>
          <w:rFonts w:ascii="Arial" w:cs="Arial" w:eastAsia="Arial" w:hAnsi="Arial"/>
          <w:sz w:val="22"/>
          <w:szCs w:val="22"/>
          <w:u w:val="single" w:color="auto"/>
          <w:color w:val="auto"/>
        </w:rPr>
        <w:t>14</w:t>
      </w:r>
      <w:r>
        <w:rPr>
          <w:rFonts w:ascii="Arial" w:cs="Arial" w:eastAsia="Arial" w:hAnsi="Arial"/>
          <w:sz w:val="22"/>
          <w:szCs w:val="22"/>
          <w:color w:val="auto"/>
        </w:rPr>
        <w:t>__, 2022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3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176" w:lineRule="exact"/>
        <w:rPr>
          <w:sz w:val="20"/>
          <w:szCs w:val="20"/>
          <w:color w:val="auto"/>
        </w:rPr>
      </w:pPr>
    </w:p>
    <w:p>
      <w:pPr>
        <w:jc w:val="both"/>
        <w:ind w:firstLine="318"/>
        <w:spacing w:after="0" w:line="214" w:lineRule="auto"/>
        <w:rPr>
          <w:sz w:val="20"/>
          <w:szCs w:val="20"/>
          <w:color w:val="auto"/>
        </w:rPr>
      </w:pPr>
      <w:r>
        <w:rPr>
          <w:rFonts w:ascii="Arial" w:cs="Arial" w:eastAsia="Arial" w:hAnsi="Arial"/>
          <w:sz w:val="22"/>
          <w:szCs w:val="22"/>
          <w:color w:val="auto"/>
        </w:rPr>
        <w:t>WHEREAS, Boeing and Customer previously entered into that certain Letter Agreement No. AAL-PA-03735-LA-1106659R3 to the Purchase Agreement dated December 2, 2021 entitled [****] (the [****]) which revises the [****];</w:t>
      </w:r>
    </w:p>
    <w:p>
      <w:pPr>
        <w:spacing w:after="0" w:line="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2"/>
          <w:szCs w:val="22"/>
          <w:color w:val="auto"/>
        </w:rPr>
        <w:t>WHEREAS, Boeing and Customer previously entered into that certain Letter Agreement No. AAL-PA-03735-LA-1106651R3 (including Attachment A(R3) attached thereto) to the Purchase Agreement dated December 17, 2021 entitled [****], ([****]) which provides for, among other things, [****] and Customer’s [****];</w:t>
      </w:r>
    </w:p>
    <w:p>
      <w:pPr>
        <w:spacing w:after="0" w:line="179" w:lineRule="exact"/>
        <w:rPr>
          <w:sz w:val="20"/>
          <w:szCs w:val="20"/>
          <w:color w:val="auto"/>
        </w:rPr>
      </w:pPr>
    </w:p>
    <w:p>
      <w:pPr>
        <w:jc w:val="both"/>
        <w:ind w:firstLine="240"/>
        <w:spacing w:after="0" w:line="226" w:lineRule="auto"/>
        <w:rPr>
          <w:sz w:val="20"/>
          <w:szCs w:val="20"/>
          <w:color w:val="auto"/>
        </w:rPr>
      </w:pPr>
      <w:r>
        <w:rPr>
          <w:rFonts w:ascii="Arial" w:cs="Arial" w:eastAsia="Arial" w:hAnsi="Arial"/>
          <w:sz w:val="22"/>
          <w:szCs w:val="22"/>
          <w:color w:val="auto"/>
        </w:rPr>
        <w:t>WHEREAS, [****] to the [****] Aircraft that Customer had previously [****] as set forth in Table 1R12, 1-2, and 1-3R6 to the Purchase Agreement, Customer has [****] (i) [****] ([****]) and (ii) [****] ([****]), in Attachment A(R3) to the [****] as shown in the table below, pursuant to the terms and conditions of the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SA-20, Page 1</w:t>
      </w: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21" w:right="33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365"/>
        </w:trPr>
        <w:tc>
          <w:tcPr>
            <w:tcW w:w="5640" w:type="dxa"/>
            <w:vAlign w:val="bottom"/>
            <w:tcBorders>
              <w:top w:val="single" w:sz="8" w:color="auto"/>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top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0"/>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r>
        <w:trPr>
          <w:trHeight w:val="345"/>
        </w:trPr>
        <w:tc>
          <w:tcPr>
            <w:tcW w:w="5640" w:type="dxa"/>
            <w:vAlign w:val="bottom"/>
            <w:tcBorders>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0"/>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r>
        <w:trPr>
          <w:trHeight w:val="345"/>
        </w:trPr>
        <w:tc>
          <w:tcPr>
            <w:tcW w:w="5640" w:type="dxa"/>
            <w:vAlign w:val="bottom"/>
            <w:tcBorders>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0"/>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2" w:lineRule="exact"/>
        <w:rPr>
          <w:sz w:val="20"/>
          <w:szCs w:val="20"/>
          <w:color w:val="auto"/>
        </w:rPr>
      </w:pPr>
    </w:p>
    <w:p>
      <w:pPr>
        <w:jc w:val="both"/>
        <w:ind w:right="20" w:firstLine="648"/>
        <w:spacing w:after="0" w:line="211" w:lineRule="auto"/>
        <w:rPr>
          <w:sz w:val="20"/>
          <w:szCs w:val="20"/>
          <w:color w:val="auto"/>
        </w:rPr>
      </w:pPr>
      <w:r>
        <w:rPr>
          <w:rFonts w:ascii="Arial" w:cs="Arial" w:eastAsia="Arial" w:hAnsi="Arial"/>
          <w:sz w:val="22"/>
          <w:szCs w:val="22"/>
          <w:color w:val="auto"/>
        </w:rPr>
        <w:t>WHEREAS, Boeing and Customer agree that the [****]and the [****] are considered “[****]” for the purpose of the [****] and “Aircraft” as defined in the Purchase Agreement, and wish to [****] and [****] in the Purchase Agreement; and</w:t>
      </w:r>
    </w:p>
    <w:p>
      <w:pPr>
        <w:spacing w:after="0" w:line="1" w:lineRule="exact"/>
        <w:rPr>
          <w:sz w:val="20"/>
          <w:szCs w:val="20"/>
          <w:color w:val="auto"/>
        </w:rPr>
      </w:pPr>
    </w:p>
    <w:p>
      <w:pPr>
        <w:jc w:val="both"/>
        <w:ind w:right="20" w:firstLine="648"/>
        <w:spacing w:after="0" w:line="227" w:lineRule="auto"/>
        <w:rPr>
          <w:sz w:val="20"/>
          <w:szCs w:val="20"/>
          <w:color w:val="auto"/>
        </w:rPr>
      </w:pPr>
      <w:r>
        <w:rPr>
          <w:rFonts w:ascii="Arial" w:cs="Arial" w:eastAsia="Arial" w:hAnsi="Arial"/>
          <w:sz w:val="22"/>
          <w:szCs w:val="22"/>
          <w:color w:val="auto"/>
        </w:rPr>
        <w:t>WHEREAS, Boeing agrees to provide Customer the [****] ([****]) [****] as [****] with [****] in [****] based on the same terms and conditions as specified in the [****].</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294"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2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SA-20 in the footer is deleted in its entirety 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SA-21 in the footer to reflect changes made to the Purchase Agreement by this SA-21. Such new Table of Contents is hereby incorporated into the Purchase Agreement in replacement of its predecessor.</w:t>
      </w:r>
    </w:p>
    <w:p>
      <w:pPr>
        <w:spacing w:after="0" w:line="152"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Table 1-4</w:t>
      </w:r>
      <w:r>
        <w:rPr>
          <w:rFonts w:ascii="Arial" w:cs="Arial" w:eastAsia="Arial" w:hAnsi="Arial"/>
          <w:sz w:val="22"/>
          <w:szCs w:val="22"/>
          <w:color w:val="auto"/>
        </w:rPr>
        <w:t>. A new Table 1-4 entitled “</w:t>
      </w:r>
      <w:r>
        <w:rPr>
          <w:rFonts w:ascii="Arial" w:cs="Arial" w:eastAsia="Arial" w:hAnsi="Arial"/>
          <w:sz w:val="22"/>
          <w:szCs w:val="22"/>
          <w:u w:val="single" w:color="auto"/>
          <w:color w:val="auto"/>
        </w:rPr>
        <w:t>737-8 [****] Aircraft Delivery, Description, Price and Advance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 (attached hereto) referencing SA-21 in the footer is hereby incorporated into the Purchase Agreement to [****] and the [****] as “Aircraft” in the Purchase Agreement.</w:t>
      </w:r>
    </w:p>
    <w:p>
      <w:pPr>
        <w:spacing w:after="0" w:line="149" w:lineRule="exact"/>
        <w:rPr>
          <w:sz w:val="20"/>
          <w:szCs w:val="20"/>
          <w:color w:val="auto"/>
        </w:rPr>
      </w:pPr>
    </w:p>
    <w:p>
      <w:pPr>
        <w:ind w:left="700" w:hanging="692"/>
        <w:spacing w:after="0"/>
        <w:tabs>
          <w:tab w:leader="none" w:pos="7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2"/>
          <w:szCs w:val="22"/>
          <w:color w:val="auto"/>
        </w:rPr>
        <w:t>3.1 Letter Agreement No. AAL-PA-03735-LA-1106650R4 entitled [****] is hereby deleted in its entirety and replaced with Letter Agreement No. AAL-PA-03735-LA-1106650R5 entitled [****] (attached hereto) ([****]) referencing SA-21 in the footer. The [****] is hereby incorporated into the Purchase Agreement.</w:t>
      </w:r>
    </w:p>
    <w:p>
      <w:pPr>
        <w:spacing w:after="0" w:line="149" w:lineRule="exact"/>
        <w:rPr>
          <w:sz w:val="20"/>
          <w:szCs w:val="20"/>
          <w:color w:val="auto"/>
        </w:rPr>
      </w:pPr>
    </w:p>
    <w:p>
      <w:pPr>
        <w:jc w:val="both"/>
        <w:ind w:right="20" w:firstLine="648"/>
        <w:spacing w:after="0" w:line="217" w:lineRule="auto"/>
        <w:rPr>
          <w:sz w:val="20"/>
          <w:szCs w:val="20"/>
          <w:color w:val="auto"/>
        </w:rPr>
      </w:pPr>
      <w:r>
        <w:rPr>
          <w:rFonts w:ascii="Arial" w:cs="Arial" w:eastAsia="Arial" w:hAnsi="Arial"/>
          <w:sz w:val="22"/>
          <w:szCs w:val="22"/>
          <w:color w:val="auto"/>
        </w:rPr>
        <w:t xml:space="preserve">3.2 Effective as of December 17, 2021, Letter Agreement No. AAL-PA-03735-LA-1106651R2 (including Attachment </w:t>
      </w:r>
      <w:r>
        <w:rPr>
          <w:rFonts w:ascii="Arial" w:cs="Arial" w:eastAsia="Arial" w:hAnsi="Arial"/>
          <w:sz w:val="22"/>
          <w:szCs w:val="22"/>
          <w:u w:val="single" w:color="auto"/>
          <w:color w:val="auto"/>
        </w:rPr>
        <w:t>A(R2)</w:t>
      </w:r>
      <w:r>
        <w:rPr>
          <w:rFonts w:ascii="Arial" w:cs="Arial" w:eastAsia="Arial" w:hAnsi="Arial"/>
          <w:sz w:val="22"/>
          <w:szCs w:val="22"/>
          <w:color w:val="auto"/>
        </w:rPr>
        <w:t xml:space="preserve"> attached thereto) entitled [****] is hereby deleted in its entirety and replaced with the [****] (attached hereto) referencing SA-21 in the footer. The [****] is hereby incorporated into the Purchase Agreement. For the avoidance of doubt, the [****] became of [****] and pursuant to Section 3.3 below is being replaced as of the Effective Date with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SA-21, Page 2</w:t>
      </w:r>
    </w:p>
    <w:p>
      <w:pPr>
        <w:jc w:val="center"/>
        <w:ind w:right="2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60"/>
          </w:cols>
          <w:pgMar w:left="320" w:top="1361" w:right="319" w:bottom="1440" w:gutter="0" w:footer="0" w:header="0"/>
        </w:sectPr>
      </w:pPr>
    </w:p>
    <w:bookmarkStart w:id="107" w:name="page108"/>
    <w:bookmarkEnd w:id="107"/>
    <w:p>
      <w:pPr>
        <w:spacing w:after="0" w:line="334" w:lineRule="exact"/>
        <w:rPr>
          <w:sz w:val="20"/>
          <w:szCs w:val="20"/>
          <w:color w:val="auto"/>
        </w:rPr>
      </w:pPr>
    </w:p>
    <w:p>
      <w:pPr>
        <w:jc w:val="both"/>
        <w:ind w:left="73" w:firstLine="648"/>
        <w:spacing w:after="0" w:line="226" w:lineRule="auto"/>
        <w:rPr>
          <w:sz w:val="20"/>
          <w:szCs w:val="20"/>
          <w:color w:val="auto"/>
        </w:rPr>
      </w:pPr>
      <w:r>
        <w:rPr>
          <w:rFonts w:ascii="Arial" w:cs="Arial" w:eastAsia="Arial" w:hAnsi="Arial"/>
          <w:sz w:val="22"/>
          <w:szCs w:val="22"/>
          <w:color w:val="auto"/>
        </w:rPr>
        <w:t>3.3 Effective as of the Effective Date, the [****] is hereby deleted in its entirety and replaced with Letter Agreement No. AAL-PA-03735-LA-1600073R4 (including Attachment A(R4) attached hereto) entitled [****] ([****]) referencing SA-21 in the footer. The [****] is hereby incorporated into the Purchase Agreement.</w:t>
      </w:r>
    </w:p>
    <w:p>
      <w:pPr>
        <w:spacing w:after="0" w:line="176" w:lineRule="exact"/>
        <w:rPr>
          <w:sz w:val="20"/>
          <w:szCs w:val="20"/>
          <w:color w:val="auto"/>
        </w:rPr>
      </w:pPr>
    </w:p>
    <w:p>
      <w:pPr>
        <w:jc w:val="both"/>
        <w:ind w:left="73" w:firstLine="365"/>
        <w:spacing w:after="0" w:line="226" w:lineRule="auto"/>
        <w:rPr>
          <w:sz w:val="20"/>
          <w:szCs w:val="20"/>
          <w:color w:val="auto"/>
        </w:rPr>
      </w:pPr>
      <w:r>
        <w:rPr>
          <w:rFonts w:ascii="Arial" w:cs="Arial" w:eastAsia="Arial" w:hAnsi="Arial"/>
          <w:sz w:val="22"/>
          <w:szCs w:val="22"/>
          <w:color w:val="auto"/>
        </w:rPr>
        <w:t>3.4 Effective as of December 2, 2021, Letter Agreement No.AAL-PA-03735-LA-1106659R2, entitled [****] is hereby deleted in its entirety and replaced with the [****] (attached hereto) referencing SA-21 in the footer. Effective as of December 2, 2021, the [****] is hereby incorporated into the Purchase Agreement.</w:t>
      </w:r>
    </w:p>
    <w:p>
      <w:pPr>
        <w:spacing w:after="0" w:line="176" w:lineRule="exact"/>
        <w:rPr>
          <w:sz w:val="20"/>
          <w:szCs w:val="20"/>
          <w:color w:val="auto"/>
        </w:rPr>
      </w:pPr>
    </w:p>
    <w:p>
      <w:pPr>
        <w:jc w:val="both"/>
        <w:ind w:left="73" w:firstLine="648"/>
        <w:spacing w:after="0" w:line="226" w:lineRule="auto"/>
        <w:rPr>
          <w:sz w:val="20"/>
          <w:szCs w:val="20"/>
          <w:color w:val="auto"/>
        </w:rPr>
      </w:pPr>
      <w:r>
        <w:rPr>
          <w:rFonts w:ascii="Arial" w:cs="Arial" w:eastAsia="Arial" w:hAnsi="Arial"/>
          <w:sz w:val="22"/>
          <w:szCs w:val="22"/>
          <w:color w:val="auto"/>
        </w:rPr>
        <w:t>3.5 The parties agree that Attachments A and B to Letter Agreement No. AAL-PA-03735-LA-1106652 entitled [****] will be [****] by Customer of the [****] and the [****] as part of the next supplemental agreement to the Purchase Agreement executed by the parties.</w:t>
      </w:r>
    </w:p>
    <w:p>
      <w:pPr>
        <w:spacing w:after="0" w:line="284" w:lineRule="exact"/>
        <w:rPr>
          <w:sz w:val="20"/>
          <w:szCs w:val="20"/>
          <w:color w:val="auto"/>
        </w:rPr>
      </w:pPr>
    </w:p>
    <w:p>
      <w:pPr>
        <w:ind w:left="713" w:hanging="713"/>
        <w:spacing w:after="0"/>
        <w:tabs>
          <w:tab w:leader="none" w:pos="713" w:val="left"/>
        </w:tabs>
        <w:numPr>
          <w:ilvl w:val="0"/>
          <w:numId w:val="53"/>
        </w:numPr>
        <w:rPr>
          <w:rFonts w:ascii="Arial" w:cs="Arial" w:eastAsia="Arial" w:hAnsi="Arial"/>
          <w:sz w:val="22"/>
          <w:szCs w:val="22"/>
          <w:color w:val="auto"/>
        </w:rPr>
      </w:pPr>
      <w:r>
        <w:rPr>
          <w:rFonts w:ascii="Arial" w:cs="Arial" w:eastAsia="Arial" w:hAnsi="Arial"/>
          <w:sz w:val="22"/>
          <w:szCs w:val="22"/>
          <w:color w:val="auto"/>
        </w:rPr>
        <w:t>[****].</w:t>
      </w:r>
    </w:p>
    <w:p>
      <w:pPr>
        <w:spacing w:after="0" w:line="162" w:lineRule="exact"/>
        <w:rPr>
          <w:sz w:val="20"/>
          <w:szCs w:val="20"/>
          <w:color w:val="auto"/>
        </w:rPr>
      </w:pPr>
    </w:p>
    <w:p>
      <w:pPr>
        <w:ind w:left="733"/>
        <w:spacing w:after="0"/>
        <w:rPr>
          <w:sz w:val="20"/>
          <w:szCs w:val="20"/>
          <w:color w:val="auto"/>
        </w:rPr>
      </w:pPr>
      <w:r>
        <w:rPr>
          <w:rFonts w:ascii="Arial" w:cs="Arial" w:eastAsia="Arial" w:hAnsi="Arial"/>
          <w:sz w:val="22"/>
          <w:szCs w:val="22"/>
          <w:color w:val="auto"/>
        </w:rPr>
        <w:t>[****] for the [****] and [****], and [****] for the [****] 737-8 [****] aircraft totaling [****] ([****]) are [****] per</w:t>
      </w:r>
    </w:p>
    <w:p>
      <w:pPr>
        <w:ind w:left="73"/>
        <w:spacing w:after="0"/>
        <w:rPr>
          <w:sz w:val="20"/>
          <w:szCs w:val="20"/>
          <w:color w:val="auto"/>
        </w:rPr>
      </w:pPr>
      <w:r>
        <w:rPr>
          <w:rFonts w:ascii="Arial" w:cs="Arial" w:eastAsia="Arial" w:hAnsi="Arial"/>
          <w:sz w:val="22"/>
          <w:szCs w:val="22"/>
          <w:color w:val="auto"/>
        </w:rPr>
        <w:t>Section 5.3 of the [****] and as specified in [****] entitled [****], as summarized below:</w:t>
      </w:r>
    </w:p>
    <w:p>
      <w:pPr>
        <w:spacing w:after="0" w:line="142" w:lineRule="exact"/>
        <w:rPr>
          <w:sz w:val="20"/>
          <w:szCs w:val="20"/>
          <w:color w:val="auto"/>
        </w:rPr>
      </w:pPr>
    </w:p>
    <w:p>
      <w:pPr>
        <w:ind w:left="733"/>
        <w:spacing w:after="0"/>
        <w:tabs>
          <w:tab w:leader="none" w:pos="1353"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color w:val="auto"/>
        </w:rPr>
        <w:t>With respect to each [****], the [****] upon execution of this SA-21 is [****] of the [****] specified in Table</w:t>
      </w:r>
    </w:p>
    <w:p>
      <w:pPr>
        <w:ind w:left="73"/>
        <w:spacing w:after="0"/>
        <w:rPr>
          <w:sz w:val="20"/>
          <w:szCs w:val="20"/>
          <w:color w:val="auto"/>
        </w:rPr>
      </w:pPr>
      <w:r>
        <w:rPr>
          <w:rFonts w:ascii="Arial" w:cs="Arial" w:eastAsia="Arial" w:hAnsi="Arial"/>
          <w:sz w:val="22"/>
          <w:szCs w:val="22"/>
          <w:color w:val="auto"/>
        </w:rPr>
        <w:t>1-4 to the Purchase Agreement for the [****]; and</w:t>
      </w:r>
    </w:p>
    <w:p>
      <w:pPr>
        <w:spacing w:after="0" w:line="34" w:lineRule="exact"/>
        <w:rPr>
          <w:sz w:val="20"/>
          <w:szCs w:val="20"/>
          <w:color w:val="auto"/>
        </w:rPr>
      </w:pPr>
    </w:p>
    <w:p>
      <w:pPr>
        <w:ind w:left="733"/>
        <w:spacing w:after="0"/>
        <w:tabs>
          <w:tab w:leader="none" w:pos="1253"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With respect to each [****], the [****] upon execution of this SA-21 is [****] of the [****] specified in Table</w:t>
      </w:r>
    </w:p>
    <w:p>
      <w:pPr>
        <w:ind w:left="73"/>
        <w:spacing w:after="0"/>
        <w:rPr>
          <w:sz w:val="20"/>
          <w:szCs w:val="20"/>
          <w:color w:val="auto"/>
        </w:rPr>
      </w:pPr>
      <w:r>
        <w:rPr>
          <w:rFonts w:ascii="Arial" w:cs="Arial" w:eastAsia="Arial" w:hAnsi="Arial"/>
          <w:sz w:val="22"/>
          <w:szCs w:val="22"/>
          <w:color w:val="auto"/>
        </w:rPr>
        <w:t>1-4 to the Purchase Agreement for the [****].</w:t>
      </w:r>
    </w:p>
    <w:p>
      <w:pPr>
        <w:spacing w:after="0" w:line="169" w:lineRule="exact"/>
        <w:rPr>
          <w:sz w:val="20"/>
          <w:szCs w:val="20"/>
          <w:color w:val="auto"/>
        </w:rPr>
      </w:pPr>
    </w:p>
    <w:p>
      <w:pPr>
        <w:ind w:left="733"/>
        <w:spacing w:after="0"/>
        <w:tabs>
          <w:tab w:leader="none" w:pos="1313"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color w:val="auto"/>
        </w:rPr>
        <w:t>With respect to each [****], [****] upon execution of this SA-21 as specified in [****].</w:t>
      </w:r>
    </w:p>
    <w:p>
      <w:pPr>
        <w:ind w:left="713" w:hanging="713"/>
        <w:spacing w:after="0"/>
        <w:tabs>
          <w:tab w:leader="none" w:pos="713"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59" w:lineRule="exact"/>
        <w:rPr>
          <w:sz w:val="20"/>
          <w:szCs w:val="20"/>
          <w:color w:val="auto"/>
        </w:rPr>
      </w:pPr>
    </w:p>
    <w:p>
      <w:pPr>
        <w:jc w:val="both"/>
        <w:ind w:left="73" w:firstLine="648"/>
        <w:spacing w:after="0" w:line="226" w:lineRule="auto"/>
        <w:rPr>
          <w:sz w:val="20"/>
          <w:szCs w:val="20"/>
          <w:color w:val="auto"/>
        </w:rPr>
      </w:pPr>
      <w:r>
        <w:rPr>
          <w:rFonts w:ascii="Arial" w:cs="Arial" w:eastAsia="Arial" w:hAnsi="Arial"/>
          <w:sz w:val="22"/>
          <w:szCs w:val="22"/>
          <w:color w:val="auto"/>
        </w:rPr>
        <w:t>5.1 The Purchase Agreement is amended and supplemented as set forth above by the revised Table Of Contents, Table 1-4, the [****], the [****], the [****], and the [****]. All other terms and conditions of the Purchase Agreement remain unchanged and are in full force and effect.</w:t>
      </w:r>
    </w:p>
    <w:p>
      <w:pPr>
        <w:spacing w:after="0" w:line="149" w:lineRule="exact"/>
        <w:rPr>
          <w:sz w:val="20"/>
          <w:szCs w:val="20"/>
          <w:color w:val="auto"/>
        </w:rPr>
      </w:pPr>
    </w:p>
    <w:p>
      <w:pPr>
        <w:jc w:val="both"/>
        <w:ind w:left="73" w:firstLine="648"/>
        <w:spacing w:after="0" w:line="215" w:lineRule="auto"/>
        <w:rPr>
          <w:sz w:val="20"/>
          <w:szCs w:val="20"/>
          <w:color w:val="auto"/>
        </w:rPr>
      </w:pPr>
      <w:r>
        <w:rPr>
          <w:rFonts w:ascii="Arial" w:cs="Arial" w:eastAsia="Arial" w:hAnsi="Arial"/>
          <w:sz w:val="22"/>
          <w:szCs w:val="22"/>
          <w:color w:val="auto"/>
        </w:rPr>
        <w:t>5.2 References in the Purchase Agreement and any supplemental agreements and associated letter agreements to “Table 1” or “Table 1R2” or “Table 1R3”, or “Table1R4 and Table 1-2” or “Table 1(R4) and Table 1-2”, “Table 1R5 and Table 1-2”, “Table 1R6, Table 1-2, and Table 1-3”, “Table 1R7, Table 1-2, and Table 1-3R1”,“Table 1R8, Table 1-2, and Table 1-3R2”, “Table 1R9, Table 1-2, and Table 1-3R3”, “Table 1R10, Table 1-2, and Table 1-3R4”, “Table 1R11, Table 1-2, and Table 1-3R5”, “Table 1R12, Table 1-2 and Table 1-3R6” are deemed to refer to “Table 1R12, Table 1-2, Table 1-3R6, and Table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3"/>
        <w:spacing w:after="0"/>
        <w:tabs>
          <w:tab w:leader="none" w:pos="123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SA-21, Page 3</w:t>
      </w:r>
    </w:p>
    <w:p>
      <w:pPr>
        <w:jc w:val="center"/>
        <w:ind w:right="-72"/>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313"/>
          </w:cols>
          <w:pgMar w:left="247" w:top="1440" w:right="33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1"/>
          <w:szCs w:val="21"/>
          <w:color w:val="auto"/>
        </w:rPr>
        <w:t>References in the Purchase Agreement and any supplemental agreements and associated letter agreements to “Table 1R4” or “Table 1R5” (where no corresponding reference to Table 1-2 is made) are deemed to refer to “Table 1R12</w:t>
      </w:r>
    </w:p>
    <w:p>
      <w:pPr>
        <w:spacing w:after="0" w:line="213" w:lineRule="auto"/>
        <w:rPr>
          <w:sz w:val="20"/>
          <w:szCs w:val="20"/>
          <w:color w:val="auto"/>
        </w:rPr>
      </w:pPr>
      <w:r>
        <w:rPr>
          <w:rFonts w:ascii="Arial" w:cs="Arial" w:eastAsia="Arial" w:hAnsi="Arial"/>
          <w:sz w:val="20"/>
          <w:szCs w:val="20"/>
          <w:color w:val="auto"/>
        </w:rPr>
        <w:t>and Table 1-3R6”, (including without limitation, and for the avoidance of doubt, the references to Table 1R4 in Section 3 of</w:t>
      </w:r>
    </w:p>
    <w:p>
      <w:pPr>
        <w:jc w:val="both"/>
        <w:spacing w:after="0" w:line="207" w:lineRule="auto"/>
        <w:rPr>
          <w:sz w:val="20"/>
          <w:szCs w:val="20"/>
          <w:color w:val="auto"/>
        </w:rPr>
      </w:pPr>
      <w:r>
        <w:rPr>
          <w:rFonts w:ascii="Arial" w:cs="Arial" w:eastAsia="Arial" w:hAnsi="Arial"/>
          <w:sz w:val="21"/>
          <w:szCs w:val="21"/>
          <w:color w:val="auto"/>
        </w:rPr>
        <w:t>Supplemental Agreement No. 9 dated April 6, 2018). However, references in the Purchase Agreement to Table 1R5 in Letter Agreement AAL-PA-LA-1106650R4 entitled “[****]” is deemed to only refer to Table 1R12 and the references to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Table 1R5 in the Slide Letter Agreement remain references to Table 1R5.</w:t>
      </w:r>
    </w:p>
    <w:p>
      <w:pPr>
        <w:spacing w:after="0" w:line="19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References in the Purchase Agreement and any supplemental agreements and associated letter agreements to “Table 1R6”, “Table 1R7”, “Table 1R8”, “Table 1R9”, “Table 1R10” or “Table 1R11” (where no corresponding reference to either Table 1-2 or Table 1-3 is made) are deemed to refer to only “Table 1R12”.</w:t>
      </w:r>
    </w:p>
    <w:p>
      <w:pPr>
        <w:spacing w:after="0" w:line="16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Additionally, for the avoidance of doubt, references in the Purchase Agreement and any supplemental agreements and associated letter agreements to “Table 1-2” (where no corresponding reference to Table 1R4 or Table 1R5 is made) remain references to “Table 1-2”.</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5.3 References in the Purchase Agreement and any supplemental agreements and associated letter agreements to the tables, exhibits, supplemental exhibits and letter agreements listed in the left column of the below table shall be deemed to refer to the corresponding revised versions of the tables, exhibits, supplemental exhibits and letter agreements listed in the right column of the below table.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200" w:type="dxa"/>
            <w:vAlign w:val="bottom"/>
            <w:tcBorders>
              <w:top w:val="single" w:sz="8" w:color="auto"/>
              <w:left w:val="single" w:sz="8" w:color="auto"/>
            </w:tcBorders>
            <w:gridSpan w:val="4"/>
          </w:tcPr>
          <w:p>
            <w:pPr>
              <w:ind w:left="40"/>
              <w:spacing w:after="0"/>
              <w:rPr>
                <w:sz w:val="20"/>
                <w:szCs w:val="20"/>
                <w:color w:val="auto"/>
              </w:rPr>
            </w:pPr>
            <w:r>
              <w:rPr>
                <w:rFonts w:ascii="Arial" w:cs="Arial" w:eastAsia="Arial" w:hAnsi="Arial"/>
                <w:sz w:val="22"/>
                <w:szCs w:val="22"/>
                <w:color w:val="auto"/>
              </w:rPr>
              <w:t>Reference</w:t>
            </w:r>
          </w:p>
        </w:tc>
        <w:tc>
          <w:tcPr>
            <w:tcW w:w="2760" w:type="dxa"/>
            <w:vAlign w:val="bottom"/>
            <w:tcBorders>
              <w:top w:val="single" w:sz="8" w:color="auto"/>
              <w:right w:val="single" w:sz="8" w:color="auto"/>
            </w:tcBorders>
          </w:tcPr>
          <w:p>
            <w:pPr>
              <w:spacing w:after="0"/>
              <w:rPr>
                <w:sz w:val="24"/>
                <w:szCs w:val="24"/>
                <w:color w:val="auto"/>
              </w:rPr>
            </w:pPr>
          </w:p>
        </w:tc>
        <w:tc>
          <w:tcPr>
            <w:tcW w:w="49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Replacement Reference</w:t>
            </w:r>
          </w:p>
        </w:tc>
      </w:tr>
      <w:tr>
        <w:trPr>
          <w:trHeight w:val="115"/>
        </w:trPr>
        <w:tc>
          <w:tcPr>
            <w:tcW w:w="40" w:type="dxa"/>
            <w:vAlign w:val="bottom"/>
            <w:tcBorders>
              <w:left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20" w:type="dxa"/>
            <w:vAlign w:val="bottom"/>
            <w:tcBorders>
              <w:top w:val="single" w:sz="8" w:color="auto"/>
              <w:bottom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r>
        <w:trPr>
          <w:trHeight w:val="345"/>
        </w:trPr>
        <w:tc>
          <w:tcPr>
            <w:tcW w:w="780" w:type="dxa"/>
            <w:vAlign w:val="bottom"/>
            <w:tcBorders>
              <w:left w:val="single" w:sz="8" w:color="auto"/>
            </w:tcBorders>
            <w:gridSpan w:val="2"/>
          </w:tcPr>
          <w:p>
            <w:pPr>
              <w:ind w:left="40"/>
              <w:spacing w:after="0"/>
              <w:rPr>
                <w:sz w:val="20"/>
                <w:szCs w:val="20"/>
                <w:color w:val="auto"/>
              </w:rPr>
            </w:pPr>
            <w:r>
              <w:rPr>
                <w:rFonts w:ascii="Arial" w:cs="Arial" w:eastAsia="Arial" w:hAnsi="Arial"/>
                <w:sz w:val="22"/>
                <w:szCs w:val="22"/>
                <w:color w:val="auto"/>
              </w:rPr>
              <w:t>Letter</w:t>
            </w:r>
          </w:p>
        </w:tc>
        <w:tc>
          <w:tcPr>
            <w:tcW w:w="1420" w:type="dxa"/>
            <w:vAlign w:val="bottom"/>
            <w:gridSpan w:val="2"/>
          </w:tcPr>
          <w:p>
            <w:pPr>
              <w:ind w:left="180"/>
              <w:spacing w:after="0"/>
              <w:rPr>
                <w:sz w:val="20"/>
                <w:szCs w:val="20"/>
                <w:color w:val="auto"/>
              </w:rPr>
            </w:pPr>
            <w:r>
              <w:rPr>
                <w:rFonts w:ascii="Arial" w:cs="Arial" w:eastAsia="Arial" w:hAnsi="Arial"/>
                <w:sz w:val="22"/>
                <w:szCs w:val="22"/>
                <w:color w:val="auto"/>
              </w:rPr>
              <w:t>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365"/>
        </w:trPr>
        <w:tc>
          <w:tcPr>
            <w:tcW w:w="40" w:type="dxa"/>
            <w:vAlign w:val="bottom"/>
            <w:tcBorders>
              <w:left w:val="single" w:sz="8" w:color="auto"/>
            </w:tcBorders>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1106650R4</w:t>
            </w: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1106650R5</w:t>
            </w:r>
          </w:p>
        </w:tc>
      </w:tr>
      <w:tr>
        <w:trPr>
          <w:trHeight w:val="94"/>
        </w:trPr>
        <w:tc>
          <w:tcPr>
            <w:tcW w:w="40" w:type="dxa"/>
            <w:vAlign w:val="bottom"/>
            <w:tcBorders>
              <w:left w:val="single" w:sz="8" w:color="auto"/>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76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640" w:type="dxa"/>
            <w:vAlign w:val="bottom"/>
            <w:tcBorders>
              <w:bottom w:val="single" w:sz="8" w:color="auto"/>
              <w:right w:val="single" w:sz="8" w:color="auto"/>
            </w:tcBorders>
          </w:tcPr>
          <w:p>
            <w:pPr>
              <w:spacing w:after="0"/>
              <w:rPr>
                <w:sz w:val="8"/>
                <w:szCs w:val="8"/>
                <w:color w:val="auto"/>
              </w:rPr>
            </w:pPr>
          </w:p>
        </w:tc>
      </w:tr>
      <w:tr>
        <w:trPr>
          <w:trHeight w:val="345"/>
        </w:trPr>
        <w:tc>
          <w:tcPr>
            <w:tcW w:w="780" w:type="dxa"/>
            <w:vAlign w:val="bottom"/>
            <w:tcBorders>
              <w:left w:val="single" w:sz="8" w:color="auto"/>
            </w:tcBorders>
            <w:gridSpan w:val="2"/>
          </w:tcPr>
          <w:p>
            <w:pPr>
              <w:ind w:left="40"/>
              <w:spacing w:after="0"/>
              <w:rPr>
                <w:sz w:val="20"/>
                <w:szCs w:val="20"/>
                <w:color w:val="auto"/>
              </w:rPr>
            </w:pPr>
            <w:r>
              <w:rPr>
                <w:rFonts w:ascii="Arial" w:cs="Arial" w:eastAsia="Arial" w:hAnsi="Arial"/>
                <w:sz w:val="22"/>
                <w:szCs w:val="22"/>
                <w:color w:val="auto"/>
              </w:rPr>
              <w:t>Letter</w:t>
            </w:r>
          </w:p>
        </w:tc>
        <w:tc>
          <w:tcPr>
            <w:tcW w:w="1420" w:type="dxa"/>
            <w:vAlign w:val="bottom"/>
            <w:gridSpan w:val="2"/>
          </w:tcPr>
          <w:p>
            <w:pPr>
              <w:ind w:left="180"/>
              <w:spacing w:after="0"/>
              <w:rPr>
                <w:sz w:val="20"/>
                <w:szCs w:val="20"/>
                <w:color w:val="auto"/>
              </w:rPr>
            </w:pPr>
            <w:r>
              <w:rPr>
                <w:rFonts w:ascii="Arial" w:cs="Arial" w:eastAsia="Arial" w:hAnsi="Arial"/>
                <w:sz w:val="22"/>
                <w:szCs w:val="22"/>
                <w:color w:val="auto"/>
              </w:rPr>
              <w:t>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365"/>
        </w:trPr>
        <w:tc>
          <w:tcPr>
            <w:tcW w:w="40" w:type="dxa"/>
            <w:vAlign w:val="bottom"/>
            <w:tcBorders>
              <w:left w:val="single" w:sz="8" w:color="auto"/>
            </w:tcBorders>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1106651R2</w:t>
            </w: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1106651R3</w:t>
            </w:r>
          </w:p>
        </w:tc>
      </w:tr>
      <w:tr>
        <w:trPr>
          <w:trHeight w:val="94"/>
        </w:trPr>
        <w:tc>
          <w:tcPr>
            <w:tcW w:w="40" w:type="dxa"/>
            <w:vAlign w:val="bottom"/>
            <w:tcBorders>
              <w:left w:val="single" w:sz="8" w:color="auto"/>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76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640" w:type="dxa"/>
            <w:vAlign w:val="bottom"/>
            <w:tcBorders>
              <w:bottom w:val="single" w:sz="8" w:color="auto"/>
              <w:right w:val="single" w:sz="8" w:color="auto"/>
            </w:tcBorders>
          </w:tcPr>
          <w:p>
            <w:pPr>
              <w:spacing w:after="0"/>
              <w:rPr>
                <w:sz w:val="8"/>
                <w:szCs w:val="8"/>
                <w:color w:val="auto"/>
              </w:rPr>
            </w:pPr>
          </w:p>
        </w:tc>
      </w:tr>
      <w:tr>
        <w:trPr>
          <w:trHeight w:val="345"/>
        </w:trPr>
        <w:tc>
          <w:tcPr>
            <w:tcW w:w="780" w:type="dxa"/>
            <w:vAlign w:val="bottom"/>
            <w:tcBorders>
              <w:left w:val="single" w:sz="8" w:color="auto"/>
            </w:tcBorders>
            <w:gridSpan w:val="2"/>
          </w:tcPr>
          <w:p>
            <w:pPr>
              <w:ind w:left="40"/>
              <w:spacing w:after="0"/>
              <w:rPr>
                <w:sz w:val="20"/>
                <w:szCs w:val="20"/>
                <w:color w:val="auto"/>
              </w:rPr>
            </w:pPr>
            <w:r>
              <w:rPr>
                <w:rFonts w:ascii="Arial" w:cs="Arial" w:eastAsia="Arial" w:hAnsi="Arial"/>
                <w:sz w:val="22"/>
                <w:szCs w:val="22"/>
                <w:color w:val="auto"/>
              </w:rPr>
              <w:t>Letter</w:t>
            </w:r>
          </w:p>
        </w:tc>
        <w:tc>
          <w:tcPr>
            <w:tcW w:w="1420" w:type="dxa"/>
            <w:vAlign w:val="bottom"/>
            <w:gridSpan w:val="2"/>
          </w:tcPr>
          <w:p>
            <w:pPr>
              <w:ind w:left="180"/>
              <w:spacing w:after="0"/>
              <w:rPr>
                <w:sz w:val="20"/>
                <w:szCs w:val="20"/>
                <w:color w:val="auto"/>
              </w:rPr>
            </w:pPr>
            <w:r>
              <w:rPr>
                <w:rFonts w:ascii="Arial" w:cs="Arial" w:eastAsia="Arial" w:hAnsi="Arial"/>
                <w:sz w:val="22"/>
                <w:szCs w:val="22"/>
                <w:color w:val="auto"/>
              </w:rPr>
              <w:t>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364"/>
        </w:trPr>
        <w:tc>
          <w:tcPr>
            <w:tcW w:w="40" w:type="dxa"/>
            <w:vAlign w:val="bottom"/>
            <w:tcBorders>
              <w:left w:val="single" w:sz="8" w:color="auto"/>
            </w:tcBorders>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1106651R3</w:t>
            </w: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1106651R4</w:t>
            </w:r>
          </w:p>
        </w:tc>
      </w:tr>
      <w:tr>
        <w:trPr>
          <w:trHeight w:val="94"/>
        </w:trPr>
        <w:tc>
          <w:tcPr>
            <w:tcW w:w="40" w:type="dxa"/>
            <w:vAlign w:val="bottom"/>
            <w:tcBorders>
              <w:left w:val="single" w:sz="8" w:color="auto"/>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76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640" w:type="dxa"/>
            <w:vAlign w:val="bottom"/>
            <w:tcBorders>
              <w:bottom w:val="single" w:sz="8" w:color="auto"/>
              <w:right w:val="single" w:sz="8" w:color="auto"/>
            </w:tcBorders>
          </w:tcPr>
          <w:p>
            <w:pPr>
              <w:spacing w:after="0"/>
              <w:rPr>
                <w:sz w:val="8"/>
                <w:szCs w:val="8"/>
                <w:color w:val="auto"/>
              </w:rPr>
            </w:pPr>
          </w:p>
        </w:tc>
      </w:tr>
      <w:tr>
        <w:trPr>
          <w:trHeight w:val="345"/>
        </w:trPr>
        <w:tc>
          <w:tcPr>
            <w:tcW w:w="780" w:type="dxa"/>
            <w:vAlign w:val="bottom"/>
            <w:tcBorders>
              <w:left w:val="single" w:sz="8" w:color="auto"/>
            </w:tcBorders>
            <w:gridSpan w:val="2"/>
          </w:tcPr>
          <w:p>
            <w:pPr>
              <w:ind w:left="40"/>
              <w:spacing w:after="0"/>
              <w:rPr>
                <w:sz w:val="20"/>
                <w:szCs w:val="20"/>
                <w:color w:val="auto"/>
              </w:rPr>
            </w:pPr>
            <w:r>
              <w:rPr>
                <w:rFonts w:ascii="Arial" w:cs="Arial" w:eastAsia="Arial" w:hAnsi="Arial"/>
                <w:sz w:val="22"/>
                <w:szCs w:val="22"/>
                <w:color w:val="auto"/>
              </w:rPr>
              <w:t>Letter</w:t>
            </w:r>
          </w:p>
        </w:tc>
        <w:tc>
          <w:tcPr>
            <w:tcW w:w="1420" w:type="dxa"/>
            <w:vAlign w:val="bottom"/>
            <w:gridSpan w:val="2"/>
          </w:tcPr>
          <w:p>
            <w:pPr>
              <w:ind w:left="180"/>
              <w:spacing w:after="0"/>
              <w:rPr>
                <w:sz w:val="20"/>
                <w:szCs w:val="20"/>
                <w:color w:val="auto"/>
              </w:rPr>
            </w:pPr>
            <w:r>
              <w:rPr>
                <w:rFonts w:ascii="Arial" w:cs="Arial" w:eastAsia="Arial" w:hAnsi="Arial"/>
                <w:sz w:val="22"/>
                <w:szCs w:val="22"/>
                <w:color w:val="auto"/>
              </w:rPr>
              <w:t>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365"/>
        </w:trPr>
        <w:tc>
          <w:tcPr>
            <w:tcW w:w="40" w:type="dxa"/>
            <w:vAlign w:val="bottom"/>
            <w:tcBorders>
              <w:left w:val="single" w:sz="8" w:color="auto"/>
            </w:tcBorders>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1106659R2</w:t>
            </w: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1106659R3</w:t>
            </w:r>
          </w:p>
        </w:tc>
      </w:tr>
      <w:tr>
        <w:trPr>
          <w:trHeight w:val="94"/>
        </w:trPr>
        <w:tc>
          <w:tcPr>
            <w:tcW w:w="40" w:type="dxa"/>
            <w:vAlign w:val="bottom"/>
            <w:tcBorders>
              <w:left w:val="single" w:sz="8" w:color="auto"/>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760" w:type="dxa"/>
            <w:vAlign w:val="bottom"/>
            <w:tcBorders>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640" w:type="dxa"/>
            <w:vAlign w:val="bottom"/>
            <w:tcBorders>
              <w:bottom w:val="single" w:sz="8" w:color="auto"/>
              <w:right w:val="single" w:sz="8" w:color="auto"/>
            </w:tcBorders>
          </w:tcPr>
          <w:p>
            <w:pPr>
              <w:spacing w:after="0"/>
              <w:rPr>
                <w:sz w:val="8"/>
                <w:szCs w:val="8"/>
                <w:color w:val="auto"/>
              </w:rPr>
            </w:pPr>
          </w:p>
        </w:tc>
      </w:tr>
    </w:tbl>
    <w:p>
      <w:pPr>
        <w:spacing w:after="0" w:line="257"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5.4 The parties agree that this SA-21 constitutes the “Limited Scope Supplemental Agreement” as defined in the [****] with respect to the[****] and the [****].</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SA-21, Page 4</w:t>
      </w: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January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SA-21, Page 5</w:t>
      </w: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10" w:name="page111"/>
    <w:bookmarkEnd w:id="110"/>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TABLE OF CONTENTS</w:t>
      </w:r>
    </w:p>
    <w:p>
      <w:pPr>
        <w:sectPr>
          <w:pgSz w:w="11900" w:h="16838" w:orient="portrait"/>
          <w:cols w:equalWidth="0" w:num="1">
            <w:col w:w="9019"/>
          </w:cols>
          <w:pgMar w:left="1440" w:top="1440"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22"/>
          <w:szCs w:val="22"/>
          <w:b w:val="1"/>
          <w:bCs w:val="1"/>
          <w:u w:val="single" w:color="auto"/>
          <w:color w:val="auto"/>
        </w:rPr>
        <w:t>ARTICLES</w:t>
      </w:r>
    </w:p>
    <w:p>
      <w:pPr>
        <w:spacing w:after="0" w:line="370"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1.</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2.</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3.</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4.</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5.</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6.</w:t>
      </w:r>
    </w:p>
    <w:p>
      <w:pPr>
        <w:spacing w:after="0" w:line="258" w:lineRule="exact"/>
        <w:rPr>
          <w:sz w:val="20"/>
          <w:szCs w:val="20"/>
          <w:color w:val="auto"/>
        </w:rPr>
      </w:pPr>
    </w:p>
    <w:p>
      <w:pPr>
        <w:ind w:left="60"/>
        <w:spacing w:after="0"/>
        <w:rPr>
          <w:sz w:val="20"/>
          <w:szCs w:val="20"/>
          <w:color w:val="auto"/>
        </w:rPr>
      </w:pPr>
      <w:r>
        <w:rPr>
          <w:rFonts w:ascii="Arial" w:cs="Arial" w:eastAsia="Arial" w:hAnsi="Arial"/>
          <w:sz w:val="22"/>
          <w:szCs w:val="22"/>
          <w:b w:val="1"/>
          <w:bCs w:val="1"/>
          <w:u w:val="single" w:color="auto"/>
          <w:color w:val="auto"/>
        </w:rPr>
        <w:t>TABLE</w:t>
      </w:r>
    </w:p>
    <w:p>
      <w:pPr>
        <w:spacing w:after="0" w:line="83" w:lineRule="exact"/>
        <w:rPr>
          <w:sz w:val="20"/>
          <w:szCs w:val="20"/>
          <w:color w:val="auto"/>
        </w:rPr>
      </w:pPr>
    </w:p>
    <w:p>
      <w:pPr>
        <w:jc w:val="center"/>
        <w:ind w:left="620"/>
        <w:spacing w:after="0"/>
        <w:rPr>
          <w:sz w:val="20"/>
          <w:szCs w:val="20"/>
          <w:color w:val="auto"/>
        </w:rPr>
      </w:pPr>
      <w:r>
        <w:rPr>
          <w:rFonts w:ascii="Arial" w:cs="Arial" w:eastAsia="Arial" w:hAnsi="Arial"/>
          <w:sz w:val="22"/>
          <w:szCs w:val="22"/>
          <w:color w:val="auto"/>
        </w:rPr>
        <w:t>1R12</w:t>
      </w:r>
    </w:p>
    <w:p>
      <w:pPr>
        <w:jc w:val="center"/>
        <w:ind w:left="620"/>
        <w:spacing w:after="0" w:line="204" w:lineRule="auto"/>
        <w:rPr>
          <w:sz w:val="20"/>
          <w:szCs w:val="20"/>
          <w:color w:val="auto"/>
        </w:rPr>
      </w:pPr>
      <w:r>
        <w:rPr>
          <w:rFonts w:ascii="Arial" w:cs="Arial" w:eastAsia="Arial" w:hAnsi="Arial"/>
          <w:sz w:val="22"/>
          <w:szCs w:val="22"/>
          <w:color w:val="auto"/>
        </w:rPr>
        <w:t>1-2</w:t>
      </w:r>
    </w:p>
    <w:p>
      <w:pPr>
        <w:spacing w:after="0" w:line="1" w:lineRule="exact"/>
        <w:rPr>
          <w:sz w:val="20"/>
          <w:szCs w:val="20"/>
          <w:color w:val="auto"/>
        </w:rPr>
      </w:pPr>
    </w:p>
    <w:p>
      <w:pPr>
        <w:jc w:val="center"/>
        <w:ind w:left="620"/>
        <w:spacing w:after="0"/>
        <w:rPr>
          <w:sz w:val="20"/>
          <w:szCs w:val="20"/>
          <w:color w:val="auto"/>
        </w:rPr>
      </w:pPr>
      <w:r>
        <w:rPr>
          <w:rFonts w:ascii="Arial" w:cs="Arial" w:eastAsia="Arial" w:hAnsi="Arial"/>
          <w:sz w:val="22"/>
          <w:szCs w:val="22"/>
          <w:color w:val="auto"/>
        </w:rPr>
        <w:t>1-3R6</w:t>
      </w:r>
    </w:p>
    <w:p>
      <w:pPr>
        <w:spacing w:after="0" w:line="184" w:lineRule="exact"/>
        <w:rPr>
          <w:sz w:val="20"/>
          <w:szCs w:val="20"/>
          <w:color w:val="auto"/>
        </w:rPr>
      </w:pPr>
    </w:p>
    <w:p>
      <w:pPr>
        <w:jc w:val="center"/>
        <w:ind w:left="620"/>
        <w:spacing w:after="0"/>
        <w:rPr>
          <w:sz w:val="20"/>
          <w:szCs w:val="20"/>
          <w:color w:val="auto"/>
        </w:rPr>
      </w:pPr>
      <w:r>
        <w:rPr>
          <w:rFonts w:ascii="Arial" w:cs="Arial" w:eastAsia="Arial" w:hAnsi="Arial"/>
          <w:sz w:val="22"/>
          <w:szCs w:val="22"/>
          <w:b w:val="1"/>
          <w:bCs w:val="1"/>
          <w:color w:val="auto"/>
        </w:rPr>
        <w:t>1-4</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8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AR1</w:t>
      </w:r>
    </w:p>
    <w:p>
      <w:pPr>
        <w:ind w:left="1060"/>
        <w:spacing w:after="0"/>
        <w:rPr>
          <w:sz w:val="20"/>
          <w:szCs w:val="20"/>
          <w:color w:val="auto"/>
        </w:rPr>
      </w:pPr>
      <w:r>
        <w:rPr>
          <w:rFonts w:ascii="Arial" w:cs="Arial" w:eastAsia="Arial" w:hAnsi="Arial"/>
          <w:sz w:val="22"/>
          <w:szCs w:val="22"/>
          <w:color w:val="auto"/>
        </w:rPr>
        <w:t>A2</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B.</w:t>
      </w:r>
    </w:p>
    <w:p>
      <w:pPr>
        <w:spacing w:after="0" w:line="166" w:lineRule="exact"/>
        <w:rPr>
          <w:sz w:val="20"/>
          <w:szCs w:val="20"/>
          <w:color w:val="auto"/>
        </w:rPr>
      </w:pPr>
    </w:p>
    <w:p>
      <w:pPr>
        <w:jc w:val="center"/>
        <w:ind w:left="620"/>
        <w:spacing w:after="0"/>
        <w:rPr>
          <w:sz w:val="20"/>
          <w:szCs w:val="20"/>
          <w:color w:val="auto"/>
        </w:rPr>
      </w:pPr>
      <w:r>
        <w:rPr>
          <w:rFonts w:ascii="Arial" w:cs="Arial" w:eastAsia="Arial" w:hAnsi="Arial"/>
          <w:sz w:val="22"/>
          <w:szCs w:val="22"/>
          <w:color w:val="auto"/>
        </w:rPr>
        <w:t>C.</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75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8"/>
              </w:rPr>
              <w:t>SA</w:t>
            </w:r>
          </w:p>
        </w:tc>
      </w:tr>
      <w:tr>
        <w:trPr>
          <w:trHeight w:val="230"/>
        </w:trPr>
        <w:tc>
          <w:tcPr>
            <w:tcW w:w="7540" w:type="dxa"/>
            <w:vAlign w:val="bottom"/>
          </w:tcPr>
          <w:p>
            <w:pPr>
              <w:spacing w:after="0"/>
              <w:rPr>
                <w:sz w:val="19"/>
                <w:szCs w:val="19"/>
                <w:color w:val="auto"/>
              </w:rPr>
            </w:pPr>
          </w:p>
        </w:tc>
        <w:tc>
          <w:tcPr>
            <w:tcW w:w="960" w:type="dxa"/>
            <w:vAlign w:val="bottom"/>
            <w:tcBorders>
              <w:bottom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9"/>
              </w:rPr>
              <w:t>NUMBER</w:t>
            </w:r>
          </w:p>
        </w:tc>
      </w:tr>
      <w:tr>
        <w:trPr>
          <w:trHeight w:val="440"/>
        </w:trPr>
        <w:tc>
          <w:tcPr>
            <w:tcW w:w="7540" w:type="dxa"/>
            <w:vAlign w:val="bottom"/>
          </w:tcPr>
          <w:p>
            <w:pPr>
              <w:spacing w:after="0"/>
              <w:rPr>
                <w:sz w:val="20"/>
                <w:szCs w:val="20"/>
                <w:color w:val="auto"/>
              </w:rPr>
            </w:pPr>
            <w:r>
              <w:rPr>
                <w:rFonts w:ascii="Arial" w:cs="Arial" w:eastAsia="Arial" w:hAnsi="Arial"/>
                <w:sz w:val="22"/>
                <w:szCs w:val="22"/>
                <w:color w:val="auto"/>
              </w:rPr>
              <w:t>Quantity, Model and Description</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Delivery Schedule</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Price</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Payment</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Additional Terms</w:t>
            </w:r>
          </w:p>
        </w:tc>
        <w:tc>
          <w:tcPr>
            <w:tcW w:w="960" w:type="dxa"/>
            <w:vAlign w:val="bottom"/>
          </w:tcPr>
          <w:p>
            <w:pPr>
              <w:spacing w:after="0"/>
              <w:rPr>
                <w:sz w:val="24"/>
                <w:szCs w:val="24"/>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22"/>
                <w:szCs w:val="22"/>
                <w:color w:val="auto"/>
              </w:rPr>
              <w:t>Confidentiality</w:t>
            </w:r>
          </w:p>
        </w:tc>
        <w:tc>
          <w:tcPr>
            <w:tcW w:w="960" w:type="dxa"/>
            <w:vAlign w:val="bottom"/>
          </w:tcPr>
          <w:p>
            <w:pPr>
              <w:spacing w:after="0"/>
              <w:rPr>
                <w:sz w:val="24"/>
                <w:szCs w:val="24"/>
                <w:color w:val="auto"/>
              </w:rPr>
            </w:pPr>
          </w:p>
        </w:tc>
      </w:tr>
      <w:tr>
        <w:trPr>
          <w:trHeight w:val="716"/>
        </w:trPr>
        <w:tc>
          <w:tcPr>
            <w:tcW w:w="7540" w:type="dxa"/>
            <w:vAlign w:val="bottom"/>
          </w:tcPr>
          <w:p>
            <w:pPr>
              <w:spacing w:after="0"/>
              <w:rPr>
                <w:sz w:val="20"/>
                <w:szCs w:val="20"/>
                <w:color w:val="auto"/>
              </w:rPr>
            </w:pPr>
            <w:r>
              <w:rPr>
                <w:rFonts w:ascii="Arial" w:cs="Arial" w:eastAsia="Arial" w:hAnsi="Arial"/>
                <w:sz w:val="22"/>
                <w:szCs w:val="22"/>
                <w:color w:val="auto"/>
              </w:rPr>
              <w:t>Aircraft Information Table</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19</w:t>
            </w:r>
          </w:p>
        </w:tc>
      </w:tr>
      <w:tr>
        <w:trPr>
          <w:trHeight w:val="216"/>
        </w:trPr>
        <w:tc>
          <w:tcPr>
            <w:tcW w:w="7540" w:type="dxa"/>
            <w:vAlign w:val="bottom"/>
          </w:tcPr>
          <w:p>
            <w:pPr>
              <w:spacing w:after="0" w:line="216" w:lineRule="exact"/>
              <w:rPr>
                <w:sz w:val="20"/>
                <w:szCs w:val="20"/>
                <w:color w:val="auto"/>
              </w:rPr>
            </w:pPr>
            <w:r>
              <w:rPr>
                <w:rFonts w:ascii="Arial" w:cs="Arial" w:eastAsia="Arial" w:hAnsi="Arial"/>
                <w:sz w:val="22"/>
                <w:szCs w:val="22"/>
                <w:color w:val="auto"/>
              </w:rPr>
              <w:t>Revised Delivery Aircraft Information Table</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9</w:t>
            </w:r>
          </w:p>
        </w:tc>
      </w:tr>
      <w:tr>
        <w:trPr>
          <w:trHeight w:val="215"/>
        </w:trPr>
        <w:tc>
          <w:tcPr>
            <w:tcW w:w="7540" w:type="dxa"/>
            <w:vAlign w:val="bottom"/>
          </w:tcPr>
          <w:p>
            <w:pPr>
              <w:spacing w:after="0" w:line="216" w:lineRule="exact"/>
              <w:rPr>
                <w:sz w:val="20"/>
                <w:szCs w:val="20"/>
                <w:color w:val="auto"/>
              </w:rPr>
            </w:pPr>
            <w:r>
              <w:rPr>
                <w:rFonts w:ascii="Arial" w:cs="Arial" w:eastAsia="Arial" w:hAnsi="Arial"/>
                <w:sz w:val="22"/>
                <w:szCs w:val="22"/>
                <w:color w:val="auto"/>
              </w:rPr>
              <w:t>[****] Aircraft Delivery, Description, Price, and Advance Payments</w:t>
            </w:r>
          </w:p>
        </w:tc>
        <w:tc>
          <w:tcPr>
            <w:tcW w:w="960" w:type="dxa"/>
            <w:vAlign w:val="bottom"/>
          </w:tcPr>
          <w:p>
            <w:pPr>
              <w:jc w:val="center"/>
              <w:spacing w:after="0" w:line="216" w:lineRule="exact"/>
              <w:rPr>
                <w:sz w:val="20"/>
                <w:szCs w:val="20"/>
                <w:color w:val="auto"/>
              </w:rPr>
            </w:pPr>
            <w:r>
              <w:rPr>
                <w:rFonts w:ascii="Arial" w:cs="Arial" w:eastAsia="Arial" w:hAnsi="Arial"/>
                <w:sz w:val="22"/>
                <w:szCs w:val="22"/>
                <w:color w:val="auto"/>
                <w:w w:val="97"/>
              </w:rPr>
              <w:t>19</w:t>
            </w:r>
          </w:p>
        </w:tc>
      </w:tr>
      <w:tr>
        <w:trPr>
          <w:trHeight w:val="216"/>
        </w:trPr>
        <w:tc>
          <w:tcPr>
            <w:tcW w:w="7540" w:type="dxa"/>
            <w:vAlign w:val="bottom"/>
          </w:tcPr>
          <w:p>
            <w:pPr>
              <w:spacing w:after="0" w:line="216" w:lineRule="exact"/>
              <w:rPr>
                <w:sz w:val="20"/>
                <w:szCs w:val="20"/>
                <w:color w:val="auto"/>
              </w:rPr>
            </w:pPr>
            <w:r>
              <w:rPr>
                <w:rFonts w:ascii="Arial" w:cs="Arial" w:eastAsia="Arial" w:hAnsi="Arial"/>
                <w:sz w:val="22"/>
                <w:szCs w:val="22"/>
                <w:b w:val="1"/>
                <w:bCs w:val="1"/>
                <w:color w:val="auto"/>
              </w:rPr>
              <w:t xml:space="preserve">737-8 </w:t>
            </w:r>
            <w:r>
              <w:rPr>
                <w:rFonts w:ascii="Arial" w:cs="Arial" w:eastAsia="Arial" w:hAnsi="Arial"/>
                <w:sz w:val="22"/>
                <w:szCs w:val="22"/>
                <w:color w:val="auto"/>
              </w:rPr>
              <w:t>[****]</w:t>
            </w:r>
            <w:r>
              <w:rPr>
                <w:rFonts w:ascii="Arial" w:cs="Arial" w:eastAsia="Arial" w:hAnsi="Arial"/>
                <w:sz w:val="22"/>
                <w:szCs w:val="22"/>
                <w:b w:val="1"/>
                <w:bCs w:val="1"/>
                <w:color w:val="auto"/>
              </w:rPr>
              <w:t xml:space="preserve"> Aircraft Delivery, Description, Price, and Advance</w:t>
            </w:r>
          </w:p>
        </w:tc>
        <w:tc>
          <w:tcPr>
            <w:tcW w:w="960" w:type="dxa"/>
            <w:vAlign w:val="bottom"/>
          </w:tcPr>
          <w:p>
            <w:pPr>
              <w:spacing w:after="0"/>
              <w:rPr>
                <w:sz w:val="18"/>
                <w:szCs w:val="18"/>
                <w:color w:val="auto"/>
              </w:rPr>
            </w:pPr>
          </w:p>
        </w:tc>
      </w:tr>
      <w:tr>
        <w:trPr>
          <w:trHeight w:val="323"/>
        </w:trPr>
        <w:tc>
          <w:tcPr>
            <w:tcW w:w="7540" w:type="dxa"/>
            <w:vAlign w:val="bottom"/>
          </w:tcPr>
          <w:p>
            <w:pPr>
              <w:spacing w:after="0"/>
              <w:rPr>
                <w:sz w:val="20"/>
                <w:szCs w:val="20"/>
                <w:color w:val="auto"/>
              </w:rPr>
            </w:pPr>
            <w:r>
              <w:rPr>
                <w:rFonts w:ascii="Arial" w:cs="Arial" w:eastAsia="Arial" w:hAnsi="Arial"/>
                <w:sz w:val="22"/>
                <w:szCs w:val="22"/>
                <w:b w:val="1"/>
                <w:bCs w:val="1"/>
                <w:color w:val="auto"/>
              </w:rPr>
              <w:t>Payments</w:t>
            </w:r>
          </w:p>
        </w:tc>
        <w:tc>
          <w:tcPr>
            <w:tcW w:w="960" w:type="dxa"/>
            <w:vAlign w:val="bottom"/>
          </w:tcPr>
          <w:p>
            <w:pPr>
              <w:jc w:val="center"/>
              <w:spacing w:after="0"/>
              <w:rPr>
                <w:sz w:val="20"/>
                <w:szCs w:val="20"/>
                <w:color w:val="auto"/>
              </w:rPr>
            </w:pPr>
            <w:r>
              <w:rPr>
                <w:rFonts w:ascii="Arial" w:cs="Arial" w:eastAsia="Arial" w:hAnsi="Arial"/>
                <w:sz w:val="22"/>
                <w:szCs w:val="22"/>
                <w:b w:val="1"/>
                <w:bCs w:val="1"/>
                <w:color w:val="auto"/>
                <w:w w:val="97"/>
              </w:rPr>
              <w:t>21</w:t>
            </w:r>
          </w:p>
        </w:tc>
      </w:tr>
      <w:tr>
        <w:trPr>
          <w:trHeight w:val="623"/>
        </w:trPr>
        <w:tc>
          <w:tcPr>
            <w:tcW w:w="7540" w:type="dxa"/>
            <w:vAlign w:val="bottom"/>
          </w:tcPr>
          <w:p>
            <w:pPr>
              <w:spacing w:after="0"/>
              <w:rPr>
                <w:sz w:val="20"/>
                <w:szCs w:val="20"/>
                <w:color w:val="auto"/>
              </w:rPr>
            </w:pPr>
            <w:r>
              <w:rPr>
                <w:rFonts w:ascii="Arial" w:cs="Arial" w:eastAsia="Arial" w:hAnsi="Arial"/>
                <w:sz w:val="22"/>
                <w:szCs w:val="22"/>
                <w:color w:val="auto"/>
              </w:rPr>
              <w:t>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6</w:t>
            </w:r>
          </w:p>
        </w:tc>
      </w:tr>
      <w:tr>
        <w:trPr>
          <w:trHeight w:val="283"/>
        </w:trPr>
        <w:tc>
          <w:tcPr>
            <w:tcW w:w="7540" w:type="dxa"/>
            <w:vAlign w:val="bottom"/>
          </w:tcPr>
          <w:p>
            <w:pPr>
              <w:spacing w:after="0"/>
              <w:rPr>
                <w:sz w:val="20"/>
                <w:szCs w:val="20"/>
                <w:color w:val="auto"/>
              </w:rPr>
            </w:pPr>
            <w:r>
              <w:rPr>
                <w:rFonts w:ascii="Arial" w:cs="Arial" w:eastAsia="Arial" w:hAnsi="Arial"/>
                <w:sz w:val="22"/>
                <w:szCs w:val="22"/>
                <w:color w:val="auto"/>
              </w:rPr>
              <w:t>Revised Delivery Aircraft Configuration</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9</w:t>
            </w:r>
          </w:p>
        </w:tc>
      </w:tr>
    </w:tbl>
    <w:p>
      <w:pPr>
        <w:spacing w:after="0" w:line="68" w:lineRule="exact"/>
        <w:rPr>
          <w:sz w:val="20"/>
          <w:szCs w:val="20"/>
          <w:color w:val="auto"/>
        </w:rPr>
      </w:pPr>
    </w:p>
    <w:p>
      <w:pPr>
        <w:ind w:right="3600"/>
        <w:spacing w:after="0" w:line="408" w:lineRule="auto"/>
        <w:rPr>
          <w:sz w:val="20"/>
          <w:szCs w:val="20"/>
          <w:color w:val="auto"/>
        </w:rPr>
      </w:pPr>
      <w:r>
        <w:rPr>
          <w:rFonts w:ascii="Arial" w:cs="Arial" w:eastAsia="Arial" w:hAnsi="Arial"/>
          <w:sz w:val="22"/>
          <w:szCs w:val="22"/>
          <w:color w:val="auto"/>
        </w:rPr>
        <w:t>Aircraft Delivery Requirements and Responsibilities Definitions</w:t>
      </w:r>
    </w:p>
    <w:p>
      <w:pPr>
        <w:spacing w:after="0" w:line="2" w:lineRule="exact"/>
        <w:rPr>
          <w:sz w:val="20"/>
          <w:szCs w:val="20"/>
          <w:color w:val="auto"/>
        </w:rPr>
      </w:pPr>
    </w:p>
    <w:p>
      <w:pPr>
        <w:sectPr>
          <w:pgSz w:w="11900" w:h="16838" w:orient="portrait"/>
          <w:cols w:equalWidth="0" w:num="2">
            <w:col w:w="1740" w:space="720"/>
            <w:col w:w="8500"/>
          </w:cols>
          <w:pgMar w:left="340" w:top="233" w:right="599" w:bottom="254" w:gutter="0" w:footer="0" w:header="0"/>
        </w:sectPr>
      </w:pPr>
    </w:p>
    <w:tbl>
      <w:tblPr>
        <w:tblLayout w:type="fixed"/>
        <w:tblInd w:w="60" w:type="dxa"/>
        <w:tblCellMar>
          <w:top w:w="0" w:type="dxa"/>
          <w:left w:w="0" w:type="dxa"/>
          <w:bottom w:w="0" w:type="dxa"/>
          <w:right w:w="0" w:type="dxa"/>
        </w:tblCellMar>
      </w:tblPr>
      <w:tr>
        <w:trPr>
          <w:trHeight w:val="297"/>
        </w:trPr>
        <w:tc>
          <w:tcPr>
            <w:tcW w:w="7720" w:type="dxa"/>
            <w:vAlign w:val="bottom"/>
            <w:gridSpan w:val="2"/>
          </w:tcPr>
          <w:p>
            <w:pPr>
              <w:spacing w:after="0"/>
              <w:rPr>
                <w:sz w:val="20"/>
                <w:szCs w:val="20"/>
                <w:color w:val="auto"/>
              </w:rPr>
            </w:pPr>
            <w:r>
              <w:rPr>
                <w:rFonts w:ascii="Arial" w:cs="Arial" w:eastAsia="Arial" w:hAnsi="Arial"/>
                <w:sz w:val="22"/>
                <w:szCs w:val="22"/>
                <w:b w:val="1"/>
                <w:bCs w:val="1"/>
                <w:u w:val="single" w:color="auto"/>
                <w:color w:val="auto"/>
              </w:rPr>
              <w:t>SUPPLEMENTAL EXHIBITS</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960" w:type="dxa"/>
            <w:vAlign w:val="bottom"/>
          </w:tcPr>
          <w:p>
            <w:pPr>
              <w:jc w:val="center"/>
              <w:ind w:left="192"/>
              <w:spacing w:after="0"/>
              <w:rPr>
                <w:sz w:val="20"/>
                <w:szCs w:val="20"/>
                <w:color w:val="auto"/>
              </w:rPr>
            </w:pPr>
            <w:r>
              <w:rPr>
                <w:rFonts w:ascii="Arial" w:cs="Arial" w:eastAsia="Arial" w:hAnsi="Arial"/>
                <w:sz w:val="22"/>
                <w:szCs w:val="22"/>
                <w:color w:val="auto"/>
                <w:w w:val="96"/>
              </w:rPr>
              <w:t>AE1.</w:t>
            </w:r>
          </w:p>
        </w:tc>
        <w:tc>
          <w:tcPr>
            <w:tcW w:w="5760" w:type="dxa"/>
            <w:vAlign w:val="bottom"/>
            <w:vMerge w:val="restart"/>
          </w:tcPr>
          <w:p>
            <w:pPr>
              <w:ind w:left="440"/>
              <w:spacing w:after="0"/>
              <w:rPr>
                <w:sz w:val="20"/>
                <w:szCs w:val="20"/>
                <w:color w:val="auto"/>
              </w:rPr>
            </w:pPr>
            <w:r>
              <w:rPr>
                <w:rFonts w:ascii="Arial" w:cs="Arial" w:eastAsia="Arial" w:hAnsi="Arial"/>
                <w:sz w:val="22"/>
                <w:szCs w:val="22"/>
                <w:color w:val="auto"/>
              </w:rPr>
              <w:t>[****]</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5760" w:type="dxa"/>
            <w:vAlign w:val="bottom"/>
            <w:vMerge w:val="continue"/>
          </w:tcPr>
          <w:p>
            <w:pPr>
              <w:spacing w:after="0"/>
              <w:rPr>
                <w:sz w:val="7"/>
                <w:szCs w:val="7"/>
                <w:color w:val="auto"/>
              </w:rPr>
            </w:pPr>
          </w:p>
        </w:tc>
        <w:tc>
          <w:tcPr>
            <w:tcW w:w="2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960" w:type="dxa"/>
            <w:vAlign w:val="bottom"/>
          </w:tcPr>
          <w:p>
            <w:pPr>
              <w:jc w:val="center"/>
              <w:ind w:left="172"/>
              <w:spacing w:after="0"/>
              <w:rPr>
                <w:sz w:val="20"/>
                <w:szCs w:val="20"/>
                <w:color w:val="auto"/>
              </w:rPr>
            </w:pPr>
            <w:r>
              <w:rPr>
                <w:rFonts w:ascii="Arial" w:cs="Arial" w:eastAsia="Arial" w:hAnsi="Arial"/>
                <w:sz w:val="22"/>
                <w:szCs w:val="22"/>
                <w:color w:val="auto"/>
                <w:w w:val="98"/>
              </w:rPr>
              <w:t>BFE1.</w:t>
            </w:r>
          </w:p>
        </w:tc>
        <w:tc>
          <w:tcPr>
            <w:tcW w:w="5760" w:type="dxa"/>
            <w:vAlign w:val="bottom"/>
            <w:vMerge w:val="restart"/>
          </w:tcPr>
          <w:p>
            <w:pPr>
              <w:ind w:left="440"/>
              <w:spacing w:after="0"/>
              <w:rPr>
                <w:sz w:val="20"/>
                <w:szCs w:val="20"/>
                <w:color w:val="auto"/>
              </w:rPr>
            </w:pPr>
            <w:r>
              <w:rPr>
                <w:rFonts w:ascii="Arial" w:cs="Arial" w:eastAsia="Arial" w:hAnsi="Arial"/>
                <w:sz w:val="22"/>
                <w:szCs w:val="22"/>
                <w:color w:val="auto"/>
              </w:rPr>
              <w:t>BFE Variables</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5760" w:type="dxa"/>
            <w:vAlign w:val="bottom"/>
            <w:vMerge w:val="continue"/>
          </w:tcPr>
          <w:p>
            <w:pPr>
              <w:spacing w:after="0"/>
              <w:rPr>
                <w:sz w:val="7"/>
                <w:szCs w:val="7"/>
                <w:color w:val="auto"/>
              </w:rPr>
            </w:pPr>
          </w:p>
        </w:tc>
        <w:tc>
          <w:tcPr>
            <w:tcW w:w="2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960" w:type="dxa"/>
            <w:vAlign w:val="bottom"/>
          </w:tcPr>
          <w:p>
            <w:pPr>
              <w:jc w:val="center"/>
              <w:ind w:left="192"/>
              <w:spacing w:after="0"/>
              <w:rPr>
                <w:sz w:val="20"/>
                <w:szCs w:val="20"/>
                <w:color w:val="auto"/>
              </w:rPr>
            </w:pPr>
            <w:r>
              <w:rPr>
                <w:rFonts w:ascii="Arial" w:cs="Arial" w:eastAsia="Arial" w:hAnsi="Arial"/>
                <w:sz w:val="22"/>
                <w:szCs w:val="22"/>
                <w:color w:val="auto"/>
                <w:w w:val="96"/>
              </w:rPr>
              <w:t>CS1R1.</w:t>
            </w:r>
          </w:p>
        </w:tc>
        <w:tc>
          <w:tcPr>
            <w:tcW w:w="5760" w:type="dxa"/>
            <w:vAlign w:val="bottom"/>
            <w:vMerge w:val="restart"/>
          </w:tcPr>
          <w:p>
            <w:pPr>
              <w:ind w:left="440"/>
              <w:spacing w:after="0"/>
              <w:rPr>
                <w:sz w:val="20"/>
                <w:szCs w:val="20"/>
                <w:color w:val="auto"/>
              </w:rPr>
            </w:pPr>
            <w:r>
              <w:rPr>
                <w:rFonts w:ascii="Arial" w:cs="Arial" w:eastAsia="Arial" w:hAnsi="Arial"/>
                <w:sz w:val="22"/>
                <w:szCs w:val="22"/>
                <w:color w:val="auto"/>
              </w:rPr>
              <w:t>Customer Support Variables</w:t>
            </w:r>
          </w:p>
        </w:tc>
        <w:tc>
          <w:tcPr>
            <w:tcW w:w="276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576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960"/>
        <w:spacing w:after="0" w:line="183" w:lineRule="auto"/>
        <w:tabs>
          <w:tab w:leader="none" w:pos="2440" w:val="left"/>
        </w:tabs>
        <w:rPr>
          <w:sz w:val="20"/>
          <w:szCs w:val="20"/>
          <w:color w:val="auto"/>
        </w:rPr>
      </w:pPr>
      <w:r>
        <w:rPr>
          <w:rFonts w:ascii="Arial" w:cs="Arial" w:eastAsia="Arial" w:hAnsi="Arial"/>
          <w:sz w:val="40"/>
          <w:szCs w:val="40"/>
          <w:color w:val="auto"/>
          <w:vertAlign w:val="superscript"/>
        </w:rPr>
        <w:t>EE1.</w:t>
      </w:r>
      <w:r>
        <w:rPr>
          <w:sz w:val="20"/>
          <w:szCs w:val="20"/>
          <w:color w:val="auto"/>
        </w:rPr>
        <w:tab/>
      </w:r>
      <w:r>
        <w:rPr>
          <w:rFonts w:ascii="Arial" w:cs="Arial" w:eastAsia="Arial" w:hAnsi="Arial"/>
          <w:sz w:val="21"/>
          <w:szCs w:val="21"/>
          <w:color w:val="auto"/>
        </w:rPr>
        <w:t>[****]</w:t>
      </w:r>
    </w:p>
    <w:p>
      <w:pPr>
        <w:ind w:left="900"/>
        <w:spacing w:after="0" w:line="219" w:lineRule="auto"/>
        <w:tabs>
          <w:tab w:leader="none" w:pos="2440" w:val="left"/>
        </w:tabs>
        <w:rPr>
          <w:sz w:val="20"/>
          <w:szCs w:val="20"/>
          <w:color w:val="auto"/>
        </w:rPr>
      </w:pPr>
      <w:r>
        <w:rPr>
          <w:rFonts w:ascii="Arial" w:cs="Arial" w:eastAsia="Arial" w:hAnsi="Arial"/>
          <w:sz w:val="43"/>
          <w:szCs w:val="43"/>
          <w:color w:val="auto"/>
          <w:vertAlign w:val="superscript"/>
        </w:rPr>
        <w:t>SLP1.</w:t>
      </w:r>
      <w:r>
        <w:rPr>
          <w:sz w:val="20"/>
          <w:szCs w:val="20"/>
          <w:color w:val="auto"/>
        </w:rPr>
        <w:tab/>
      </w:r>
      <w:r>
        <w:rPr>
          <w:rFonts w:ascii="Arial" w:cs="Arial" w:eastAsia="Arial" w:hAnsi="Arial"/>
          <w:sz w:val="22"/>
          <w:szCs w:val="22"/>
          <w:color w:val="auto"/>
        </w:rPr>
        <w:t>[****]</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22"/>
          <w:szCs w:val="22"/>
          <w:b w:val="1"/>
          <w:bCs w:val="1"/>
          <w:u w:val="single" w:color="auto"/>
          <w:color w:val="auto"/>
        </w:rPr>
        <w:t>LETTER AGREEMENTS</w:t>
      </w:r>
    </w:p>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283"/>
        </w:trPr>
        <w:tc>
          <w:tcPr>
            <w:tcW w:w="1940" w:type="dxa"/>
            <w:vAlign w:val="bottom"/>
            <w:gridSpan w:val="2"/>
          </w:tcPr>
          <w:p>
            <w:pPr>
              <w:spacing w:after="0"/>
              <w:rPr>
                <w:sz w:val="20"/>
                <w:szCs w:val="20"/>
                <w:color w:val="auto"/>
              </w:rPr>
            </w:pPr>
            <w:r>
              <w:rPr>
                <w:rFonts w:ascii="Arial" w:cs="Arial" w:eastAsia="Arial" w:hAnsi="Arial"/>
                <w:sz w:val="22"/>
                <w:szCs w:val="22"/>
                <w:color w:val="auto"/>
              </w:rPr>
              <w:t>LA-1106648R1</w:t>
            </w:r>
          </w:p>
        </w:tc>
        <w:tc>
          <w:tcPr>
            <w:tcW w:w="6160" w:type="dxa"/>
            <w:vAlign w:val="bottom"/>
            <w:gridSpan w:val="2"/>
          </w:tcPr>
          <w:p>
            <w:pPr>
              <w:ind w:left="460"/>
              <w:spacing w:after="0"/>
              <w:rPr>
                <w:sz w:val="20"/>
                <w:szCs w:val="20"/>
                <w:color w:val="auto"/>
              </w:rPr>
            </w:pPr>
            <w:r>
              <w:rPr>
                <w:rFonts w:ascii="Arial" w:cs="Arial" w:eastAsia="Arial" w:hAnsi="Arial"/>
                <w:sz w:val="22"/>
                <w:szCs w:val="22"/>
                <w:color w:val="auto"/>
              </w:rPr>
              <w:t>Special Matters</w:t>
            </w: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432"/>
        </w:trPr>
        <w:tc>
          <w:tcPr>
            <w:tcW w:w="1940" w:type="dxa"/>
            <w:vAlign w:val="bottom"/>
            <w:gridSpan w:val="2"/>
          </w:tcPr>
          <w:p>
            <w:pPr>
              <w:spacing w:after="0"/>
              <w:rPr>
                <w:sz w:val="20"/>
                <w:szCs w:val="20"/>
                <w:color w:val="auto"/>
              </w:rPr>
            </w:pPr>
            <w:r>
              <w:rPr>
                <w:rFonts w:ascii="Arial" w:cs="Arial" w:eastAsia="Arial" w:hAnsi="Arial"/>
                <w:sz w:val="22"/>
                <w:szCs w:val="22"/>
                <w:color w:val="auto"/>
              </w:rPr>
              <w:t>LA-1106649</w:t>
            </w:r>
          </w:p>
        </w:tc>
        <w:tc>
          <w:tcPr>
            <w:tcW w:w="2900" w:type="dxa"/>
            <w:vAlign w:val="bottom"/>
          </w:tcPr>
          <w:p>
            <w:pPr>
              <w:ind w:left="460"/>
              <w:spacing w:after="0"/>
              <w:rPr>
                <w:sz w:val="20"/>
                <w:szCs w:val="20"/>
                <w:color w:val="auto"/>
              </w:rPr>
            </w:pPr>
            <w:r>
              <w:rPr>
                <w:rFonts w:ascii="Arial" w:cs="Arial" w:eastAsia="Arial" w:hAnsi="Arial"/>
                <w:sz w:val="22"/>
                <w:szCs w:val="22"/>
                <w:color w:val="auto"/>
              </w:rPr>
              <w:t>[****]</w:t>
            </w:r>
          </w:p>
        </w:tc>
        <w:tc>
          <w:tcPr>
            <w:tcW w:w="3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940" w:type="dxa"/>
            <w:vAlign w:val="bottom"/>
            <w:gridSpan w:val="2"/>
          </w:tcPr>
          <w:p>
            <w:pPr>
              <w:spacing w:after="0"/>
              <w:rPr>
                <w:sz w:val="20"/>
                <w:szCs w:val="20"/>
                <w:color w:val="auto"/>
              </w:rPr>
            </w:pPr>
            <w:r>
              <w:rPr>
                <w:rFonts w:ascii="Arial" w:cs="Arial" w:eastAsia="Arial" w:hAnsi="Arial"/>
                <w:sz w:val="22"/>
                <w:szCs w:val="22"/>
                <w:b w:val="1"/>
                <w:bCs w:val="1"/>
                <w:color w:val="auto"/>
              </w:rPr>
              <w:t>LA</w:t>
            </w:r>
            <w:r>
              <w:rPr>
                <w:rFonts w:ascii="Arial" w:cs="Arial" w:eastAsia="Arial" w:hAnsi="Arial"/>
                <w:sz w:val="22"/>
                <w:szCs w:val="22"/>
                <w:color w:val="auto"/>
              </w:rPr>
              <w:t>-</w:t>
            </w:r>
            <w:r>
              <w:rPr>
                <w:rFonts w:ascii="Arial" w:cs="Arial" w:eastAsia="Arial" w:hAnsi="Arial"/>
                <w:sz w:val="22"/>
                <w:szCs w:val="22"/>
                <w:b w:val="1"/>
                <w:bCs w:val="1"/>
                <w:color w:val="auto"/>
              </w:rPr>
              <w:t>1106650R5</w:t>
            </w:r>
          </w:p>
        </w:tc>
        <w:tc>
          <w:tcPr>
            <w:tcW w:w="2900" w:type="dxa"/>
            <w:vAlign w:val="bottom"/>
            <w:vMerge w:val="restart"/>
          </w:tcPr>
          <w:p>
            <w:pPr>
              <w:ind w:left="460"/>
              <w:spacing w:after="0"/>
              <w:rPr>
                <w:sz w:val="20"/>
                <w:szCs w:val="20"/>
                <w:color w:val="auto"/>
              </w:rPr>
            </w:pPr>
            <w:r>
              <w:rPr>
                <w:rFonts w:ascii="Arial" w:cs="Arial" w:eastAsia="Arial" w:hAnsi="Arial"/>
                <w:sz w:val="22"/>
                <w:szCs w:val="22"/>
                <w:color w:val="auto"/>
              </w:rPr>
              <w:t>[****]</w:t>
            </w:r>
          </w:p>
        </w:tc>
        <w:tc>
          <w:tcPr>
            <w:tcW w:w="3260" w:type="dxa"/>
            <w:vAlign w:val="bottom"/>
          </w:tcPr>
          <w:p>
            <w:pPr>
              <w:spacing w:after="0"/>
              <w:rPr>
                <w:sz w:val="24"/>
                <w:szCs w:val="24"/>
                <w:color w:val="auto"/>
              </w:rPr>
            </w:pPr>
          </w:p>
        </w:tc>
        <w:tc>
          <w:tcPr>
            <w:tcW w:w="2440" w:type="dxa"/>
            <w:vAlign w:val="bottom"/>
            <w:vMerge w:val="restart"/>
          </w:tcPr>
          <w:p>
            <w:pPr>
              <w:jc w:val="center"/>
              <w:ind w:left="2092"/>
              <w:spacing w:after="0"/>
              <w:rPr>
                <w:sz w:val="20"/>
                <w:szCs w:val="20"/>
                <w:color w:val="auto"/>
              </w:rPr>
            </w:pPr>
            <w:r>
              <w:rPr>
                <w:rFonts w:ascii="Arial" w:cs="Arial" w:eastAsia="Arial" w:hAnsi="Arial"/>
                <w:sz w:val="22"/>
                <w:szCs w:val="22"/>
                <w:b w:val="1"/>
                <w:bCs w:val="1"/>
                <w:color w:val="auto"/>
                <w:w w:val="97"/>
              </w:rPr>
              <w:t>21</w:t>
            </w:r>
          </w:p>
        </w:tc>
        <w:tc>
          <w:tcPr>
            <w:tcW w:w="0" w:type="dxa"/>
            <w:vAlign w:val="bottom"/>
          </w:tcPr>
          <w:p>
            <w:pPr>
              <w:spacing w:after="0"/>
              <w:rPr>
                <w:sz w:val="1"/>
                <w:szCs w:val="1"/>
                <w:color w:val="auto"/>
              </w:rPr>
            </w:pPr>
          </w:p>
        </w:tc>
      </w:tr>
      <w:tr>
        <w:trPr>
          <w:trHeight w:val="81"/>
        </w:trPr>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326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940" w:type="dxa"/>
            <w:vAlign w:val="bottom"/>
            <w:gridSpan w:val="2"/>
          </w:tcPr>
          <w:p>
            <w:pPr>
              <w:spacing w:after="0"/>
              <w:rPr>
                <w:sz w:val="20"/>
                <w:szCs w:val="20"/>
                <w:color w:val="auto"/>
              </w:rPr>
            </w:pPr>
            <w:r>
              <w:rPr>
                <w:rFonts w:ascii="Arial" w:cs="Arial" w:eastAsia="Arial" w:hAnsi="Arial"/>
                <w:sz w:val="22"/>
                <w:szCs w:val="22"/>
                <w:b w:val="1"/>
                <w:bCs w:val="1"/>
                <w:color w:val="auto"/>
              </w:rPr>
              <w:t>LA-1106651R4</w:t>
            </w:r>
          </w:p>
        </w:tc>
        <w:tc>
          <w:tcPr>
            <w:tcW w:w="2900" w:type="dxa"/>
            <w:vAlign w:val="bottom"/>
          </w:tcPr>
          <w:p>
            <w:pPr>
              <w:ind w:left="460"/>
              <w:spacing w:after="0"/>
              <w:rPr>
                <w:sz w:val="20"/>
                <w:szCs w:val="20"/>
                <w:color w:val="auto"/>
              </w:rPr>
            </w:pPr>
            <w:r>
              <w:rPr>
                <w:rFonts w:ascii="Arial" w:cs="Arial" w:eastAsia="Arial" w:hAnsi="Arial"/>
                <w:sz w:val="22"/>
                <w:szCs w:val="22"/>
                <w:color w:val="auto"/>
              </w:rPr>
              <w:t>[****]</w:t>
            </w:r>
          </w:p>
        </w:tc>
        <w:tc>
          <w:tcPr>
            <w:tcW w:w="3260" w:type="dxa"/>
            <w:vAlign w:val="bottom"/>
          </w:tcPr>
          <w:p>
            <w:pPr>
              <w:spacing w:after="0"/>
              <w:rPr>
                <w:sz w:val="24"/>
                <w:szCs w:val="24"/>
                <w:color w:val="auto"/>
              </w:rPr>
            </w:pPr>
          </w:p>
        </w:tc>
        <w:tc>
          <w:tcPr>
            <w:tcW w:w="2440" w:type="dxa"/>
            <w:vAlign w:val="bottom"/>
          </w:tcPr>
          <w:p>
            <w:pPr>
              <w:jc w:val="center"/>
              <w:ind w:left="2092"/>
              <w:spacing w:after="0"/>
              <w:rPr>
                <w:sz w:val="20"/>
                <w:szCs w:val="20"/>
                <w:color w:val="auto"/>
              </w:rPr>
            </w:pPr>
            <w:r>
              <w:rPr>
                <w:rFonts w:ascii="Arial" w:cs="Arial" w:eastAsia="Arial" w:hAnsi="Arial"/>
                <w:sz w:val="22"/>
                <w:szCs w:val="22"/>
                <w:b w:val="1"/>
                <w:bCs w:val="1"/>
                <w:color w:val="auto"/>
                <w:w w:val="97"/>
              </w:rPr>
              <w:t>21</w:t>
            </w:r>
          </w:p>
        </w:tc>
        <w:tc>
          <w:tcPr>
            <w:tcW w:w="0" w:type="dxa"/>
            <w:vAlign w:val="bottom"/>
          </w:tcPr>
          <w:p>
            <w:pPr>
              <w:spacing w:after="0"/>
              <w:rPr>
                <w:sz w:val="1"/>
                <w:szCs w:val="1"/>
                <w:color w:val="auto"/>
              </w:rPr>
            </w:pPr>
          </w:p>
        </w:tc>
      </w:tr>
      <w:tr>
        <w:trPr>
          <w:trHeight w:val="420"/>
        </w:trPr>
        <w:tc>
          <w:tcPr>
            <w:tcW w:w="1940" w:type="dxa"/>
            <w:vAlign w:val="bottom"/>
            <w:gridSpan w:val="2"/>
          </w:tcPr>
          <w:p>
            <w:pPr>
              <w:spacing w:after="0"/>
              <w:rPr>
                <w:sz w:val="20"/>
                <w:szCs w:val="20"/>
                <w:color w:val="auto"/>
              </w:rPr>
            </w:pPr>
            <w:r>
              <w:rPr>
                <w:rFonts w:ascii="Arial" w:cs="Arial" w:eastAsia="Arial" w:hAnsi="Arial"/>
                <w:sz w:val="22"/>
                <w:szCs w:val="22"/>
                <w:color w:val="auto"/>
              </w:rPr>
              <w:t>LA-1106652</w:t>
            </w:r>
          </w:p>
        </w:tc>
        <w:tc>
          <w:tcPr>
            <w:tcW w:w="6160" w:type="dxa"/>
            <w:vAlign w:val="bottom"/>
            <w:gridSpan w:val="2"/>
          </w:tcPr>
          <w:p>
            <w:pPr>
              <w:ind w:left="460"/>
              <w:spacing w:after="0"/>
              <w:rPr>
                <w:sz w:val="20"/>
                <w:szCs w:val="20"/>
                <w:color w:val="auto"/>
              </w:rPr>
            </w:pPr>
            <w:r>
              <w:rPr>
                <w:rFonts w:ascii="Arial" w:cs="Arial" w:eastAsia="Arial" w:hAnsi="Arial"/>
                <w:sz w:val="22"/>
                <w:szCs w:val="22"/>
                <w:color w:val="auto"/>
              </w:rPr>
              <w:t>Aircraft Model Substitution</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40" w:type="dxa"/>
            <w:vAlign w:val="bottom"/>
            <w:gridSpan w:val="2"/>
          </w:tcPr>
          <w:p>
            <w:pPr>
              <w:spacing w:after="0"/>
              <w:rPr>
                <w:sz w:val="20"/>
                <w:szCs w:val="20"/>
                <w:color w:val="auto"/>
              </w:rPr>
            </w:pPr>
            <w:r>
              <w:rPr>
                <w:rFonts w:ascii="Arial" w:cs="Arial" w:eastAsia="Arial" w:hAnsi="Arial"/>
                <w:sz w:val="22"/>
                <w:szCs w:val="22"/>
                <w:color w:val="auto"/>
              </w:rPr>
              <w:t>LA-1106654</w:t>
            </w:r>
          </w:p>
        </w:tc>
        <w:tc>
          <w:tcPr>
            <w:tcW w:w="6160" w:type="dxa"/>
            <w:vAlign w:val="bottom"/>
            <w:gridSpan w:val="2"/>
          </w:tcPr>
          <w:p>
            <w:pPr>
              <w:ind w:left="460"/>
              <w:spacing w:after="0"/>
              <w:rPr>
                <w:sz w:val="20"/>
                <w:szCs w:val="20"/>
                <w:color w:val="auto"/>
              </w:rPr>
            </w:pPr>
            <w:r>
              <w:rPr>
                <w:rFonts w:ascii="Arial" w:cs="Arial" w:eastAsia="Arial" w:hAnsi="Arial"/>
                <w:sz w:val="22"/>
                <w:szCs w:val="22"/>
                <w:color w:val="auto"/>
              </w:rPr>
              <w:t>AGTA Terms Revisions for MAX</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160" w:type="dxa"/>
            <w:vAlign w:val="bottom"/>
            <w:vMerge w:val="restart"/>
          </w:tcPr>
          <w:p>
            <w:pPr>
              <w:spacing w:after="0"/>
              <w:rPr>
                <w:sz w:val="20"/>
                <w:szCs w:val="20"/>
                <w:color w:val="auto"/>
              </w:rPr>
            </w:pPr>
            <w:r>
              <w:rPr>
                <w:rFonts w:ascii="Arial" w:cs="Arial" w:eastAsia="Arial" w:hAnsi="Arial"/>
                <w:sz w:val="22"/>
                <w:szCs w:val="22"/>
                <w:color w:val="auto"/>
                <w:strike w:val="1"/>
                <w:w w:val="95"/>
              </w:rPr>
              <w:t>LA-1106655</w:t>
            </w:r>
          </w:p>
        </w:tc>
        <w:tc>
          <w:tcPr>
            <w:tcW w:w="780" w:type="dxa"/>
            <w:vAlign w:val="bottom"/>
          </w:tcPr>
          <w:p>
            <w:pPr>
              <w:spacing w:after="0"/>
              <w:rPr>
                <w:sz w:val="24"/>
                <w:szCs w:val="24"/>
                <w:color w:val="auto"/>
              </w:rPr>
            </w:pPr>
          </w:p>
        </w:tc>
        <w:tc>
          <w:tcPr>
            <w:tcW w:w="2900" w:type="dxa"/>
            <w:vAlign w:val="bottom"/>
          </w:tcPr>
          <w:p>
            <w:pPr>
              <w:ind w:left="460"/>
              <w:spacing w:after="0"/>
              <w:rPr>
                <w:sz w:val="20"/>
                <w:szCs w:val="20"/>
                <w:color w:val="auto"/>
              </w:rPr>
            </w:pPr>
            <w:r>
              <w:rPr>
                <w:rFonts w:ascii="Arial" w:cs="Arial" w:eastAsia="Arial" w:hAnsi="Arial"/>
                <w:sz w:val="22"/>
                <w:szCs w:val="22"/>
                <w:color w:val="auto"/>
                <w:strike w:val="1"/>
                <w:w w:val="97"/>
              </w:rPr>
              <w:t>Open Matters – 737 MAX</w:t>
            </w:r>
          </w:p>
        </w:tc>
        <w:tc>
          <w:tcPr>
            <w:tcW w:w="3260" w:type="dxa"/>
            <w:vAlign w:val="bottom"/>
          </w:tcPr>
          <w:p>
            <w:pPr>
              <w:ind w:left="60"/>
              <w:spacing w:after="0"/>
              <w:rPr>
                <w:sz w:val="20"/>
                <w:szCs w:val="20"/>
                <w:color w:val="auto"/>
              </w:rPr>
            </w:pPr>
            <w:r>
              <w:rPr>
                <w:rFonts w:ascii="Arial" w:cs="Arial" w:eastAsia="Arial" w:hAnsi="Arial"/>
                <w:sz w:val="22"/>
                <w:szCs w:val="22"/>
                <w:color w:val="auto"/>
              </w:rPr>
              <w:t>Withdrawn</w:t>
            </w:r>
          </w:p>
        </w:tc>
        <w:tc>
          <w:tcPr>
            <w:tcW w:w="2440" w:type="dxa"/>
            <w:vAlign w:val="bottom"/>
            <w:vMerge w:val="restart"/>
          </w:tcPr>
          <w:p>
            <w:pPr>
              <w:jc w:val="center"/>
              <w:ind w:left="2092"/>
              <w:spacing w:after="0"/>
              <w:rPr>
                <w:sz w:val="20"/>
                <w:szCs w:val="20"/>
                <w:color w:val="auto"/>
              </w:rPr>
            </w:pPr>
            <w:r>
              <w:rPr>
                <w:rFonts w:ascii="Arial" w:cs="Arial" w:eastAsia="Arial" w:hAnsi="Arial"/>
                <w:sz w:val="22"/>
                <w:szCs w:val="22"/>
                <w:color w:val="auto"/>
                <w:w w:val="97"/>
              </w:rPr>
              <w:t>6</w:t>
            </w:r>
          </w:p>
        </w:tc>
        <w:tc>
          <w:tcPr>
            <w:tcW w:w="0" w:type="dxa"/>
            <w:vAlign w:val="bottom"/>
          </w:tcPr>
          <w:p>
            <w:pPr>
              <w:spacing w:after="0"/>
              <w:rPr>
                <w:sz w:val="1"/>
                <w:szCs w:val="1"/>
                <w:color w:val="auto"/>
              </w:rPr>
            </w:pPr>
          </w:p>
        </w:tc>
      </w:tr>
      <w:tr>
        <w:trPr>
          <w:trHeight w:val="135"/>
        </w:trPr>
        <w:tc>
          <w:tcPr>
            <w:tcW w:w="11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1940" w:type="dxa"/>
            <w:vAlign w:val="bottom"/>
            <w:gridSpan w:val="2"/>
          </w:tcPr>
          <w:p>
            <w:pPr>
              <w:spacing w:after="0"/>
              <w:rPr>
                <w:sz w:val="20"/>
                <w:szCs w:val="20"/>
                <w:color w:val="auto"/>
              </w:rPr>
            </w:pPr>
            <w:r>
              <w:rPr>
                <w:rFonts w:ascii="Arial" w:cs="Arial" w:eastAsia="Arial" w:hAnsi="Arial"/>
                <w:sz w:val="22"/>
                <w:szCs w:val="22"/>
                <w:color w:val="auto"/>
              </w:rPr>
              <w:t>LA-1106656R1</w:t>
            </w:r>
          </w:p>
        </w:tc>
        <w:tc>
          <w:tcPr>
            <w:tcW w:w="6160" w:type="dxa"/>
            <w:vAlign w:val="bottom"/>
            <w:gridSpan w:val="2"/>
          </w:tcPr>
          <w:p>
            <w:pPr>
              <w:ind w:left="460"/>
              <w:spacing w:after="0"/>
              <w:rPr>
                <w:sz w:val="20"/>
                <w:szCs w:val="20"/>
                <w:color w:val="auto"/>
              </w:rPr>
            </w:pPr>
            <w:r>
              <w:rPr>
                <w:rFonts w:ascii="Arial" w:cs="Arial" w:eastAsia="Arial" w:hAnsi="Arial"/>
                <w:sz w:val="22"/>
                <w:szCs w:val="22"/>
                <w:color w:val="auto"/>
              </w:rPr>
              <w:t>Most Favored Customer – 737 MAX</w:t>
            </w: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1</w:t>
            </w:r>
          </w:p>
        </w:tc>
        <w:tc>
          <w:tcPr>
            <w:tcW w:w="0" w:type="dxa"/>
            <w:vAlign w:val="bottom"/>
          </w:tcPr>
          <w:p>
            <w:pPr>
              <w:spacing w:after="0"/>
              <w:rPr>
                <w:sz w:val="1"/>
                <w:szCs w:val="1"/>
                <w:color w:val="auto"/>
              </w:rPr>
            </w:pPr>
          </w:p>
        </w:tc>
      </w:tr>
      <w:tr>
        <w:trPr>
          <w:trHeight w:val="432"/>
        </w:trPr>
        <w:tc>
          <w:tcPr>
            <w:tcW w:w="1940" w:type="dxa"/>
            <w:vAlign w:val="bottom"/>
            <w:gridSpan w:val="2"/>
          </w:tcPr>
          <w:p>
            <w:pPr>
              <w:spacing w:after="0"/>
              <w:rPr>
                <w:sz w:val="20"/>
                <w:szCs w:val="20"/>
                <w:color w:val="auto"/>
              </w:rPr>
            </w:pPr>
            <w:r>
              <w:rPr>
                <w:rFonts w:ascii="Arial" w:cs="Arial" w:eastAsia="Arial" w:hAnsi="Arial"/>
                <w:sz w:val="22"/>
                <w:szCs w:val="22"/>
                <w:color w:val="auto"/>
              </w:rPr>
              <w:t>LA-1106657R1</w:t>
            </w:r>
          </w:p>
        </w:tc>
        <w:tc>
          <w:tcPr>
            <w:tcW w:w="2900" w:type="dxa"/>
            <w:vAlign w:val="bottom"/>
          </w:tcPr>
          <w:p>
            <w:pPr>
              <w:ind w:left="460"/>
              <w:spacing w:after="0"/>
              <w:rPr>
                <w:sz w:val="20"/>
                <w:szCs w:val="20"/>
                <w:color w:val="auto"/>
              </w:rPr>
            </w:pPr>
            <w:r>
              <w:rPr>
                <w:rFonts w:ascii="Arial" w:cs="Arial" w:eastAsia="Arial" w:hAnsi="Arial"/>
                <w:sz w:val="22"/>
                <w:szCs w:val="22"/>
                <w:color w:val="auto"/>
              </w:rPr>
              <w:t>[****]</w:t>
            </w:r>
          </w:p>
        </w:tc>
        <w:tc>
          <w:tcPr>
            <w:tcW w:w="3260" w:type="dxa"/>
            <w:vAlign w:val="bottom"/>
          </w:tcPr>
          <w:p>
            <w:pPr>
              <w:spacing w:after="0"/>
              <w:rPr>
                <w:sz w:val="24"/>
                <w:szCs w:val="24"/>
                <w:color w:val="auto"/>
              </w:rPr>
            </w:pP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1940" w:type="dxa"/>
            <w:vAlign w:val="bottom"/>
            <w:gridSpan w:val="2"/>
          </w:tcPr>
          <w:p>
            <w:pPr>
              <w:spacing w:after="0"/>
              <w:rPr>
                <w:sz w:val="20"/>
                <w:szCs w:val="20"/>
                <w:color w:val="auto"/>
              </w:rPr>
            </w:pPr>
            <w:r>
              <w:rPr>
                <w:rFonts w:ascii="Arial" w:cs="Arial" w:eastAsia="Arial" w:hAnsi="Arial"/>
                <w:sz w:val="22"/>
                <w:szCs w:val="22"/>
                <w:color w:val="auto"/>
              </w:rPr>
              <w:t>LA-1106663 R1</w:t>
            </w:r>
          </w:p>
        </w:tc>
        <w:tc>
          <w:tcPr>
            <w:tcW w:w="2900" w:type="dxa"/>
            <w:vAlign w:val="bottom"/>
          </w:tcPr>
          <w:p>
            <w:pPr>
              <w:ind w:left="460"/>
              <w:spacing w:after="0"/>
              <w:rPr>
                <w:sz w:val="20"/>
                <w:szCs w:val="20"/>
                <w:color w:val="auto"/>
              </w:rPr>
            </w:pPr>
            <w:r>
              <w:rPr>
                <w:rFonts w:ascii="Arial" w:cs="Arial" w:eastAsia="Arial" w:hAnsi="Arial"/>
                <w:sz w:val="22"/>
                <w:szCs w:val="22"/>
                <w:color w:val="auto"/>
              </w:rPr>
              <w:t>[****]</w:t>
            </w:r>
          </w:p>
        </w:tc>
        <w:tc>
          <w:tcPr>
            <w:tcW w:w="3260" w:type="dxa"/>
            <w:vAlign w:val="bottom"/>
          </w:tcPr>
          <w:p>
            <w:pPr>
              <w:spacing w:after="0"/>
              <w:rPr>
                <w:sz w:val="24"/>
                <w:szCs w:val="24"/>
                <w:color w:val="auto"/>
              </w:rPr>
            </w:pP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r>
        <w:trPr>
          <w:trHeight w:val="432"/>
        </w:trPr>
        <w:tc>
          <w:tcPr>
            <w:tcW w:w="1940" w:type="dxa"/>
            <w:vAlign w:val="bottom"/>
            <w:gridSpan w:val="2"/>
          </w:tcPr>
          <w:p>
            <w:pPr>
              <w:spacing w:after="0"/>
              <w:rPr>
                <w:sz w:val="20"/>
                <w:szCs w:val="20"/>
                <w:color w:val="auto"/>
              </w:rPr>
            </w:pPr>
            <w:r>
              <w:rPr>
                <w:rFonts w:ascii="Arial" w:cs="Arial" w:eastAsia="Arial" w:hAnsi="Arial"/>
                <w:sz w:val="22"/>
                <w:szCs w:val="22"/>
                <w:color w:val="auto"/>
              </w:rPr>
              <w:t>LA-1106664 R1</w:t>
            </w:r>
          </w:p>
        </w:tc>
        <w:tc>
          <w:tcPr>
            <w:tcW w:w="2900" w:type="dxa"/>
            <w:vAlign w:val="bottom"/>
          </w:tcPr>
          <w:p>
            <w:pPr>
              <w:ind w:left="460"/>
              <w:spacing w:after="0"/>
              <w:rPr>
                <w:sz w:val="20"/>
                <w:szCs w:val="20"/>
                <w:color w:val="auto"/>
              </w:rPr>
            </w:pPr>
            <w:r>
              <w:rPr>
                <w:rFonts w:ascii="Arial" w:cs="Arial" w:eastAsia="Arial" w:hAnsi="Arial"/>
                <w:sz w:val="22"/>
                <w:szCs w:val="22"/>
                <w:color w:val="auto"/>
              </w:rPr>
              <w:t>[****]</w:t>
            </w:r>
          </w:p>
        </w:tc>
        <w:tc>
          <w:tcPr>
            <w:tcW w:w="3260" w:type="dxa"/>
            <w:vAlign w:val="bottom"/>
          </w:tcPr>
          <w:p>
            <w:pPr>
              <w:spacing w:after="0"/>
              <w:rPr>
                <w:sz w:val="24"/>
                <w:szCs w:val="24"/>
                <w:color w:val="auto"/>
              </w:rPr>
            </w:pPr>
          </w:p>
        </w:tc>
        <w:tc>
          <w:tcPr>
            <w:tcW w:w="2440" w:type="dxa"/>
            <w:vAlign w:val="bottom"/>
          </w:tcPr>
          <w:p>
            <w:pPr>
              <w:jc w:val="center"/>
              <w:ind w:left="2092"/>
              <w:spacing w:after="0"/>
              <w:rPr>
                <w:sz w:val="20"/>
                <w:szCs w:val="20"/>
                <w:color w:val="auto"/>
              </w:rPr>
            </w:pPr>
            <w:r>
              <w:rPr>
                <w:rFonts w:ascii="Arial" w:cs="Arial" w:eastAsia="Arial" w:hAnsi="Arial"/>
                <w:sz w:val="22"/>
                <w:szCs w:val="22"/>
                <w:color w:val="auto"/>
                <w:w w:val="97"/>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340" w:top="233" w:right="599" w:bottom="2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3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1 of 2</w:t>
      </w:r>
      <w:r>
        <w:rPr>
          <w:sz w:val="20"/>
          <w:szCs w:val="20"/>
          <w:color w:val="auto"/>
        </w:rPr>
        <w:tab/>
      </w:r>
      <w:r>
        <w:rPr>
          <w:rFonts w:ascii="Arial" w:cs="Arial" w:eastAsia="Arial" w:hAnsi="Arial"/>
          <w:sz w:val="21"/>
          <w:szCs w:val="21"/>
          <w:color w:val="auto"/>
        </w:rPr>
        <w:t>SA-21</w:t>
      </w:r>
    </w:p>
    <w:p>
      <w:pPr>
        <w:jc w:val="center"/>
        <w:ind w:right="-23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960"/>
          </w:cols>
          <w:pgMar w:left="340" w:top="233" w:right="599" w:bottom="254" w:gutter="0" w:footer="0" w:header="0"/>
          <w:type w:val="continuous"/>
        </w:sectPr>
      </w:pPr>
    </w:p>
    <w:bookmarkStart w:id="112" w:name="page113"/>
    <w:bookmarkEnd w:id="112"/>
    <w:p>
      <w:pPr>
        <w:jc w:val="center"/>
        <w:ind w:right="-219"/>
        <w:spacing w:after="0"/>
        <w:rPr>
          <w:sz w:val="20"/>
          <w:szCs w:val="20"/>
          <w:color w:val="auto"/>
        </w:rPr>
      </w:pPr>
      <w:r>
        <w:rPr>
          <w:rFonts w:ascii="Arial" w:cs="Arial" w:eastAsia="Arial" w:hAnsi="Arial"/>
          <w:sz w:val="22"/>
          <w:szCs w:val="22"/>
          <w:b w:val="1"/>
          <w:bCs w:val="1"/>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22"/>
                <w:szCs w:val="22"/>
                <w:color w:val="auto"/>
              </w:rPr>
              <w:t>LA-1106658</w:t>
            </w:r>
          </w:p>
        </w:tc>
        <w:tc>
          <w:tcPr>
            <w:tcW w:w="5900" w:type="dxa"/>
            <w:vAlign w:val="bottom"/>
          </w:tcPr>
          <w:p>
            <w:pPr>
              <w:ind w:left="480"/>
              <w:spacing w:after="0"/>
              <w:rPr>
                <w:sz w:val="20"/>
                <w:szCs w:val="20"/>
                <w:color w:val="auto"/>
              </w:rPr>
            </w:pPr>
            <w:r>
              <w:rPr>
                <w:rFonts w:ascii="Arial" w:cs="Arial" w:eastAsia="Arial" w:hAnsi="Arial"/>
                <w:sz w:val="22"/>
                <w:szCs w:val="22"/>
                <w:color w:val="auto"/>
              </w:rPr>
              <w:t>[****]</w:t>
            </w:r>
          </w:p>
        </w:tc>
        <w:tc>
          <w:tcPr>
            <w:tcW w:w="2720" w:type="dxa"/>
            <w:vAlign w:val="bottom"/>
          </w:tcPr>
          <w:p>
            <w:pPr>
              <w:spacing w:after="0"/>
              <w:rPr>
                <w:sz w:val="24"/>
                <w:szCs w:val="24"/>
                <w:color w:val="auto"/>
              </w:rPr>
            </w:pPr>
          </w:p>
        </w:tc>
      </w:tr>
      <w:tr>
        <w:trPr>
          <w:trHeight w:val="444"/>
        </w:trPr>
        <w:tc>
          <w:tcPr>
            <w:tcW w:w="1920" w:type="dxa"/>
            <w:vAlign w:val="bottom"/>
          </w:tcPr>
          <w:p>
            <w:pPr>
              <w:spacing w:after="0"/>
              <w:rPr>
                <w:sz w:val="20"/>
                <w:szCs w:val="20"/>
                <w:color w:val="auto"/>
              </w:rPr>
            </w:pPr>
            <w:r>
              <w:rPr>
                <w:rFonts w:ascii="Arial" w:cs="Arial" w:eastAsia="Arial" w:hAnsi="Arial"/>
                <w:sz w:val="22"/>
                <w:szCs w:val="22"/>
                <w:b w:val="1"/>
                <w:bCs w:val="1"/>
                <w:color w:val="auto"/>
              </w:rPr>
              <w:t>LA-1106659R3</w:t>
            </w:r>
          </w:p>
        </w:tc>
        <w:tc>
          <w:tcPr>
            <w:tcW w:w="5900" w:type="dxa"/>
            <w:vAlign w:val="bottom"/>
          </w:tcPr>
          <w:p>
            <w:pPr>
              <w:ind w:left="480"/>
              <w:spacing w:after="0"/>
              <w:rPr>
                <w:sz w:val="20"/>
                <w:szCs w:val="20"/>
                <w:color w:val="auto"/>
              </w:rPr>
            </w:pPr>
            <w:r>
              <w:rPr>
                <w:rFonts w:ascii="Arial" w:cs="Arial" w:eastAsia="Arial" w:hAnsi="Arial"/>
                <w:sz w:val="22"/>
                <w:szCs w:val="22"/>
                <w:color w:val="auto"/>
              </w:rPr>
              <w:t>[****]</w:t>
            </w:r>
          </w:p>
        </w:tc>
        <w:tc>
          <w:tcPr>
            <w:tcW w:w="2720" w:type="dxa"/>
            <w:vAlign w:val="bottom"/>
          </w:tcPr>
          <w:p>
            <w:pPr>
              <w:jc w:val="right"/>
              <w:spacing w:after="0"/>
              <w:rPr>
                <w:sz w:val="20"/>
                <w:szCs w:val="20"/>
                <w:color w:val="auto"/>
              </w:rPr>
            </w:pPr>
            <w:r>
              <w:rPr>
                <w:rFonts w:ascii="Arial" w:cs="Arial" w:eastAsia="Arial" w:hAnsi="Arial"/>
                <w:sz w:val="22"/>
                <w:szCs w:val="22"/>
                <w:b w:val="1"/>
                <w:bCs w:val="1"/>
                <w:color w:val="auto"/>
              </w:rPr>
              <w:t>21</w:t>
            </w:r>
          </w:p>
        </w:tc>
      </w:tr>
      <w:tr>
        <w:trPr>
          <w:trHeight w:val="420"/>
        </w:trPr>
        <w:tc>
          <w:tcPr>
            <w:tcW w:w="1920" w:type="dxa"/>
            <w:vAlign w:val="bottom"/>
          </w:tcPr>
          <w:p>
            <w:pPr>
              <w:spacing w:after="0"/>
              <w:rPr>
                <w:sz w:val="20"/>
                <w:szCs w:val="20"/>
                <w:color w:val="auto"/>
              </w:rPr>
            </w:pPr>
            <w:r>
              <w:rPr>
                <w:rFonts w:ascii="Arial" w:cs="Arial" w:eastAsia="Arial" w:hAnsi="Arial"/>
                <w:sz w:val="22"/>
                <w:szCs w:val="22"/>
                <w:color w:val="auto"/>
              </w:rPr>
              <w:t>LA-1106660</w:t>
            </w:r>
          </w:p>
        </w:tc>
        <w:tc>
          <w:tcPr>
            <w:tcW w:w="5900" w:type="dxa"/>
            <w:vAlign w:val="bottom"/>
          </w:tcPr>
          <w:p>
            <w:pPr>
              <w:ind w:left="480"/>
              <w:spacing w:after="0"/>
              <w:rPr>
                <w:sz w:val="20"/>
                <w:szCs w:val="20"/>
                <w:color w:val="auto"/>
              </w:rPr>
            </w:pPr>
            <w:r>
              <w:rPr>
                <w:rFonts w:ascii="Arial" w:cs="Arial" w:eastAsia="Arial" w:hAnsi="Arial"/>
                <w:sz w:val="22"/>
                <w:szCs w:val="22"/>
                <w:color w:val="auto"/>
              </w:rPr>
              <w:t>Spare Parts Initial Provisioning</w:t>
            </w:r>
          </w:p>
        </w:tc>
        <w:tc>
          <w:tcPr>
            <w:tcW w:w="27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020"/>
          </w:cols>
          <w:pgMar w:left="320" w:top="962" w:right="559" w:bottom="1440" w:gutter="0" w:footer="0" w:header="0"/>
        </w:sectPr>
      </w:pPr>
    </w:p>
    <w:p>
      <w:pPr>
        <w:spacing w:after="0" w:line="176" w:lineRule="exact"/>
        <w:rPr>
          <w:sz w:val="20"/>
          <w:szCs w:val="20"/>
          <w:color w:val="auto"/>
        </w:rPr>
      </w:pPr>
    </w:p>
    <w:p>
      <w:pPr>
        <w:ind w:left="80"/>
        <w:spacing w:after="0"/>
        <w:rPr>
          <w:sz w:val="20"/>
          <w:szCs w:val="20"/>
          <w:color w:val="auto"/>
        </w:rPr>
      </w:pPr>
      <w:r>
        <w:rPr>
          <w:rFonts w:ascii="Arial" w:cs="Arial" w:eastAsia="Arial" w:hAnsi="Arial"/>
          <w:sz w:val="22"/>
          <w:szCs w:val="22"/>
          <w:b w:val="1"/>
          <w:bCs w:val="1"/>
          <w:u w:val="single" w:color="auto"/>
          <w:color w:val="auto"/>
        </w:rPr>
        <w:t>LETTER AGREEMENTS,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200" w:type="dxa"/>
            <w:vAlign w:val="bottom"/>
            <w:gridSpan w:val="2"/>
          </w:tcPr>
          <w:p>
            <w:pPr>
              <w:ind w:left="80"/>
              <w:spacing w:after="0"/>
              <w:rPr>
                <w:sz w:val="20"/>
                <w:szCs w:val="20"/>
                <w:color w:val="auto"/>
              </w:rPr>
            </w:pPr>
            <w:r>
              <w:rPr>
                <w:rFonts w:ascii="Arial" w:cs="Arial" w:eastAsia="Arial" w:hAnsi="Arial"/>
                <w:sz w:val="22"/>
                <w:szCs w:val="22"/>
                <w:color w:val="auto"/>
              </w:rPr>
              <w:t>LA-1106661R2</w:t>
            </w:r>
          </w:p>
        </w:tc>
        <w:tc>
          <w:tcPr>
            <w:tcW w:w="3440" w:type="dxa"/>
            <w:vAlign w:val="bottom"/>
          </w:tcPr>
          <w:p>
            <w:pPr>
              <w:ind w:left="280"/>
              <w:spacing w:after="0"/>
              <w:rPr>
                <w:sz w:val="20"/>
                <w:szCs w:val="20"/>
                <w:color w:val="auto"/>
              </w:rPr>
            </w:pPr>
            <w:r>
              <w:rPr>
                <w:rFonts w:ascii="Arial" w:cs="Arial" w:eastAsia="Arial" w:hAnsi="Arial"/>
                <w:sz w:val="22"/>
                <w:szCs w:val="22"/>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LA-1106667</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22"/>
                <w:szCs w:val="22"/>
                <w:color w:val="auto"/>
              </w:rPr>
              <w:t>[****]</w:t>
            </w:r>
          </w:p>
        </w:tc>
      </w:tr>
      <w:tr>
        <w:trPr>
          <w:trHeight w:val="432"/>
        </w:trPr>
        <w:tc>
          <w:tcPr>
            <w:tcW w:w="2200" w:type="dxa"/>
            <w:vAlign w:val="bottom"/>
            <w:gridSpan w:val="2"/>
          </w:tcPr>
          <w:p>
            <w:pPr>
              <w:ind w:left="80"/>
              <w:spacing w:after="0"/>
              <w:rPr>
                <w:sz w:val="20"/>
                <w:szCs w:val="20"/>
                <w:color w:val="auto"/>
              </w:rPr>
            </w:pPr>
            <w:r>
              <w:rPr>
                <w:rFonts w:ascii="Arial" w:cs="Arial" w:eastAsia="Arial" w:hAnsi="Arial"/>
                <w:sz w:val="22"/>
                <w:szCs w:val="22"/>
                <w:color w:val="auto"/>
              </w:rPr>
              <w:t>LA-1106668R1</w:t>
            </w:r>
          </w:p>
        </w:tc>
        <w:tc>
          <w:tcPr>
            <w:tcW w:w="3440" w:type="dxa"/>
            <w:vAlign w:val="bottom"/>
          </w:tcPr>
          <w:p>
            <w:pPr>
              <w:ind w:left="280"/>
              <w:spacing w:after="0"/>
              <w:rPr>
                <w:sz w:val="20"/>
                <w:szCs w:val="20"/>
                <w:color w:val="auto"/>
              </w:rPr>
            </w:pPr>
            <w:r>
              <w:rPr>
                <w:rFonts w:ascii="Arial" w:cs="Arial" w:eastAsia="Arial" w:hAnsi="Arial"/>
                <w:sz w:val="22"/>
                <w:szCs w:val="22"/>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LA-1106669</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22"/>
                <w:szCs w:val="22"/>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LA-1106670</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22"/>
                <w:szCs w:val="22"/>
                <w:color w:val="auto"/>
              </w:rPr>
              <w:t>Confidentiality</w:t>
            </w:r>
          </w:p>
        </w:tc>
      </w:tr>
      <w:tr>
        <w:trPr>
          <w:trHeight w:val="432"/>
        </w:trPr>
        <w:tc>
          <w:tcPr>
            <w:tcW w:w="2200" w:type="dxa"/>
            <w:vAlign w:val="bottom"/>
            <w:gridSpan w:val="2"/>
          </w:tcPr>
          <w:p>
            <w:pPr>
              <w:ind w:left="80"/>
              <w:spacing w:after="0"/>
              <w:rPr>
                <w:sz w:val="20"/>
                <w:szCs w:val="20"/>
                <w:color w:val="auto"/>
              </w:rPr>
            </w:pPr>
            <w:r>
              <w:rPr>
                <w:rFonts w:ascii="Arial" w:cs="Arial" w:eastAsia="Arial" w:hAnsi="Arial"/>
                <w:sz w:val="22"/>
                <w:szCs w:val="22"/>
                <w:color w:val="auto"/>
              </w:rPr>
              <w:t>LA-1106671R1</w:t>
            </w:r>
          </w:p>
        </w:tc>
        <w:tc>
          <w:tcPr>
            <w:tcW w:w="3440" w:type="dxa"/>
            <w:vAlign w:val="bottom"/>
          </w:tcPr>
          <w:p>
            <w:pPr>
              <w:ind w:left="280"/>
              <w:spacing w:after="0"/>
              <w:rPr>
                <w:sz w:val="20"/>
                <w:szCs w:val="20"/>
                <w:color w:val="auto"/>
              </w:rPr>
            </w:pPr>
            <w:r>
              <w:rPr>
                <w:rFonts w:ascii="Arial" w:cs="Arial" w:eastAsia="Arial" w:hAnsi="Arial"/>
                <w:sz w:val="22"/>
                <w:szCs w:val="22"/>
                <w:color w:val="auto"/>
              </w:rPr>
              <w:t>Miscellaneous Commitments</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LA-1106672</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22"/>
                <w:szCs w:val="22"/>
                <w:color w:val="auto"/>
              </w:rPr>
              <w:t>Extended Warranty Option</w:t>
            </w:r>
          </w:p>
        </w:tc>
      </w:tr>
      <w:tr>
        <w:trPr>
          <w:trHeight w:val="432"/>
        </w:trPr>
        <w:tc>
          <w:tcPr>
            <w:tcW w:w="2200" w:type="dxa"/>
            <w:vAlign w:val="bottom"/>
            <w:gridSpan w:val="2"/>
          </w:tcPr>
          <w:p>
            <w:pPr>
              <w:ind w:left="80"/>
              <w:spacing w:after="0"/>
              <w:rPr>
                <w:sz w:val="20"/>
                <w:szCs w:val="20"/>
                <w:color w:val="auto"/>
              </w:rPr>
            </w:pPr>
            <w:r>
              <w:rPr>
                <w:rFonts w:ascii="Arial" w:cs="Arial" w:eastAsia="Arial" w:hAnsi="Arial"/>
                <w:sz w:val="22"/>
                <w:szCs w:val="22"/>
                <w:color w:val="auto"/>
              </w:rPr>
              <w:t>LA-1106673R1*</w:t>
            </w:r>
          </w:p>
        </w:tc>
        <w:tc>
          <w:tcPr>
            <w:tcW w:w="3440" w:type="dxa"/>
            <w:vAlign w:val="bottom"/>
          </w:tcPr>
          <w:p>
            <w:pPr>
              <w:ind w:left="280"/>
              <w:spacing w:after="0"/>
              <w:rPr>
                <w:sz w:val="20"/>
                <w:szCs w:val="20"/>
                <w:color w:val="auto"/>
              </w:rPr>
            </w:pPr>
            <w:r>
              <w:rPr>
                <w:rFonts w:ascii="Arial" w:cs="Arial" w:eastAsia="Arial" w:hAnsi="Arial"/>
                <w:sz w:val="22"/>
                <w:szCs w:val="22"/>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LA-1106677</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22"/>
                <w:szCs w:val="22"/>
                <w:color w:val="auto"/>
                <w:w w:val="97"/>
              </w:rPr>
              <w:t>Optional Features Comfort Letter</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LA-1600073</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22"/>
                <w:szCs w:val="22"/>
                <w:color w:val="auto"/>
              </w:rPr>
              <w:t>[****]</w:t>
            </w:r>
          </w:p>
        </w:tc>
      </w:tr>
      <w:tr>
        <w:trPr>
          <w:trHeight w:val="351"/>
        </w:trPr>
        <w:tc>
          <w:tcPr>
            <w:tcW w:w="1360" w:type="dxa"/>
            <w:vAlign w:val="bottom"/>
          </w:tcPr>
          <w:p>
            <w:pPr>
              <w:spacing w:after="0"/>
              <w:rPr>
                <w:sz w:val="20"/>
                <w:szCs w:val="20"/>
                <w:color w:val="auto"/>
              </w:rPr>
            </w:pPr>
            <w:r>
              <w:rPr>
                <w:rFonts w:ascii="Arial" w:cs="Arial" w:eastAsia="Arial" w:hAnsi="Arial"/>
                <w:sz w:val="22"/>
                <w:szCs w:val="22"/>
                <w:color w:val="auto"/>
              </w:rPr>
              <w:t>LA-1600852</w:t>
            </w:r>
          </w:p>
        </w:tc>
        <w:tc>
          <w:tcPr>
            <w:tcW w:w="8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3440" w:type="dxa"/>
            <w:vAlign w:val="bottom"/>
          </w:tcPr>
          <w:p>
            <w:pPr>
              <w:ind w:left="1720"/>
              <w:spacing w:after="0"/>
              <w:rPr>
                <w:sz w:val="20"/>
                <w:szCs w:val="20"/>
                <w:color w:val="auto"/>
              </w:rPr>
            </w:pPr>
            <w:r>
              <w:rPr>
                <w:rFonts w:ascii="Arial" w:cs="Arial" w:eastAsia="Arial" w:hAnsi="Arial"/>
                <w:sz w:val="22"/>
                <w:szCs w:val="22"/>
                <w:color w:val="auto"/>
              </w:rPr>
              <w:t>5</w:t>
            </w:r>
          </w:p>
        </w:tc>
      </w:tr>
      <w:tr>
        <w:trPr>
          <w:trHeight w:val="216"/>
        </w:trPr>
        <w:tc>
          <w:tcPr>
            <w:tcW w:w="2200" w:type="dxa"/>
            <w:vAlign w:val="bottom"/>
            <w:gridSpan w:val="2"/>
          </w:tcPr>
          <w:p>
            <w:pPr>
              <w:spacing w:after="0" w:line="216" w:lineRule="exact"/>
              <w:rPr>
                <w:sz w:val="20"/>
                <w:szCs w:val="20"/>
                <w:color w:val="auto"/>
              </w:rPr>
            </w:pPr>
            <w:r>
              <w:rPr>
                <w:rFonts w:ascii="Arial" w:cs="Arial" w:eastAsia="Arial" w:hAnsi="Arial"/>
                <w:sz w:val="22"/>
                <w:szCs w:val="22"/>
                <w:color w:val="auto"/>
              </w:rPr>
              <w:t>LA-1603773 [****]</w:t>
            </w:r>
          </w:p>
        </w:tc>
        <w:tc>
          <w:tcPr>
            <w:tcW w:w="3440" w:type="dxa"/>
            <w:vAlign w:val="bottom"/>
          </w:tcPr>
          <w:p>
            <w:pPr>
              <w:ind w:left="760"/>
              <w:spacing w:after="0" w:line="216" w:lineRule="exact"/>
              <w:rPr>
                <w:sz w:val="20"/>
                <w:szCs w:val="20"/>
                <w:color w:val="auto"/>
              </w:rPr>
            </w:pPr>
            <w:r>
              <w:rPr>
                <w:rFonts w:ascii="Arial" w:cs="Arial" w:eastAsia="Arial" w:hAnsi="Arial"/>
                <w:sz w:val="22"/>
                <w:szCs w:val="22"/>
                <w:color w:val="auto"/>
              </w:rPr>
              <w:t>5</w:t>
            </w:r>
          </w:p>
        </w:tc>
      </w:tr>
      <w:tr>
        <w:trPr>
          <w:trHeight w:val="216"/>
        </w:trPr>
        <w:tc>
          <w:tcPr>
            <w:tcW w:w="2200" w:type="dxa"/>
            <w:vAlign w:val="bottom"/>
            <w:gridSpan w:val="2"/>
          </w:tcPr>
          <w:p>
            <w:pPr>
              <w:spacing w:after="0" w:line="216" w:lineRule="exact"/>
              <w:rPr>
                <w:sz w:val="20"/>
                <w:szCs w:val="20"/>
                <w:color w:val="auto"/>
              </w:rPr>
            </w:pPr>
            <w:r>
              <w:rPr>
                <w:rFonts w:ascii="Arial" w:cs="Arial" w:eastAsia="Arial" w:hAnsi="Arial"/>
                <w:sz w:val="22"/>
                <w:szCs w:val="22"/>
                <w:color w:val="auto"/>
              </w:rPr>
              <w:t>LA-1605402 [****]</w:t>
            </w:r>
          </w:p>
        </w:tc>
        <w:tc>
          <w:tcPr>
            <w:tcW w:w="3440" w:type="dxa"/>
            <w:vAlign w:val="bottom"/>
          </w:tcPr>
          <w:p>
            <w:pPr>
              <w:ind w:left="1480"/>
              <w:spacing w:after="0" w:line="216" w:lineRule="exact"/>
              <w:rPr>
                <w:sz w:val="20"/>
                <w:szCs w:val="20"/>
                <w:color w:val="auto"/>
              </w:rPr>
            </w:pPr>
            <w:r>
              <w:rPr>
                <w:rFonts w:ascii="Arial" w:cs="Arial" w:eastAsia="Arial" w:hAnsi="Arial"/>
                <w:sz w:val="22"/>
                <w:szCs w:val="22"/>
                <w:color w:val="auto"/>
              </w:rPr>
              <w:t>6</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LA-1700919</w:t>
            </w:r>
          </w:p>
        </w:tc>
        <w:tc>
          <w:tcPr>
            <w:tcW w:w="840" w:type="dxa"/>
            <w:vAlign w:val="bottom"/>
          </w:tcPr>
          <w:p>
            <w:pPr>
              <w:jc w:val="right"/>
              <w:ind w:right="152"/>
              <w:spacing w:after="0" w:line="216" w:lineRule="exact"/>
              <w:rPr>
                <w:sz w:val="20"/>
                <w:szCs w:val="20"/>
                <w:color w:val="auto"/>
              </w:rPr>
            </w:pPr>
            <w:r>
              <w:rPr>
                <w:rFonts w:ascii="Arial" w:cs="Arial" w:eastAsia="Arial" w:hAnsi="Arial"/>
                <w:sz w:val="22"/>
                <w:szCs w:val="22"/>
                <w:color w:val="auto"/>
              </w:rPr>
              <w:t>[****]</w:t>
            </w:r>
          </w:p>
        </w:tc>
        <w:tc>
          <w:tcPr>
            <w:tcW w:w="3440" w:type="dxa"/>
            <w:vAlign w:val="bottom"/>
          </w:tcPr>
          <w:p>
            <w:pPr>
              <w:ind w:left="1960"/>
              <w:spacing w:after="0" w:line="216" w:lineRule="exact"/>
              <w:rPr>
                <w:sz w:val="20"/>
                <w:szCs w:val="20"/>
                <w:color w:val="auto"/>
              </w:rPr>
            </w:pPr>
            <w:r>
              <w:rPr>
                <w:rFonts w:ascii="Arial" w:cs="Arial" w:eastAsia="Arial" w:hAnsi="Arial"/>
                <w:sz w:val="22"/>
                <w:szCs w:val="22"/>
                <w:color w:val="auto"/>
              </w:rPr>
              <w:t>7</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LA-1801206</w:t>
            </w:r>
          </w:p>
        </w:tc>
        <w:tc>
          <w:tcPr>
            <w:tcW w:w="840" w:type="dxa"/>
            <w:vAlign w:val="bottom"/>
          </w:tcPr>
          <w:p>
            <w:pPr>
              <w:jc w:val="right"/>
              <w:ind w:right="152"/>
              <w:spacing w:after="0" w:line="216" w:lineRule="exact"/>
              <w:rPr>
                <w:sz w:val="20"/>
                <w:szCs w:val="20"/>
                <w:color w:val="auto"/>
              </w:rPr>
            </w:pPr>
            <w:r>
              <w:rPr>
                <w:rFonts w:ascii="Arial" w:cs="Arial" w:eastAsia="Arial" w:hAnsi="Arial"/>
                <w:sz w:val="22"/>
                <w:szCs w:val="22"/>
                <w:color w:val="auto"/>
              </w:rPr>
              <w:t>[****]</w:t>
            </w:r>
          </w:p>
        </w:tc>
        <w:tc>
          <w:tcPr>
            <w:tcW w:w="3440" w:type="dxa"/>
            <w:vAlign w:val="bottom"/>
          </w:tcPr>
          <w:p>
            <w:pPr>
              <w:ind w:left="1480"/>
              <w:spacing w:after="0" w:line="216" w:lineRule="exact"/>
              <w:rPr>
                <w:sz w:val="20"/>
                <w:szCs w:val="20"/>
                <w:color w:val="auto"/>
              </w:rPr>
            </w:pPr>
            <w:r>
              <w:rPr>
                <w:rFonts w:ascii="Arial" w:cs="Arial" w:eastAsia="Arial" w:hAnsi="Arial"/>
                <w:sz w:val="22"/>
                <w:szCs w:val="22"/>
                <w:color w:val="auto"/>
              </w:rPr>
              <w:t>9</w:t>
            </w:r>
          </w:p>
        </w:tc>
      </w:tr>
      <w:tr>
        <w:trPr>
          <w:trHeight w:val="216"/>
        </w:trPr>
        <w:tc>
          <w:tcPr>
            <w:tcW w:w="2200" w:type="dxa"/>
            <w:vAlign w:val="bottom"/>
            <w:gridSpan w:val="2"/>
          </w:tcPr>
          <w:p>
            <w:pPr>
              <w:spacing w:after="0" w:line="216" w:lineRule="exact"/>
              <w:rPr>
                <w:sz w:val="20"/>
                <w:szCs w:val="20"/>
                <w:color w:val="auto"/>
              </w:rPr>
            </w:pPr>
            <w:r>
              <w:rPr>
                <w:rFonts w:ascii="Arial" w:cs="Arial" w:eastAsia="Arial" w:hAnsi="Arial"/>
                <w:sz w:val="22"/>
                <w:szCs w:val="22"/>
                <w:color w:val="auto"/>
              </w:rPr>
              <w:t>LA-2002704 [****]</w:t>
            </w:r>
          </w:p>
        </w:tc>
        <w:tc>
          <w:tcPr>
            <w:tcW w:w="3440" w:type="dxa"/>
            <w:vAlign w:val="bottom"/>
          </w:tcPr>
          <w:p>
            <w:pPr>
              <w:ind w:left="1480"/>
              <w:spacing w:after="0" w:line="216" w:lineRule="exact"/>
              <w:rPr>
                <w:sz w:val="20"/>
                <w:szCs w:val="20"/>
                <w:color w:val="auto"/>
              </w:rPr>
            </w:pPr>
            <w:r>
              <w:rPr>
                <w:rFonts w:ascii="Arial" w:cs="Arial" w:eastAsia="Arial" w:hAnsi="Arial"/>
                <w:sz w:val="22"/>
                <w:szCs w:val="22"/>
                <w:color w:val="auto"/>
              </w:rPr>
              <w:t>11</w:t>
            </w:r>
          </w:p>
        </w:tc>
      </w:tr>
      <w:tr>
        <w:trPr>
          <w:trHeight w:val="216"/>
        </w:trPr>
        <w:tc>
          <w:tcPr>
            <w:tcW w:w="2200" w:type="dxa"/>
            <w:vAlign w:val="bottom"/>
            <w:gridSpan w:val="2"/>
          </w:tcPr>
          <w:p>
            <w:pPr>
              <w:spacing w:after="0" w:line="216" w:lineRule="exact"/>
              <w:rPr>
                <w:sz w:val="20"/>
                <w:szCs w:val="20"/>
                <w:color w:val="auto"/>
              </w:rPr>
            </w:pPr>
            <w:r>
              <w:rPr>
                <w:rFonts w:ascii="Arial" w:cs="Arial" w:eastAsia="Arial" w:hAnsi="Arial"/>
                <w:sz w:val="22"/>
                <w:szCs w:val="22"/>
                <w:color w:val="auto"/>
              </w:rPr>
              <w:t>LA-2002743 [****]</w:t>
            </w:r>
          </w:p>
        </w:tc>
        <w:tc>
          <w:tcPr>
            <w:tcW w:w="3440" w:type="dxa"/>
            <w:vAlign w:val="bottom"/>
          </w:tcPr>
          <w:p>
            <w:pPr>
              <w:ind w:left="1480"/>
              <w:spacing w:after="0" w:line="216" w:lineRule="exact"/>
              <w:rPr>
                <w:sz w:val="20"/>
                <w:szCs w:val="20"/>
                <w:color w:val="auto"/>
              </w:rPr>
            </w:pPr>
            <w:r>
              <w:rPr>
                <w:rFonts w:ascii="Arial" w:cs="Arial" w:eastAsia="Arial" w:hAnsi="Arial"/>
                <w:sz w:val="22"/>
                <w:szCs w:val="22"/>
                <w:color w:val="auto"/>
              </w:rPr>
              <w:t>11</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LA-2003342</w:t>
            </w:r>
          </w:p>
        </w:tc>
        <w:tc>
          <w:tcPr>
            <w:tcW w:w="840" w:type="dxa"/>
            <w:vAlign w:val="bottom"/>
          </w:tcPr>
          <w:p>
            <w:pPr>
              <w:jc w:val="right"/>
              <w:ind w:right="152"/>
              <w:spacing w:after="0" w:line="216" w:lineRule="exact"/>
              <w:rPr>
                <w:sz w:val="20"/>
                <w:szCs w:val="20"/>
                <w:color w:val="auto"/>
              </w:rPr>
            </w:pPr>
            <w:r>
              <w:rPr>
                <w:rFonts w:ascii="Arial" w:cs="Arial" w:eastAsia="Arial" w:hAnsi="Arial"/>
                <w:sz w:val="22"/>
                <w:szCs w:val="22"/>
                <w:color w:val="auto"/>
              </w:rPr>
              <w:t>[****]</w:t>
            </w:r>
          </w:p>
        </w:tc>
        <w:tc>
          <w:tcPr>
            <w:tcW w:w="3440" w:type="dxa"/>
            <w:vAlign w:val="bottom"/>
          </w:tcPr>
          <w:p>
            <w:pPr>
              <w:ind w:left="1960"/>
              <w:spacing w:after="0" w:line="216" w:lineRule="exact"/>
              <w:rPr>
                <w:sz w:val="20"/>
                <w:szCs w:val="20"/>
                <w:color w:val="auto"/>
              </w:rPr>
            </w:pPr>
            <w:r>
              <w:rPr>
                <w:rFonts w:ascii="Arial" w:cs="Arial" w:eastAsia="Arial" w:hAnsi="Arial"/>
                <w:sz w:val="22"/>
                <w:szCs w:val="22"/>
                <w:color w:val="auto"/>
              </w:rPr>
              <w:t>11</w:t>
            </w:r>
          </w:p>
        </w:tc>
      </w:tr>
      <w:tr>
        <w:trPr>
          <w:trHeight w:val="283"/>
        </w:trPr>
        <w:tc>
          <w:tcPr>
            <w:tcW w:w="1360" w:type="dxa"/>
            <w:vAlign w:val="bottom"/>
          </w:tcPr>
          <w:p>
            <w:pPr>
              <w:spacing w:after="0"/>
              <w:rPr>
                <w:sz w:val="20"/>
                <w:szCs w:val="20"/>
                <w:color w:val="auto"/>
              </w:rPr>
            </w:pPr>
            <w:r>
              <w:rPr>
                <w:rFonts w:ascii="Arial" w:cs="Arial" w:eastAsia="Arial" w:hAnsi="Arial"/>
                <w:sz w:val="22"/>
                <w:szCs w:val="22"/>
                <w:color w:val="auto"/>
              </w:rPr>
              <w:t>LA-2003486</w:t>
            </w:r>
          </w:p>
        </w:tc>
        <w:tc>
          <w:tcPr>
            <w:tcW w:w="840" w:type="dxa"/>
            <w:vAlign w:val="bottom"/>
          </w:tcPr>
          <w:p>
            <w:pPr>
              <w:jc w:val="right"/>
              <w:ind w:right="152"/>
              <w:spacing w:after="0"/>
              <w:rPr>
                <w:sz w:val="20"/>
                <w:szCs w:val="20"/>
                <w:color w:val="auto"/>
              </w:rPr>
            </w:pPr>
            <w:r>
              <w:rPr>
                <w:rFonts w:ascii="Arial" w:cs="Arial" w:eastAsia="Arial" w:hAnsi="Arial"/>
                <w:sz w:val="22"/>
                <w:szCs w:val="22"/>
                <w:color w:val="auto"/>
              </w:rPr>
              <w:t>[****]</w:t>
            </w:r>
          </w:p>
        </w:tc>
        <w:tc>
          <w:tcPr>
            <w:tcW w:w="3440" w:type="dxa"/>
            <w:vAlign w:val="bottom"/>
          </w:tcPr>
          <w:p>
            <w:pPr>
              <w:ind w:left="1960"/>
              <w:spacing w:after="0"/>
              <w:rPr>
                <w:sz w:val="20"/>
                <w:szCs w:val="20"/>
                <w:color w:val="auto"/>
              </w:rPr>
            </w:pPr>
            <w:r>
              <w:rPr>
                <w:rFonts w:ascii="Arial" w:cs="Arial" w:eastAsia="Arial" w:hAnsi="Arial"/>
                <w:sz w:val="22"/>
                <w:szCs w:val="22"/>
                <w:color w:val="auto"/>
              </w:rPr>
              <w:t>14</w:t>
            </w: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SA</w:t>
      </w:r>
    </w:p>
    <w:p>
      <w:pPr>
        <w:jc w:val="center"/>
        <w:ind w:right="40"/>
        <w:spacing w:after="0"/>
        <w:rPr>
          <w:sz w:val="20"/>
          <w:szCs w:val="20"/>
          <w:color w:val="auto"/>
        </w:rPr>
      </w:pPr>
      <w:r>
        <w:rPr>
          <w:rFonts w:ascii="Arial" w:cs="Arial" w:eastAsia="Arial" w:hAnsi="Arial"/>
          <w:sz w:val="21"/>
          <w:szCs w:val="21"/>
          <w:b w:val="1"/>
          <w:bCs w:val="1"/>
          <w:u w:val="single" w:color="auto"/>
          <w:color w:val="auto"/>
        </w:rPr>
        <w:t>NUMBER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2353" w:lineRule="exact"/>
        <w:rPr>
          <w:sz w:val="20"/>
          <w:szCs w:val="20"/>
          <w:color w:val="auto"/>
        </w:rPr>
      </w:pPr>
    </w:p>
    <w:p>
      <w:pPr>
        <w:sectPr>
          <w:pgSz w:w="11900" w:h="16838" w:orient="portrait"/>
          <w:cols w:equalWidth="0" w:num="2">
            <w:col w:w="9300" w:space="720"/>
            <w:col w:w="1000"/>
          </w:cols>
          <w:pgMar w:left="320" w:top="962" w:right="559" w:bottom="1440" w:gutter="0" w:footer="0" w:header="0"/>
          <w:type w:val="continuous"/>
        </w:sectPr>
      </w:pPr>
    </w:p>
    <w:p>
      <w:pPr>
        <w:ind w:firstLine="8"/>
        <w:spacing w:after="0" w:line="236" w:lineRule="auto"/>
        <w:tabs>
          <w:tab w:leader="none" w:pos="144" w:val="left"/>
        </w:tabs>
        <w:numPr>
          <w:ilvl w:val="0"/>
          <w:numId w:val="55"/>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ectPr>
          <w:pgSz w:w="11900" w:h="16838" w:orient="portrait"/>
          <w:cols w:equalWidth="0" w:num="1">
            <w:col w:w="11020"/>
          </w:cols>
          <w:pgMar w:left="320" w:top="962"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2 of 2</w:t>
      </w:r>
      <w:r>
        <w:rPr>
          <w:sz w:val="20"/>
          <w:szCs w:val="20"/>
          <w:color w:val="auto"/>
        </w:rPr>
        <w:tab/>
      </w:r>
      <w:r>
        <w:rPr>
          <w:rFonts w:ascii="Arial" w:cs="Arial" w:eastAsia="Arial" w:hAnsi="Arial"/>
          <w:sz w:val="21"/>
          <w:szCs w:val="21"/>
          <w:color w:val="auto"/>
        </w:rPr>
        <w:t>SA-21</w:t>
      </w:r>
    </w:p>
    <w:p>
      <w:pPr>
        <w:jc w:val="center"/>
        <w:ind w:right="-2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20"/>
          </w:cols>
          <w:pgMar w:left="320" w:top="962" w:right="559" w:bottom="1440" w:gutter="0" w:footer="0" w:header="0"/>
          <w:type w:val="continuous"/>
        </w:sectPr>
      </w:pPr>
    </w:p>
    <w:bookmarkStart w:id="113" w:name="page114"/>
    <w:bookmarkEnd w:id="113"/>
    <w:p>
      <w:pPr>
        <w:jc w:val="center"/>
        <w:ind w:right="20"/>
        <w:spacing w:after="0"/>
        <w:rPr>
          <w:sz w:val="20"/>
          <w:szCs w:val="20"/>
          <w:color w:val="auto"/>
        </w:rPr>
      </w:pPr>
      <w:r>
        <w:rPr>
          <w:rFonts w:ascii="Arial" w:cs="Arial" w:eastAsia="Arial" w:hAnsi="Arial"/>
          <w:sz w:val="22"/>
          <w:szCs w:val="22"/>
          <w:b w:val="1"/>
          <w:bCs w:val="1"/>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1-4 To</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Purchase Agreement No. PA-03735</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737-8 [****] Aircraft Delivery, Description, Price and Advance Payments</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Model/MTOW:</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737-8</w:t>
            </w:r>
          </w:p>
        </w:tc>
        <w:tc>
          <w:tcPr>
            <w:tcW w:w="2180" w:type="dxa"/>
            <w:vAlign w:val="bottom"/>
            <w:gridSpan w:val="2"/>
          </w:tcPr>
          <w:p>
            <w:pPr>
              <w:jc w:val="right"/>
              <w:ind w:right="111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pounds</w:t>
            </w:r>
          </w:p>
        </w:tc>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Detail Specification:</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2"/>
          </w:tcPr>
          <w:p>
            <w:pPr>
              <w:jc w:val="right"/>
              <w:ind w:right="49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FFFFFF"/>
              </w:rPr>
              <w:t>External</w:t>
            </w:r>
          </w:p>
        </w:tc>
        <w:tc>
          <w:tcPr>
            <w:tcW w:w="0" w:type="dxa"/>
            <w:vAlign w:val="bottom"/>
          </w:tcPr>
          <w:p>
            <w:pPr>
              <w:spacing w:after="0"/>
              <w:rPr>
                <w:sz w:val="1"/>
                <w:szCs w:val="1"/>
                <w:color w:val="auto"/>
              </w:rPr>
            </w:pPr>
          </w:p>
        </w:tc>
      </w:tr>
      <w:tr>
        <w:trPr>
          <w:trHeight w:val="293"/>
        </w:trPr>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CFMLEAP-</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Engine Model/Thrust:</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1B25</w:t>
            </w:r>
          </w:p>
        </w:tc>
        <w:tc>
          <w:tcPr>
            <w:tcW w:w="2180" w:type="dxa"/>
            <w:vAlign w:val="bottom"/>
            <w:gridSpan w:val="2"/>
          </w:tcPr>
          <w:p>
            <w:pPr>
              <w:jc w:val="right"/>
              <w:ind w:right="111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pounds</w:t>
            </w: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Airframe Price Base Year/Escalation Formula:</w:t>
            </w: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1280" w:type="dxa"/>
            <w:vAlign w:val="bottom"/>
          </w:tcPr>
          <w:p>
            <w:pPr>
              <w:spacing w:after="0"/>
              <w:rPr>
                <w:sz w:val="24"/>
                <w:szCs w:val="24"/>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Engine Price Base Year/Escalation Formula:</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1280" w:type="dxa"/>
            <w:vAlign w:val="bottom"/>
          </w:tcPr>
          <w:p>
            <w:pPr>
              <w:spacing w:after="0"/>
              <w:rPr>
                <w:sz w:val="24"/>
                <w:szCs w:val="24"/>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1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of Airframe and Features:</w:t>
            </w: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Airframe Escalation Data:</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19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Engine Price (Per</w:t>
            </w:r>
          </w:p>
        </w:tc>
        <w:tc>
          <w:tcPr>
            <w:tcW w:w="12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190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1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Aircraft Basic Price (Excluding</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BFE/SPE):</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8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Buyer Furnished Equipment (BFE)</w:t>
            </w:r>
          </w:p>
        </w:tc>
        <w:tc>
          <w:tcPr>
            <w:tcW w:w="10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80" w:type="dxa"/>
            <w:vAlign w:val="bottom"/>
            <w:gridSpan w:val="4"/>
            <w:vMerge w:val="continue"/>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1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Seller Purchased Equipment (SPE)</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1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LIFT Seats Provided by Boeing</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(Estimate):</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9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Deposit per Aircraft:</w:t>
            </w:r>
          </w:p>
        </w:tc>
        <w:tc>
          <w:tcPr>
            <w:tcW w:w="1280" w:type="dxa"/>
            <w:vAlign w:val="bottom"/>
          </w:tcPr>
          <w:p>
            <w:pPr>
              <w:spacing w:after="0"/>
              <w:rPr>
                <w:sz w:val="24"/>
                <w:szCs w:val="24"/>
                <w:color w:val="auto"/>
              </w:rPr>
            </w:pP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8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shd w:val="clear" w:color="auto" w:fill="C0C0C0"/>
          </w:tcPr>
          <w:p>
            <w:pPr>
              <w:spacing w:after="0"/>
              <w:rPr>
                <w:sz w:val="22"/>
                <w:szCs w:val="22"/>
                <w:color w:val="auto"/>
              </w:rPr>
            </w:pPr>
          </w:p>
        </w:tc>
        <w:tc>
          <w:tcPr>
            <w:tcW w:w="1100" w:type="dxa"/>
            <w:vAlign w:val="bottom"/>
            <w:tcBorders>
              <w:right w:val="single" w:sz="8" w:color="auto"/>
            </w:tcBorders>
            <w:shd w:val="clear" w:color="auto" w:fill="C0C0C0"/>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4640" w:type="dxa"/>
            <w:vAlign w:val="bottom"/>
            <w:tcBorders>
              <w:right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Advance Payment Per Aircraft (Amts. Due/Mos. Prior to</w:t>
            </w:r>
          </w:p>
        </w:tc>
        <w:tc>
          <w:tcPr>
            <w:tcW w:w="0" w:type="dxa"/>
            <w:vAlign w:val="bottom"/>
          </w:tcPr>
          <w:p>
            <w:pPr>
              <w:spacing w:after="0"/>
              <w:rPr>
                <w:sz w:val="1"/>
                <w:szCs w:val="1"/>
                <w:color w:val="auto"/>
              </w:rPr>
            </w:pPr>
          </w:p>
        </w:tc>
      </w:tr>
      <w:tr>
        <w:trPr>
          <w:trHeight w:val="238"/>
        </w:trPr>
        <w:tc>
          <w:tcPr>
            <w:tcW w:w="88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80" w:type="dxa"/>
            <w:vAlign w:val="bottom"/>
            <w:tcBorders>
              <w:right w:val="single" w:sz="8" w:color="auto"/>
            </w:tcBorders>
            <w:shd w:val="clear" w:color="auto" w:fill="C0C0C0"/>
          </w:tcPr>
          <w:p>
            <w:pPr>
              <w:spacing w:after="0"/>
              <w:rPr>
                <w:sz w:val="20"/>
                <w:szCs w:val="20"/>
                <w:color w:val="auto"/>
              </w:rPr>
            </w:pPr>
          </w:p>
        </w:tc>
        <w:tc>
          <w:tcPr>
            <w:tcW w:w="1100" w:type="dxa"/>
            <w:vAlign w:val="bottom"/>
            <w:tcBorders>
              <w:right w:val="single" w:sz="8" w:color="auto"/>
            </w:tcBorders>
            <w:shd w:val="clear" w:color="auto" w:fill="C0C0C0"/>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w:t>
            </w: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98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88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shd w:val="clear" w:color="auto" w:fill="C0C0C0"/>
          </w:tcPr>
          <w:p>
            <w:pPr>
              <w:spacing w:after="0"/>
              <w:rPr>
                <w:sz w:val="10"/>
                <w:szCs w:val="10"/>
                <w:color w:val="auto"/>
              </w:rPr>
            </w:pPr>
          </w:p>
        </w:tc>
        <w:tc>
          <w:tcPr>
            <w:tcW w:w="1100" w:type="dxa"/>
            <w:vAlign w:val="bottom"/>
            <w:tcBorders>
              <w:right w:val="single" w:sz="8" w:color="auto"/>
            </w:tcBorders>
            <w:shd w:val="clear" w:color="auto" w:fill="C0C0C0"/>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880" w:type="dxa"/>
            <w:vAlign w:val="bottom"/>
            <w:tcBorders>
              <w:left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tcPr>
          <w:p>
            <w:pPr>
              <w:spacing w:after="0"/>
              <w:rPr>
                <w:sz w:val="4"/>
                <w:szCs w:val="4"/>
                <w:color w:val="auto"/>
              </w:rPr>
            </w:pPr>
          </w:p>
        </w:tc>
        <w:tc>
          <w:tcPr>
            <w:tcW w:w="1080" w:type="dxa"/>
            <w:vAlign w:val="bottom"/>
            <w:tcBorders>
              <w:bottom w:val="single" w:sz="8" w:color="C0C0C0"/>
              <w:right w:val="single" w:sz="8" w:color="auto"/>
            </w:tcBorders>
            <w:shd w:val="clear" w:color="auto" w:fill="C0C0C0"/>
          </w:tcPr>
          <w:p>
            <w:pPr>
              <w:spacing w:after="0"/>
              <w:rPr>
                <w:sz w:val="4"/>
                <w:szCs w:val="4"/>
                <w:color w:val="auto"/>
              </w:rPr>
            </w:pPr>
          </w:p>
        </w:tc>
        <w:tc>
          <w:tcPr>
            <w:tcW w:w="110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40" w:type="dxa"/>
            <w:vAlign w:val="bottom"/>
          </w:tcPr>
          <w:p>
            <w:pPr>
              <w:spacing w:after="0"/>
              <w:rPr>
                <w:sz w:val="4"/>
                <w:szCs w:val="4"/>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 Payment</w:t>
            </w:r>
          </w:p>
        </w:tc>
        <w:tc>
          <w:tcPr>
            <w:tcW w:w="8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8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shd w:val="clear" w:color="auto" w:fill="C0C0C0"/>
          </w:tcPr>
          <w:p>
            <w:pPr>
              <w:spacing w:after="0"/>
              <w:rPr>
                <w:sz w:val="24"/>
                <w:szCs w:val="24"/>
                <w:color w:val="auto"/>
              </w:rPr>
            </w:pPr>
          </w:p>
        </w:tc>
        <w:tc>
          <w:tcPr>
            <w:tcW w:w="1100" w:type="dxa"/>
            <w:vAlign w:val="bottom"/>
            <w:tcBorders>
              <w:right w:val="single" w:sz="8" w:color="auto"/>
            </w:tcBorders>
            <w:vMerge w:val="continue"/>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Borders>
              <w:right w:val="single" w:sz="8" w:color="auto"/>
            </w:tcBorders>
            <w:vMerge w:val="continue"/>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60" w:type="dxa"/>
            <w:vAlign w:val="bottom"/>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080" w:type="dxa"/>
            <w:vAlign w:val="bottom"/>
            <w:tcBorders>
              <w:right w:val="single" w:sz="8" w:color="auto"/>
            </w:tcBorders>
            <w:shd w:val="clear" w:color="auto" w:fill="C0C0C0"/>
          </w:tcPr>
          <w:p>
            <w:pPr>
              <w:spacing w:after="0"/>
              <w:rPr>
                <w:sz w:val="24"/>
                <w:szCs w:val="24"/>
                <w:color w:val="auto"/>
              </w:rPr>
            </w:pPr>
          </w:p>
        </w:tc>
        <w:tc>
          <w:tcPr>
            <w:tcW w:w="11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40" w:type="dxa"/>
            <w:vAlign w:val="bottom"/>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w:t>
            </w:r>
          </w:p>
        </w:tc>
        <w:tc>
          <w:tcPr>
            <w:tcW w:w="150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4"/>
                <w:szCs w:val="24"/>
                <w:color w:val="auto"/>
              </w:rPr>
            </w:pPr>
          </w:p>
        </w:tc>
        <w:tc>
          <w:tcPr>
            <w:tcW w:w="98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b w:val="1"/>
                <w:bCs w:val="1"/>
                <w:color w:val="auto"/>
                <w:w w:val="98"/>
              </w:rPr>
              <w:t>.</w:t>
            </w:r>
          </w:p>
        </w:tc>
        <w:tc>
          <w:tcPr>
            <w:tcW w:w="9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97"/>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60" w:type="dxa"/>
            <w:vAlign w:val="bottom"/>
          </w:tcPr>
          <w:p>
            <w:pPr>
              <w:spacing w:after="0"/>
              <w:rPr>
                <w:sz w:val="24"/>
                <w:szCs w:val="24"/>
                <w:color w:val="auto"/>
              </w:rPr>
            </w:pPr>
          </w:p>
        </w:tc>
        <w:tc>
          <w:tcPr>
            <w:tcW w:w="96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080" w:type="dxa"/>
            <w:vAlign w:val="bottom"/>
            <w:tcBorders>
              <w:right w:val="single" w:sz="8" w:color="auto"/>
            </w:tcBorders>
            <w:shd w:val="clear" w:color="auto" w:fill="C0C0C0"/>
          </w:tcPr>
          <w:p>
            <w:pPr>
              <w:spacing w:after="0"/>
              <w:rPr>
                <w:sz w:val="24"/>
                <w:szCs w:val="24"/>
                <w:color w:val="auto"/>
              </w:rPr>
            </w:pPr>
          </w:p>
        </w:tc>
        <w:tc>
          <w:tcPr>
            <w:tcW w:w="110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40" w:type="dxa"/>
            <w:vAlign w:val="bottom"/>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15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4"/>
                <w:szCs w:val="24"/>
                <w:color w:val="auto"/>
              </w:rPr>
            </w:pPr>
          </w:p>
        </w:tc>
        <w:tc>
          <w:tcPr>
            <w:tcW w:w="98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4"/>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10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880" w:type="dxa"/>
            <w:vAlign w:val="bottom"/>
            <w:tcBorders>
              <w:left w:val="single" w:sz="8" w:color="auto"/>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88"/>
              </w:rPr>
              <w:t>4</w:t>
            </w:r>
          </w:p>
        </w:tc>
        <w:tc>
          <w:tcPr>
            <w:tcW w:w="12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shd w:val="clear" w:color="auto" w:fill="C0C0C0"/>
          </w:tcPr>
          <w:p>
            <w:pPr>
              <w:spacing w:after="0"/>
              <w:rPr>
                <w:sz w:val="15"/>
                <w:szCs w:val="15"/>
                <w:color w:val="auto"/>
              </w:rPr>
            </w:pPr>
          </w:p>
        </w:tc>
        <w:tc>
          <w:tcPr>
            <w:tcW w:w="1100" w:type="dxa"/>
            <w:vAlign w:val="bottom"/>
            <w:tcBorders>
              <w:right w:val="single" w:sz="8" w:color="auto"/>
            </w:tcBorders>
            <w:shd w:val="clear" w:color="auto" w:fill="C0C0C0"/>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Pr>
          <w:p>
            <w:pPr>
              <w:spacing w:after="0"/>
              <w:rPr>
                <w:sz w:val="14"/>
                <w:szCs w:val="14"/>
                <w:color w:val="auto"/>
              </w:rPr>
            </w:pPr>
          </w:p>
        </w:tc>
        <w:tc>
          <w:tcPr>
            <w:tcW w:w="96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shd w:val="clear" w:color="auto" w:fill="C0C0C0"/>
          </w:tcPr>
          <w:p>
            <w:pPr>
              <w:spacing w:after="0"/>
              <w:rPr>
                <w:sz w:val="14"/>
                <w:szCs w:val="14"/>
                <w:color w:val="auto"/>
              </w:rPr>
            </w:pPr>
          </w:p>
        </w:tc>
        <w:tc>
          <w:tcPr>
            <w:tcW w:w="1100" w:type="dxa"/>
            <w:vAlign w:val="bottom"/>
            <w:tcBorders>
              <w:right w:val="single" w:sz="8" w:color="auto"/>
            </w:tcBorders>
            <w:shd w:val="clear" w:color="auto" w:fill="C0C0C0"/>
          </w:tcPr>
          <w:p>
            <w:pPr>
              <w:spacing w:after="0"/>
              <w:rPr>
                <w:sz w:val="14"/>
                <w:szCs w:val="14"/>
                <w:color w:val="auto"/>
              </w:rPr>
            </w:pPr>
          </w:p>
        </w:tc>
        <w:tc>
          <w:tcPr>
            <w:tcW w:w="12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w:t>
            </w:r>
          </w:p>
        </w:tc>
        <w:tc>
          <w:tcPr>
            <w:tcW w:w="15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Arial" w:cs="Arial" w:eastAsia="Arial" w:hAnsi="Arial"/>
                <w:sz w:val="18"/>
                <w:szCs w:val="18"/>
                <w:color w:val="auto"/>
                <w:w w:val="97"/>
              </w:rPr>
              <w: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Arial" w:cs="Arial" w:eastAsia="Arial" w:hAnsi="Arial"/>
                <w:sz w:val="18"/>
                <w:szCs w:val="18"/>
                <w:color w:val="auto"/>
                <w:w w:val="97"/>
              </w:rPr>
              <w:t>[****]</w:t>
            </w:r>
          </w:p>
        </w:tc>
        <w:tc>
          <w:tcPr>
            <w:tcW w:w="300" w:type="dxa"/>
            <w:vAlign w:val="bottom"/>
          </w:tcPr>
          <w:p>
            <w:pPr>
              <w:spacing w:after="0"/>
              <w:rPr>
                <w:sz w:val="14"/>
                <w:szCs w:val="14"/>
                <w:color w:val="auto"/>
              </w:rPr>
            </w:pPr>
          </w:p>
        </w:tc>
        <w:tc>
          <w:tcPr>
            <w:tcW w:w="980" w:type="dxa"/>
            <w:vAlign w:val="bottom"/>
            <w:tcBorders>
              <w:right w:val="single" w:sz="8" w:color="auto"/>
            </w:tcBorders>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Arial" w:cs="Arial" w:eastAsia="Arial" w:hAnsi="Arial"/>
                <w:sz w:val="18"/>
                <w:szCs w:val="18"/>
                <w:color w:val="auto"/>
                <w:w w:val="97"/>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88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10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gridSpan w:val="2"/>
            <w:vMerge w:val="continue"/>
          </w:tcPr>
          <w:p>
            <w:pPr>
              <w:spacing w:after="0"/>
              <w:rPr>
                <w:sz w:val="5"/>
                <w:szCs w:val="5"/>
                <w:color w:val="auto"/>
              </w:rPr>
            </w:pPr>
          </w:p>
        </w:tc>
        <w:tc>
          <w:tcPr>
            <w:tcW w:w="1500" w:type="dxa"/>
            <w:vAlign w:val="bottom"/>
            <w:tcBorders>
              <w:bottom w:val="single" w:sz="8" w:color="auto"/>
              <w:right w:val="single" w:sz="8" w:color="auto"/>
            </w:tcBorders>
            <w:gridSpan w:val="2"/>
            <w:vMerge w:val="continue"/>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vMerge w:val="continue"/>
          </w:tcPr>
          <w:p>
            <w:pPr>
              <w:spacing w:after="0"/>
              <w:rPr>
                <w:sz w:val="5"/>
                <w:szCs w:val="5"/>
                <w:color w:val="auto"/>
              </w:rPr>
            </w:pPr>
          </w:p>
        </w:tc>
        <w:tc>
          <w:tcPr>
            <w:tcW w:w="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880" w:type="dxa"/>
            <w:vAlign w:val="bottom"/>
            <w:tcBorders>
              <w:left w:val="single" w:sz="8" w:color="auto"/>
              <w:right w:val="single" w:sz="8" w:color="auto"/>
            </w:tcBorders>
          </w:tcPr>
          <w:p>
            <w:pPr>
              <w:jc w:val="center"/>
              <w:spacing w:after="0" w:line="174"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5"/>
                <w:szCs w:val="15"/>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88"/>
              </w:rPr>
              <w:t>2</w:t>
            </w:r>
          </w:p>
        </w:tc>
        <w:tc>
          <w:tcPr>
            <w:tcW w:w="12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shd w:val="clear" w:color="auto" w:fill="C0C0C0"/>
          </w:tcPr>
          <w:p>
            <w:pPr>
              <w:spacing w:after="0"/>
              <w:rPr>
                <w:sz w:val="15"/>
                <w:szCs w:val="15"/>
                <w:color w:val="auto"/>
              </w:rPr>
            </w:pPr>
          </w:p>
        </w:tc>
        <w:tc>
          <w:tcPr>
            <w:tcW w:w="1100" w:type="dxa"/>
            <w:vAlign w:val="bottom"/>
            <w:tcBorders>
              <w:right w:val="single" w:sz="8" w:color="auto"/>
            </w:tcBorders>
            <w:shd w:val="clear" w:color="auto" w:fill="C0C0C0"/>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4"/>
                <w:szCs w:val="14"/>
                <w:color w:val="auto"/>
              </w:rPr>
            </w:pPr>
          </w:p>
        </w:tc>
        <w:tc>
          <w:tcPr>
            <w:tcW w:w="96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1080" w:type="dxa"/>
            <w:vAlign w:val="bottom"/>
            <w:tcBorders>
              <w:right w:val="single" w:sz="8" w:color="auto"/>
            </w:tcBorders>
            <w:shd w:val="clear" w:color="auto" w:fill="C0C0C0"/>
          </w:tcPr>
          <w:p>
            <w:pPr>
              <w:spacing w:after="0"/>
              <w:rPr>
                <w:sz w:val="14"/>
                <w:szCs w:val="14"/>
                <w:color w:val="auto"/>
              </w:rPr>
            </w:pPr>
          </w:p>
        </w:tc>
        <w:tc>
          <w:tcPr>
            <w:tcW w:w="1100" w:type="dxa"/>
            <w:vAlign w:val="bottom"/>
            <w:tcBorders>
              <w:right w:val="single" w:sz="8" w:color="auto"/>
            </w:tcBorders>
            <w:shd w:val="clear" w:color="auto" w:fill="C0C0C0"/>
          </w:tcPr>
          <w:p>
            <w:pPr>
              <w:spacing w:after="0"/>
              <w:rPr>
                <w:sz w:val="14"/>
                <w:szCs w:val="14"/>
                <w:color w:val="auto"/>
              </w:rPr>
            </w:pPr>
          </w:p>
        </w:tc>
        <w:tc>
          <w:tcPr>
            <w:tcW w:w="12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w:t>
            </w:r>
          </w:p>
        </w:tc>
        <w:tc>
          <w:tcPr>
            <w:tcW w:w="15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Arial" w:cs="Arial" w:eastAsia="Arial" w:hAnsi="Arial"/>
                <w:sz w:val="18"/>
                <w:szCs w:val="18"/>
                <w:color w:val="auto"/>
                <w:w w:val="97"/>
              </w:rPr>
              <w: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Arial" w:cs="Arial" w:eastAsia="Arial" w:hAnsi="Arial"/>
                <w:sz w:val="18"/>
                <w:szCs w:val="18"/>
                <w:color w:val="auto"/>
                <w:w w:val="97"/>
              </w:rPr>
              <w:t>[****]</w:t>
            </w:r>
          </w:p>
        </w:tc>
        <w:tc>
          <w:tcPr>
            <w:tcW w:w="300" w:type="dxa"/>
            <w:vAlign w:val="bottom"/>
          </w:tcPr>
          <w:p>
            <w:pPr>
              <w:spacing w:after="0"/>
              <w:rPr>
                <w:sz w:val="14"/>
                <w:szCs w:val="14"/>
                <w:color w:val="auto"/>
              </w:rPr>
            </w:pPr>
          </w:p>
        </w:tc>
        <w:tc>
          <w:tcPr>
            <w:tcW w:w="980" w:type="dxa"/>
            <w:vAlign w:val="bottom"/>
            <w:tcBorders>
              <w:right w:val="single" w:sz="8" w:color="auto"/>
            </w:tcBorders>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Arial" w:cs="Arial" w:eastAsia="Arial" w:hAnsi="Arial"/>
                <w:sz w:val="18"/>
                <w:szCs w:val="18"/>
                <w:color w:val="auto"/>
                <w:w w:val="97"/>
              </w:rPr>
              <w:t>[****]</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88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shd w:val="clear" w:color="auto" w:fill="C0C0C0"/>
          </w:tcPr>
          <w:p>
            <w:pPr>
              <w:spacing w:after="0"/>
              <w:rPr>
                <w:sz w:val="5"/>
                <w:szCs w:val="5"/>
                <w:color w:val="auto"/>
              </w:rPr>
            </w:pPr>
          </w:p>
        </w:tc>
        <w:tc>
          <w:tcPr>
            <w:tcW w:w="1100" w:type="dxa"/>
            <w:vAlign w:val="bottom"/>
            <w:tcBorders>
              <w:bottom w:val="single" w:sz="8" w:color="auto"/>
              <w:right w:val="single" w:sz="8" w:color="auto"/>
            </w:tcBorders>
            <w:shd w:val="clear" w:color="auto" w:fill="C0C0C0"/>
          </w:tcPr>
          <w:p>
            <w:pPr>
              <w:spacing w:after="0"/>
              <w:rPr>
                <w:sz w:val="5"/>
                <w:szCs w:val="5"/>
                <w:color w:val="auto"/>
              </w:rPr>
            </w:pPr>
          </w:p>
        </w:tc>
        <w:tc>
          <w:tcPr>
            <w:tcW w:w="1260" w:type="dxa"/>
            <w:vAlign w:val="bottom"/>
            <w:tcBorders>
              <w:bottom w:val="single" w:sz="8" w:color="auto"/>
              <w:right w:val="single" w:sz="8" w:color="auto"/>
            </w:tcBorders>
            <w:gridSpan w:val="2"/>
            <w:vMerge w:val="continue"/>
          </w:tcPr>
          <w:p>
            <w:pPr>
              <w:spacing w:after="0"/>
              <w:rPr>
                <w:sz w:val="5"/>
                <w:szCs w:val="5"/>
                <w:color w:val="auto"/>
              </w:rPr>
            </w:pPr>
          </w:p>
        </w:tc>
        <w:tc>
          <w:tcPr>
            <w:tcW w:w="1500" w:type="dxa"/>
            <w:vAlign w:val="bottom"/>
            <w:tcBorders>
              <w:bottom w:val="single" w:sz="8" w:color="auto"/>
              <w:right w:val="single" w:sz="8" w:color="auto"/>
            </w:tcBorders>
            <w:gridSpan w:val="2"/>
            <w:vMerge w:val="continue"/>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vMerge w:val="continue"/>
          </w:tcPr>
          <w:p>
            <w:pPr>
              <w:spacing w:after="0"/>
              <w:rPr>
                <w:sz w:val="5"/>
                <w:szCs w:val="5"/>
                <w:color w:val="auto"/>
              </w:rPr>
            </w:pPr>
          </w:p>
        </w:tc>
        <w:tc>
          <w:tcPr>
            <w:tcW w:w="9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Total:</w:t>
            </w: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96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000" w:val="left"/>
          <w:tab w:leader="none" w:pos="5680" w:val="left"/>
          <w:tab w:leader="none" w:pos="6760" w:val="left"/>
        </w:tabs>
        <w:rPr>
          <w:sz w:val="20"/>
          <w:szCs w:val="20"/>
          <w:color w:val="auto"/>
        </w:rPr>
      </w:pPr>
      <w:r>
        <w:rPr>
          <w:rFonts w:ascii="Arial" w:cs="Arial" w:eastAsia="Arial" w:hAnsi="Arial"/>
          <w:sz w:val="22"/>
          <w:szCs w:val="22"/>
          <w:color w:val="auto"/>
        </w:rPr>
        <w:t>AAL-PA-03735 118070-1F.txt</w:t>
        <w:tab/>
        <w:t>BOEING PROPRIETARY</w:t>
        <w:tab/>
        <w:t>SA-21</w:t>
      </w:r>
      <w:r>
        <w:rPr>
          <w:sz w:val="20"/>
          <w:szCs w:val="20"/>
          <w:color w:val="auto"/>
        </w:rPr>
        <w:tab/>
      </w:r>
      <w:r>
        <w:rPr>
          <w:rFonts w:ascii="Arial" w:cs="Arial" w:eastAsia="Arial" w:hAnsi="Arial"/>
          <w:sz w:val="21"/>
          <w:szCs w:val="21"/>
          <w:color w:val="auto"/>
        </w:rPr>
        <w:t>Page 1</w:t>
      </w:r>
    </w:p>
    <w:p>
      <w:pPr>
        <w:sectPr>
          <w:pgSz w:w="11900" w:h="16838" w:orient="portrait"/>
          <w:cols w:equalWidth="0" w:num="1">
            <w:col w:w="11260"/>
          </w:cols>
          <w:pgMar w:left="320" w:top="961" w:right="319" w:bottom="1440" w:gutter="0" w:footer="0" w:header="0"/>
          <w:type w:val="continuous"/>
        </w:sectPr>
      </w:pPr>
    </w:p>
    <w:bookmarkStart w:id="114" w:name="page115"/>
    <w:bookmarkEnd w:id="114"/>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1508760" cy="3429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58635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808080"/>
        </w:rPr>
        <w:t>The Boeing Company</w:t>
      </w:r>
    </w:p>
    <w:p>
      <w:pPr>
        <w:ind w:left="20"/>
        <w:spacing w:after="0" w:line="216" w:lineRule="auto"/>
        <w:rPr>
          <w:sz w:val="20"/>
          <w:szCs w:val="20"/>
          <w:color w:val="auto"/>
        </w:rPr>
      </w:pPr>
      <w:r>
        <w:rPr>
          <w:rFonts w:ascii="Arial" w:cs="Arial" w:eastAsia="Arial" w:hAnsi="Arial"/>
          <w:sz w:val="13"/>
          <w:szCs w:val="13"/>
          <w:color w:val="808080"/>
        </w:rPr>
        <w:t>P.O. Box 3707</w:t>
      </w:r>
    </w:p>
    <w:p>
      <w:pPr>
        <w:ind w:left="2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AAL-PA-03735-LA-1106650R5</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00" w:lineRule="exact"/>
        <w:rPr>
          <w:sz w:val="20"/>
          <w:szCs w:val="20"/>
          <w:color w:val="auto"/>
        </w:rPr>
      </w:pPr>
    </w:p>
    <w:p>
      <w:pPr>
        <w:spacing w:after="0" w:line="20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06" w:lineRule="exact"/>
        <w:rPr>
          <w:sz w:val="20"/>
          <w:szCs w:val="20"/>
          <w:color w:val="auto"/>
        </w:rPr>
      </w:pPr>
    </w:p>
    <w:p>
      <w:pPr>
        <w:ind w:left="1300" w:right="20" w:hanging="1295"/>
        <w:spacing w:after="0" w:line="245"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The Purchase Agreement incorporates the terms and conditions of the AGTA. This Letter Agreement modifies certain terms and conditions of the AGTA and the Purchase Agreement with respect to the Aircraft.</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940" w:type="dxa"/>
            <w:vAlign w:val="bottom"/>
          </w:tcPr>
          <w:p>
            <w:pPr>
              <w:ind w:left="660"/>
              <w:spacing w:after="0"/>
              <w:rPr>
                <w:sz w:val="20"/>
                <w:szCs w:val="20"/>
                <w:color w:val="auto"/>
              </w:rPr>
            </w:pPr>
            <w:r>
              <w:rPr>
                <w:rFonts w:ascii="Arial" w:cs="Arial" w:eastAsia="Arial" w:hAnsi="Arial"/>
                <w:sz w:val="22"/>
                <w:szCs w:val="22"/>
                <w:color w:val="auto"/>
              </w:rPr>
              <w:t>1.</w:t>
            </w:r>
          </w:p>
        </w:tc>
        <w:tc>
          <w:tcPr>
            <w:tcW w:w="1840" w:type="dxa"/>
            <w:vAlign w:val="bottom"/>
          </w:tcPr>
          <w:p>
            <w:pPr>
              <w:jc w:val="right"/>
              <w:ind w:right="111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p>
        </w:tc>
        <w:tc>
          <w:tcPr>
            <w:tcW w:w="2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32"/>
        </w:trPr>
        <w:tc>
          <w:tcPr>
            <w:tcW w:w="2780" w:type="dxa"/>
            <w:vAlign w:val="bottom"/>
            <w:gridSpan w:val="2"/>
          </w:tcPr>
          <w:p>
            <w:pPr>
              <w:ind w:left="660"/>
              <w:spacing w:after="0"/>
              <w:rPr>
                <w:sz w:val="20"/>
                <w:szCs w:val="20"/>
                <w:color w:val="auto"/>
              </w:rPr>
            </w:pPr>
            <w:r>
              <w:rPr>
                <w:rFonts w:ascii="Arial" w:cs="Arial" w:eastAsia="Arial" w:hAnsi="Arial"/>
                <w:sz w:val="22"/>
                <w:szCs w:val="22"/>
                <w:color w:val="auto"/>
              </w:rPr>
              <w:t>[****]:</w:t>
            </w:r>
          </w:p>
        </w:tc>
        <w:tc>
          <w:tcPr>
            <w:tcW w:w="2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43"/>
        </w:trPr>
        <w:tc>
          <w:tcPr>
            <w:tcW w:w="9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spacing w:after="0"/>
              <w:rPr>
                <w:sz w:val="21"/>
                <w:szCs w:val="21"/>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2"/>
                <w:szCs w:val="22"/>
                <w:color w:val="auto"/>
              </w:rPr>
              <w:t>[****]</w:t>
            </w:r>
          </w:p>
        </w:tc>
        <w:tc>
          <w:tcPr>
            <w:tcW w:w="232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1"/>
        </w:trPr>
        <w:tc>
          <w:tcPr>
            <w:tcW w:w="940" w:type="dxa"/>
            <w:vAlign w:val="bottom"/>
            <w:tcBorders>
              <w:left w:val="single" w:sz="8" w:color="auto"/>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2"/>
                <w:szCs w:val="22"/>
                <w:color w:val="auto"/>
              </w:rPr>
              <w:t>[****]</w:t>
            </w:r>
          </w:p>
        </w:tc>
        <w:tc>
          <w:tcPr>
            <w:tcW w:w="232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1"/>
        </w:trPr>
        <w:tc>
          <w:tcPr>
            <w:tcW w:w="940" w:type="dxa"/>
            <w:vAlign w:val="bottom"/>
            <w:tcBorders>
              <w:left w:val="single" w:sz="8" w:color="auto"/>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2"/>
                <w:szCs w:val="22"/>
                <w:color w:val="auto"/>
              </w:rPr>
              <w:t>[****]</w:t>
            </w:r>
          </w:p>
        </w:tc>
        <w:tc>
          <w:tcPr>
            <w:tcW w:w="232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0"/>
        </w:trPr>
        <w:tc>
          <w:tcPr>
            <w:tcW w:w="940" w:type="dxa"/>
            <w:vAlign w:val="bottom"/>
            <w:tcBorders>
              <w:left w:val="single" w:sz="8" w:color="auto"/>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2"/>
                <w:szCs w:val="22"/>
                <w:color w:val="auto"/>
              </w:rPr>
              <w:t>[****]</w:t>
            </w:r>
          </w:p>
        </w:tc>
        <w:tc>
          <w:tcPr>
            <w:tcW w:w="232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0"/>
        </w:trPr>
        <w:tc>
          <w:tcPr>
            <w:tcW w:w="940" w:type="dxa"/>
            <w:vAlign w:val="bottom"/>
            <w:tcBorders>
              <w:left w:val="single" w:sz="8" w:color="auto"/>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2"/>
                <w:szCs w:val="22"/>
                <w:color w:val="auto"/>
              </w:rPr>
              <w:t>[****]</w:t>
            </w:r>
          </w:p>
        </w:tc>
        <w:tc>
          <w:tcPr>
            <w:tcW w:w="232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0"/>
        </w:trPr>
        <w:tc>
          <w:tcPr>
            <w:tcW w:w="940" w:type="dxa"/>
            <w:vAlign w:val="bottom"/>
            <w:tcBorders>
              <w:left w:val="single" w:sz="8" w:color="auto"/>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22"/>
                <w:szCs w:val="22"/>
                <w:color w:val="auto"/>
              </w:rPr>
              <w:t>[****]</w:t>
            </w:r>
          </w:p>
        </w:tc>
        <w:tc>
          <w:tcPr>
            <w:tcW w:w="2320" w:type="dxa"/>
            <w:vAlign w:val="bottom"/>
            <w:tcBorders>
              <w:right w:val="single" w:sz="8" w:color="auto"/>
            </w:tcBorders>
          </w:tcPr>
          <w:p>
            <w:pPr>
              <w:spacing w:after="0"/>
              <w:rPr>
                <w:sz w:val="24"/>
                <w:szCs w:val="24"/>
                <w:color w:val="auto"/>
              </w:rPr>
            </w:pP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0"/>
        </w:trPr>
        <w:tc>
          <w:tcPr>
            <w:tcW w:w="940" w:type="dxa"/>
            <w:vAlign w:val="bottom"/>
            <w:tcBorders>
              <w:left w:val="single" w:sz="8" w:color="auto"/>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642"/>
        </w:trPr>
        <w:tc>
          <w:tcPr>
            <w:tcW w:w="940" w:type="dxa"/>
            <w:vAlign w:val="bottom"/>
          </w:tcPr>
          <w:p>
            <w:pPr>
              <w:ind w:left="660"/>
              <w:spacing w:after="0"/>
              <w:rPr>
                <w:sz w:val="20"/>
                <w:szCs w:val="20"/>
                <w:color w:val="auto"/>
              </w:rPr>
            </w:pPr>
            <w:r>
              <w:rPr>
                <w:rFonts w:ascii="Arial" w:cs="Arial" w:eastAsia="Arial" w:hAnsi="Arial"/>
                <w:sz w:val="22"/>
                <w:szCs w:val="22"/>
                <w:color w:val="auto"/>
              </w:rPr>
              <w:t>2.</w:t>
            </w:r>
          </w:p>
        </w:tc>
        <w:tc>
          <w:tcPr>
            <w:tcW w:w="1840" w:type="dxa"/>
            <w:vAlign w:val="bottom"/>
          </w:tcPr>
          <w:p>
            <w:pPr>
              <w:jc w:val="right"/>
              <w:ind w:right="1112"/>
              <w:spacing w:after="0"/>
              <w:rPr>
                <w:sz w:val="20"/>
                <w:szCs w:val="20"/>
                <w:color w:val="auto"/>
              </w:rPr>
            </w:pPr>
            <w:r>
              <w:rPr>
                <w:rFonts w:ascii="Arial" w:cs="Arial" w:eastAsia="Arial" w:hAnsi="Arial"/>
                <w:sz w:val="22"/>
                <w:szCs w:val="22"/>
                <w:color w:val="auto"/>
              </w:rPr>
              <w:t>[****].</w:t>
            </w:r>
          </w:p>
        </w:tc>
        <w:tc>
          <w:tcPr>
            <w:tcW w:w="2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32"/>
        </w:trPr>
        <w:tc>
          <w:tcPr>
            <w:tcW w:w="940" w:type="dxa"/>
            <w:vAlign w:val="bottom"/>
          </w:tcPr>
          <w:p>
            <w:pPr>
              <w:ind w:left="240"/>
              <w:spacing w:after="0"/>
              <w:rPr>
                <w:sz w:val="20"/>
                <w:szCs w:val="20"/>
                <w:color w:val="auto"/>
              </w:rPr>
            </w:pPr>
            <w:r>
              <w:rPr>
                <w:rFonts w:ascii="Arial" w:cs="Arial" w:eastAsia="Arial" w:hAnsi="Arial"/>
                <w:sz w:val="22"/>
                <w:szCs w:val="22"/>
                <w:color w:val="auto"/>
              </w:rPr>
              <w:t>[****]</w:t>
            </w:r>
          </w:p>
        </w:tc>
        <w:tc>
          <w:tcPr>
            <w:tcW w:w="1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905"/>
        </w:trPr>
        <w:tc>
          <w:tcPr>
            <w:tcW w:w="8040" w:type="dxa"/>
            <w:vAlign w:val="bottom"/>
            <w:gridSpan w:val="4"/>
          </w:tcPr>
          <w:p>
            <w:pPr>
              <w:spacing w:after="0"/>
              <w:rPr>
                <w:sz w:val="20"/>
                <w:szCs w:val="20"/>
                <w:color w:val="auto"/>
              </w:rPr>
            </w:pPr>
            <w:r>
              <w:rPr>
                <w:rFonts w:ascii="Arial" w:cs="Arial" w:eastAsia="Arial" w:hAnsi="Arial"/>
                <w:sz w:val="22"/>
                <w:szCs w:val="22"/>
                <w:color w:val="auto"/>
              </w:rPr>
              <w:t>AAL-PA-03735-LA-1106650R5  SA-21</w:t>
            </w:r>
          </w:p>
        </w:tc>
        <w:tc>
          <w:tcPr>
            <w:tcW w:w="3220" w:type="dxa"/>
            <w:vAlign w:val="bottom"/>
          </w:tcPr>
          <w:p>
            <w:pPr>
              <w:spacing w:after="0"/>
              <w:rPr>
                <w:sz w:val="24"/>
                <w:szCs w:val="24"/>
                <w:color w:val="auto"/>
              </w:rPr>
            </w:pPr>
          </w:p>
        </w:tc>
      </w:tr>
      <w:tr>
        <w:trPr>
          <w:trHeight w:val="215"/>
        </w:trPr>
        <w:tc>
          <w:tcPr>
            <w:tcW w:w="2780" w:type="dxa"/>
            <w:vAlign w:val="bottom"/>
            <w:gridSpan w:val="2"/>
          </w:tcPr>
          <w:p>
            <w:pPr>
              <w:spacing w:after="0" w:line="216" w:lineRule="exact"/>
              <w:rPr>
                <w:sz w:val="20"/>
                <w:szCs w:val="20"/>
                <w:color w:val="auto"/>
              </w:rPr>
            </w:pPr>
            <w:r>
              <w:rPr>
                <w:rFonts w:ascii="Arial" w:cs="Arial" w:eastAsia="Arial" w:hAnsi="Arial"/>
                <w:sz w:val="22"/>
                <w:szCs w:val="22"/>
                <w:color w:val="auto"/>
              </w:rPr>
              <w:t>Advance Payment Matters</w:t>
            </w:r>
          </w:p>
        </w:tc>
        <w:tc>
          <w:tcPr>
            <w:tcW w:w="5260" w:type="dxa"/>
            <w:vAlign w:val="bottom"/>
            <w:gridSpan w:val="2"/>
          </w:tcPr>
          <w:p>
            <w:pPr>
              <w:jc w:val="right"/>
              <w:ind w:right="3712"/>
              <w:spacing w:after="0" w:line="216" w:lineRule="exact"/>
              <w:rPr>
                <w:sz w:val="20"/>
                <w:szCs w:val="20"/>
                <w:color w:val="auto"/>
              </w:rPr>
            </w:pPr>
            <w:r>
              <w:rPr>
                <w:rFonts w:ascii="Arial" w:cs="Arial" w:eastAsia="Arial" w:hAnsi="Arial"/>
                <w:sz w:val="22"/>
                <w:szCs w:val="22"/>
                <w:color w:val="auto"/>
                <w:w w:val="97"/>
              </w:rPr>
              <w:t>LA Page 1 of 6</w:t>
            </w:r>
          </w:p>
        </w:tc>
        <w:tc>
          <w:tcPr>
            <w:tcW w:w="3220" w:type="dxa"/>
            <w:vAlign w:val="bottom"/>
          </w:tcPr>
          <w:p>
            <w:pPr>
              <w:spacing w:after="0"/>
              <w:rPr>
                <w:sz w:val="18"/>
                <w:szCs w:val="18"/>
                <w:color w:val="auto"/>
              </w:rPr>
            </w:pPr>
          </w:p>
        </w:tc>
      </w:tr>
      <w:tr>
        <w:trPr>
          <w:trHeight w:val="297"/>
        </w:trPr>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60" w:type="dxa"/>
            <w:vAlign w:val="bottom"/>
            <w:gridSpan w:val="2"/>
          </w:tcPr>
          <w:p>
            <w:pPr>
              <w:jc w:val="right"/>
              <w:ind w:right="1092"/>
              <w:spacing w:after="0"/>
              <w:rPr>
                <w:sz w:val="20"/>
                <w:szCs w:val="20"/>
                <w:color w:val="auto"/>
              </w:rPr>
            </w:pPr>
            <w:r>
              <w:rPr>
                <w:rFonts w:ascii="Arial" w:cs="Arial" w:eastAsia="Arial" w:hAnsi="Arial"/>
                <w:sz w:val="22"/>
                <w:szCs w:val="22"/>
                <w:b w:val="1"/>
                <w:bCs w:val="1"/>
                <w:color w:val="auto"/>
              </w:rPr>
              <w:t>BOEING PROPRIETARY</w:t>
            </w:r>
          </w:p>
        </w:tc>
        <w:tc>
          <w:tcPr>
            <w:tcW w:w="3220" w:type="dxa"/>
            <w:vAlign w:val="bottom"/>
          </w:tcPr>
          <w:p>
            <w:pPr>
              <w:spacing w:after="0"/>
              <w:rPr>
                <w:sz w:val="24"/>
                <w:szCs w:val="24"/>
                <w:color w:val="auto"/>
              </w:rPr>
            </w:pPr>
          </w:p>
        </w:tc>
      </w:tr>
    </w:tbl>
    <w:p>
      <w:pPr>
        <w:sectPr>
          <w:pgSz w:w="11900" w:h="16838" w:orient="portrait"/>
          <w:cols w:equalWidth="0" w:num="1">
            <w:col w:w="11260"/>
          </w:cols>
          <w:pgMar w:left="320" w:top="1440" w:right="31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left="660" w:right="9620" w:hanging="4"/>
        <w:spacing w:after="0" w:line="307" w:lineRule="auto"/>
        <w:tabs>
          <w:tab w:leader="none" w:pos="1043"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xml:space="preserve"> 3.1  [****]</w:t>
      </w:r>
    </w:p>
    <w:p>
      <w:pPr>
        <w:ind w:left="660"/>
        <w:spacing w:after="0"/>
        <w:rPr>
          <w:rFonts w:ascii="Arial" w:cs="Arial" w:eastAsia="Arial" w:hAnsi="Arial"/>
          <w:sz w:val="22"/>
          <w:szCs w:val="22"/>
          <w:color w:val="auto"/>
        </w:rPr>
      </w:pPr>
      <w:r>
        <w:rPr>
          <w:rFonts w:ascii="Arial" w:cs="Arial" w:eastAsia="Arial" w:hAnsi="Arial"/>
          <w:sz w:val="22"/>
          <w:szCs w:val="22"/>
          <w:color w:val="auto"/>
        </w:rPr>
        <w:t>3.1.1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3.2  For the avoidance of doubt, the following [****] shall apply;</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3.2.1  For Aircraft in Table 1R12,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3.2.2  For Aircraft in Table 1-2,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3.2.3  For Aircraft in Table 1-3R6, [****];</w:t>
      </w:r>
    </w:p>
    <w:p>
      <w:pPr>
        <w:spacing w:after="0" w:line="7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3.2.4  For Aircraft in Table 1-4 and [****], [****].</w:t>
      </w:r>
    </w:p>
    <w:p>
      <w:pPr>
        <w:spacing w:after="0" w:line="179" w:lineRule="exact"/>
        <w:rPr>
          <w:rFonts w:ascii="Arial" w:cs="Arial" w:eastAsia="Arial" w:hAnsi="Arial"/>
          <w:sz w:val="22"/>
          <w:szCs w:val="22"/>
          <w:color w:val="auto"/>
        </w:rPr>
      </w:pPr>
    </w:p>
    <w:p>
      <w:pPr>
        <w:ind w:left="1040" w:hanging="384"/>
        <w:spacing w:after="0"/>
        <w:tabs>
          <w:tab w:leader="none" w:pos="10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sz w:val="20"/>
          <w:szCs w:val="20"/>
          <w:color w:val="auto"/>
        </w:rPr>
      </w:pPr>
    </w:p>
    <w:p>
      <w:pPr>
        <w:jc w:val="both"/>
        <w:ind w:left="1180" w:hanging="517"/>
        <w:spacing w:after="0" w:line="233" w:lineRule="auto"/>
        <w:tabs>
          <w:tab w:leader="none" w:pos="1160" w:val="left"/>
        </w:tabs>
        <w:rPr>
          <w:sz w:val="20"/>
          <w:szCs w:val="20"/>
          <w:color w:val="auto"/>
        </w:rPr>
      </w:pPr>
      <w:r>
        <w:rPr>
          <w:rFonts w:ascii="Arial" w:cs="Arial" w:eastAsia="Arial" w:hAnsi="Arial"/>
          <w:sz w:val="22"/>
          <w:szCs w:val="22"/>
          <w:color w:val="auto"/>
        </w:rPr>
        <w:t>4.1</w:t>
        <w:tab/>
        <w:t>Notwithstanding anything in Sections 1 through 3 above or the [****], Customer will [****] for the [****] of Supplemental Agreement No. 9, and [****]. The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 All [****].</w:t>
      </w:r>
    </w:p>
    <w:p>
      <w:pPr>
        <w:spacing w:after="0" w:line="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Notwithstanding anything to the contrary in this Letter Agreement, [****]</w:t>
      </w:r>
      <w:r>
        <w:rPr>
          <w:rFonts w:ascii="Arial" w:cs="Arial" w:eastAsia="Arial" w:hAnsi="Arial"/>
          <w:sz w:val="21"/>
          <w:szCs w:val="21"/>
          <w:b w:val="1"/>
          <w:bCs w:val="1"/>
          <w:color w:val="auto"/>
        </w:rPr>
        <w:t>.</w:t>
      </w:r>
    </w:p>
    <w:p>
      <w:pPr>
        <w:spacing w:after="0" w:line="18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jc w:val="both"/>
        <w:ind w:left="1180" w:hanging="517"/>
        <w:spacing w:after="0" w:line="226" w:lineRule="auto"/>
        <w:tabs>
          <w:tab w:leader="none" w:pos="1160" w:val="left"/>
        </w:tabs>
        <w:rPr>
          <w:sz w:val="20"/>
          <w:szCs w:val="20"/>
          <w:color w:val="auto"/>
        </w:rPr>
      </w:pPr>
      <w:r>
        <w:rPr>
          <w:rFonts w:ascii="Arial" w:cs="Arial" w:eastAsia="Arial" w:hAnsi="Arial"/>
          <w:sz w:val="22"/>
          <w:szCs w:val="22"/>
          <w:color w:val="auto"/>
        </w:rPr>
        <w:t>5.1</w:t>
        <w:tab/>
        <w:t xml:space="preserve">[****], as defined in Letter Agreement AAL-PA-03735-LA-2002743, [****] ([****] </w:t>
      </w:r>
      <w:r>
        <w:rPr>
          <w:rFonts w:ascii="Arial" w:cs="Arial" w:eastAsia="Arial" w:hAnsi="Arial"/>
          <w:sz w:val="22"/>
          <w:szCs w:val="22"/>
          <w:b w:val="1"/>
          <w:bCs w:val="1"/>
          <w:i w:val="1"/>
          <w:iCs w:val="1"/>
          <w:color w:val="auto"/>
        </w:rPr>
        <w:t>Letter</w:t>
      </w:r>
      <w:r>
        <w:rPr>
          <w:rFonts w:ascii="Arial" w:cs="Arial" w:eastAsia="Arial" w:hAnsi="Arial"/>
          <w:sz w:val="22"/>
          <w:szCs w:val="22"/>
          <w:color w:val="auto"/>
        </w:rPr>
        <w:t>), and notwithstanding anything in Sections 1 through 3 above, or the [****] ([****]), Customer will [****] as follows:</w:t>
      </w:r>
    </w:p>
    <w:p>
      <w:pPr>
        <w:spacing w:after="0" w:line="149" w:lineRule="exact"/>
        <w:rPr>
          <w:sz w:val="20"/>
          <w:szCs w:val="20"/>
          <w:color w:val="auto"/>
        </w:rPr>
      </w:pPr>
    </w:p>
    <w:p>
      <w:pPr>
        <w:jc w:val="both"/>
        <w:ind w:firstLine="925"/>
        <w:spacing w:after="0" w:line="226" w:lineRule="auto"/>
        <w:rPr>
          <w:sz w:val="20"/>
          <w:szCs w:val="20"/>
          <w:color w:val="auto"/>
        </w:rPr>
      </w:pPr>
      <w:r>
        <w:rPr>
          <w:rFonts w:ascii="Arial" w:cs="Arial" w:eastAsia="Arial" w:hAnsi="Arial"/>
          <w:sz w:val="22"/>
          <w:szCs w:val="22"/>
          <w:color w:val="auto"/>
        </w:rPr>
        <w:t>5.1.2 Boeing acknowledges that Customer has previously [****] and Boeing will [****] (the [****]) per [****] as defined in the following table in accordance with and subject to the terms and conditions of the Purchase Agreement:</w:t>
      </w:r>
    </w:p>
    <w:p>
      <w:pPr>
        <w:spacing w:after="0" w:line="223" w:lineRule="exact"/>
        <w:rPr>
          <w:sz w:val="20"/>
          <w:szCs w:val="20"/>
          <w:color w:val="auto"/>
        </w:rPr>
      </w:pPr>
    </w:p>
    <w:tbl>
      <w:tblPr>
        <w:tblLayout w:type="fixed"/>
        <w:tblInd w:w="270" w:type="dxa"/>
        <w:tblCellMar>
          <w:top w:w="0" w:type="dxa"/>
          <w:left w:w="0" w:type="dxa"/>
          <w:bottom w:w="0" w:type="dxa"/>
          <w:right w:w="0" w:type="dxa"/>
        </w:tblCellMar>
      </w:tblPr>
      <w:tr>
        <w:trPr>
          <w:trHeight w:val="365"/>
        </w:trPr>
        <w:tc>
          <w:tcPr>
            <w:tcW w:w="7180" w:type="dxa"/>
            <w:vAlign w:val="bottom"/>
            <w:tcBorders>
              <w:top w:val="single" w:sz="8" w:color="auto"/>
              <w:left w:val="single" w:sz="8" w:color="auto"/>
              <w:right w:val="single" w:sz="8" w:color="auto"/>
            </w:tcBorders>
            <w:shd w:val="clear" w:color="auto" w:fill="DEEAF6"/>
          </w:tcPr>
          <w:p>
            <w:pPr>
              <w:jc w:val="right"/>
              <w:ind w:right="3252"/>
              <w:spacing w:after="0"/>
              <w:rPr>
                <w:sz w:val="20"/>
                <w:szCs w:val="20"/>
                <w:color w:val="auto"/>
              </w:rPr>
            </w:pPr>
            <w:r>
              <w:rPr>
                <w:rFonts w:ascii="Arial" w:cs="Arial" w:eastAsia="Arial" w:hAnsi="Arial"/>
                <w:sz w:val="22"/>
                <w:szCs w:val="22"/>
                <w:color w:val="auto"/>
              </w:rPr>
              <w:t>[****]</w:t>
            </w:r>
          </w:p>
        </w:tc>
        <w:tc>
          <w:tcPr>
            <w:tcW w:w="3180" w:type="dxa"/>
            <w:vAlign w:val="bottom"/>
            <w:tcBorders>
              <w:top w:val="single" w:sz="8" w:color="auto"/>
              <w:right w:val="single" w:sz="8" w:color="auto"/>
            </w:tcBorders>
            <w:shd w:val="clear" w:color="auto" w:fill="DEEAF6"/>
          </w:tcPr>
          <w:p>
            <w:pPr>
              <w:jc w:val="right"/>
              <w:ind w:right="1272"/>
              <w:spacing w:after="0"/>
              <w:rPr>
                <w:sz w:val="20"/>
                <w:szCs w:val="20"/>
                <w:color w:val="auto"/>
              </w:rPr>
            </w:pPr>
            <w:r>
              <w:rPr>
                <w:rFonts w:ascii="Arial" w:cs="Arial" w:eastAsia="Arial" w:hAnsi="Arial"/>
                <w:sz w:val="22"/>
                <w:szCs w:val="22"/>
                <w:color w:val="auto"/>
              </w:rPr>
              <w:t>[****]</w:t>
            </w:r>
          </w:p>
        </w:tc>
      </w:tr>
      <w:tr>
        <w:trPr>
          <w:trHeight w:val="81"/>
        </w:trPr>
        <w:tc>
          <w:tcPr>
            <w:tcW w:w="7180" w:type="dxa"/>
            <w:vAlign w:val="bottom"/>
            <w:tcBorders>
              <w:left w:val="single" w:sz="8" w:color="auto"/>
              <w:bottom w:val="single" w:sz="8" w:color="auto"/>
              <w:right w:val="single" w:sz="8" w:color="auto"/>
            </w:tcBorders>
            <w:shd w:val="clear" w:color="auto" w:fill="DEEAF6"/>
          </w:tcPr>
          <w:p>
            <w:pPr>
              <w:spacing w:after="0"/>
              <w:rPr>
                <w:sz w:val="7"/>
                <w:szCs w:val="7"/>
                <w:color w:val="auto"/>
              </w:rPr>
            </w:pPr>
          </w:p>
        </w:tc>
        <w:tc>
          <w:tcPr>
            <w:tcW w:w="3180" w:type="dxa"/>
            <w:vAlign w:val="bottom"/>
            <w:tcBorders>
              <w:bottom w:val="single" w:sz="8" w:color="auto"/>
              <w:right w:val="single" w:sz="8" w:color="auto"/>
            </w:tcBorders>
            <w:shd w:val="clear" w:color="auto" w:fill="DEEAF6"/>
          </w:tcPr>
          <w:p>
            <w:pPr>
              <w:spacing w:after="0"/>
              <w:rPr>
                <w:sz w:val="7"/>
                <w:szCs w:val="7"/>
                <w:color w:val="auto"/>
              </w:rPr>
            </w:pPr>
          </w:p>
        </w:tc>
      </w:tr>
      <w:tr>
        <w:trPr>
          <w:trHeight w:val="345"/>
        </w:trPr>
        <w:tc>
          <w:tcPr>
            <w:tcW w:w="7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 (Per Attachment A)</w:t>
            </w:r>
          </w:p>
        </w:tc>
        <w:tc>
          <w:tcPr>
            <w:tcW w:w="3180" w:type="dxa"/>
            <w:vAlign w:val="bottom"/>
            <w:tcBorders>
              <w:right w:val="single" w:sz="8" w:color="auto"/>
            </w:tcBorders>
          </w:tcPr>
          <w:p>
            <w:pPr>
              <w:jc w:val="right"/>
              <w:ind w:right="1272"/>
              <w:spacing w:after="0"/>
              <w:rPr>
                <w:sz w:val="20"/>
                <w:szCs w:val="20"/>
                <w:color w:val="auto"/>
              </w:rPr>
            </w:pPr>
            <w:r>
              <w:rPr>
                <w:rFonts w:ascii="Arial" w:cs="Arial" w:eastAsia="Arial" w:hAnsi="Arial"/>
                <w:sz w:val="22"/>
                <w:szCs w:val="22"/>
                <w:color w:val="auto"/>
              </w:rPr>
              <w:t>[****]</w:t>
            </w:r>
          </w:p>
        </w:tc>
      </w:tr>
      <w:tr>
        <w:trPr>
          <w:trHeight w:val="81"/>
        </w:trPr>
        <w:tc>
          <w:tcPr>
            <w:tcW w:w="7180" w:type="dxa"/>
            <w:vAlign w:val="bottom"/>
            <w:tcBorders>
              <w:left w:val="single" w:sz="8" w:color="auto"/>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tcPr>
          <w:p>
            <w:pPr>
              <w:spacing w:after="0"/>
              <w:rPr>
                <w:sz w:val="7"/>
                <w:szCs w:val="7"/>
                <w:color w:val="auto"/>
              </w:rPr>
            </w:pPr>
          </w:p>
        </w:tc>
      </w:tr>
      <w:tr>
        <w:trPr>
          <w:trHeight w:val="345"/>
        </w:trPr>
        <w:tc>
          <w:tcPr>
            <w:tcW w:w="7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 (Per Attachment A)</w:t>
            </w:r>
          </w:p>
        </w:tc>
        <w:tc>
          <w:tcPr>
            <w:tcW w:w="3180" w:type="dxa"/>
            <w:vAlign w:val="bottom"/>
            <w:tcBorders>
              <w:right w:val="single" w:sz="8" w:color="auto"/>
            </w:tcBorders>
          </w:tcPr>
          <w:p>
            <w:pPr>
              <w:jc w:val="right"/>
              <w:ind w:right="1272"/>
              <w:spacing w:after="0"/>
              <w:rPr>
                <w:sz w:val="20"/>
                <w:szCs w:val="20"/>
                <w:color w:val="auto"/>
              </w:rPr>
            </w:pPr>
            <w:r>
              <w:rPr>
                <w:rFonts w:ascii="Arial" w:cs="Arial" w:eastAsia="Arial" w:hAnsi="Arial"/>
                <w:sz w:val="22"/>
                <w:szCs w:val="22"/>
                <w:color w:val="auto"/>
              </w:rPr>
              <w:t>[****]</w:t>
            </w:r>
          </w:p>
        </w:tc>
      </w:tr>
      <w:tr>
        <w:trPr>
          <w:trHeight w:val="80"/>
        </w:trPr>
        <w:tc>
          <w:tcPr>
            <w:tcW w:w="7180" w:type="dxa"/>
            <w:vAlign w:val="bottom"/>
            <w:tcBorders>
              <w:left w:val="single" w:sz="8" w:color="auto"/>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tcPr>
          <w:p>
            <w:pPr>
              <w:spacing w:after="0"/>
              <w:rPr>
                <w:sz w:val="7"/>
                <w:szCs w:val="7"/>
                <w:color w:val="auto"/>
              </w:rPr>
            </w:pPr>
          </w:p>
        </w:tc>
      </w:tr>
    </w:tbl>
    <w:p>
      <w:pPr>
        <w:spacing w:after="0" w:line="27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5.2 For each [****] for which the [****] (as defined in the [****]) was [****], Customer will [****] a [****] to Boeing, at [****] ([****]) [****] to the [****] (as set forth in Attachment A), in the [****] of the [****] between [****] of the [****] ([****]) and the [****] Aircraft.</w:t>
      </w:r>
    </w:p>
    <w:p>
      <w:pPr>
        <w:spacing w:after="0" w:line="14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5.2.1 The [****] for each of the [****] Aircraft for which the applicable [****] was [****] will be based on the [****] (as defined in the [****]).</w:t>
      </w:r>
    </w:p>
    <w:p>
      <w:pPr>
        <w:spacing w:after="0" w:line="151"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2"/>
          <w:szCs w:val="22"/>
          <w:color w:val="auto"/>
        </w:rPr>
        <w:t>5.2.2 [****] will be [****] and not [****] by Boeing or [****] by Customer for the [****] the [****] defined in the Purchase Agreement and the [****] schedule set forth in this paragraph 5 for the [****] Aircraft for which the applicable [****] was [****]</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AAL-PA-03735-LA-1106650R5</w:t>
      </w:r>
      <w:r>
        <w:rPr>
          <w:sz w:val="20"/>
          <w:szCs w:val="20"/>
          <w:color w:val="auto"/>
        </w:rPr>
        <w:tab/>
      </w:r>
      <w:r>
        <w:rPr>
          <w:rFonts w:ascii="Arial" w:cs="Arial" w:eastAsia="Arial" w:hAnsi="Arial"/>
          <w:sz w:val="21"/>
          <w:szCs w:val="21"/>
          <w:color w:val="auto"/>
        </w:rPr>
        <w:t>SA-21</w:t>
      </w:r>
    </w:p>
    <w:p>
      <w:pPr>
        <w:spacing w:after="0" w:line="214" w:lineRule="auto"/>
        <w:tabs>
          <w:tab w:leader="none" w:pos="2760" w:val="left"/>
        </w:tabs>
        <w:rPr>
          <w:sz w:val="20"/>
          <w:szCs w:val="20"/>
          <w:color w:val="auto"/>
        </w:rPr>
      </w:pPr>
      <w:r>
        <w:rPr>
          <w:rFonts w:ascii="Arial" w:cs="Arial" w:eastAsia="Arial" w:hAnsi="Arial"/>
          <w:sz w:val="22"/>
          <w:szCs w:val="22"/>
          <w:color w:val="auto"/>
        </w:rPr>
        <w:t>Advance Payment Matters</w:t>
      </w:r>
      <w:r>
        <w:rPr>
          <w:sz w:val="20"/>
          <w:szCs w:val="20"/>
          <w:color w:val="auto"/>
        </w:rPr>
        <w:tab/>
      </w:r>
      <w:r>
        <w:rPr>
          <w:rFonts w:ascii="Arial" w:cs="Arial" w:eastAsia="Arial" w:hAnsi="Arial"/>
          <w:sz w:val="21"/>
          <w:szCs w:val="21"/>
          <w:color w:val="auto"/>
        </w:rPr>
        <w:t>LA Page 2 of 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52"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180" w:hanging="518"/>
        <w:spacing w:after="0" w:line="220" w:lineRule="auto"/>
        <w:rPr>
          <w:rFonts w:ascii="Arial" w:cs="Arial" w:eastAsia="Arial" w:hAnsi="Arial"/>
          <w:sz w:val="22"/>
          <w:szCs w:val="22"/>
          <w:color w:val="auto"/>
        </w:rPr>
      </w:pPr>
      <w:r>
        <w:rPr>
          <w:rFonts w:ascii="Arial" w:cs="Arial" w:eastAsia="Arial" w:hAnsi="Arial"/>
          <w:sz w:val="22"/>
          <w:szCs w:val="22"/>
          <w:color w:val="auto"/>
        </w:rPr>
        <w:t>5.1 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 except to the extent permissible under the terms of the AGTA.</w:t>
      </w:r>
    </w:p>
    <w:p>
      <w:pPr>
        <w:spacing w:after="0" w:line="15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17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If the foregoing correctly sets forth your understanding of our agreement with respect to the matters treated above, please indicate your acceptance and approval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AAL-PA-03735-LA-1106650R5</w:t>
      </w:r>
      <w:r>
        <w:rPr>
          <w:sz w:val="20"/>
          <w:szCs w:val="20"/>
          <w:color w:val="auto"/>
        </w:rPr>
        <w:tab/>
      </w:r>
      <w:r>
        <w:rPr>
          <w:rFonts w:ascii="Arial" w:cs="Arial" w:eastAsia="Arial" w:hAnsi="Arial"/>
          <w:sz w:val="21"/>
          <w:szCs w:val="21"/>
          <w:color w:val="auto"/>
        </w:rPr>
        <w:t>SA-21</w:t>
      </w:r>
    </w:p>
    <w:p>
      <w:pPr>
        <w:spacing w:after="0" w:line="214" w:lineRule="auto"/>
        <w:tabs>
          <w:tab w:leader="none" w:pos="2760" w:val="left"/>
        </w:tabs>
        <w:rPr>
          <w:sz w:val="20"/>
          <w:szCs w:val="20"/>
          <w:color w:val="auto"/>
        </w:rPr>
      </w:pPr>
      <w:r>
        <w:rPr>
          <w:rFonts w:ascii="Arial" w:cs="Arial" w:eastAsia="Arial" w:hAnsi="Arial"/>
          <w:sz w:val="22"/>
          <w:szCs w:val="22"/>
          <w:color w:val="auto"/>
        </w:rPr>
        <w:t>Advance Payment Matters</w:t>
      </w:r>
      <w:r>
        <w:rPr>
          <w:sz w:val="20"/>
          <w:szCs w:val="20"/>
          <w:color w:val="auto"/>
        </w:rPr>
        <w:tab/>
      </w:r>
      <w:r>
        <w:rPr>
          <w:rFonts w:ascii="Arial" w:cs="Arial" w:eastAsia="Arial" w:hAnsi="Arial"/>
          <w:sz w:val="21"/>
          <w:szCs w:val="21"/>
          <w:color w:val="auto"/>
        </w:rPr>
        <w:t>LA Page 3 of 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11"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680" w:type="dxa"/>
            <w:vAlign w:val="bottom"/>
          </w:tcPr>
          <w:p>
            <w:pPr>
              <w:spacing w:after="0"/>
              <w:rPr>
                <w:sz w:val="20"/>
                <w:szCs w:val="20"/>
                <w:color w:val="auto"/>
              </w:rPr>
            </w:pPr>
            <w:r>
              <w:rPr>
                <w:rFonts w:ascii="Arial" w:cs="Arial" w:eastAsia="Arial" w:hAnsi="Arial"/>
                <w:sz w:val="22"/>
                <w:szCs w:val="22"/>
                <w:color w:val="auto"/>
              </w:rPr>
              <w:t>Date:</w:t>
            </w:r>
          </w:p>
        </w:tc>
        <w:tc>
          <w:tcPr>
            <w:tcW w:w="118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Arial" w:cs="Arial" w:eastAsia="Arial" w:hAnsi="Arial"/>
                <w:sz w:val="22"/>
                <w:szCs w:val="22"/>
                <w:color w:val="auto"/>
              </w:rPr>
              <w:t>January 14, 2022</w:t>
            </w:r>
          </w:p>
        </w:tc>
      </w:tr>
      <w:tr>
        <w:trPr>
          <w:trHeight w:val="80"/>
        </w:trPr>
        <w:tc>
          <w:tcPr>
            <w:tcW w:w="1860" w:type="dxa"/>
            <w:vAlign w:val="bottom"/>
            <w:gridSpan w:val="2"/>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r>
        <w:trPr>
          <w:trHeight w:val="600"/>
        </w:trPr>
        <w:tc>
          <w:tcPr>
            <w:tcW w:w="5940" w:type="dxa"/>
            <w:vAlign w:val="bottom"/>
            <w:gridSpan w:val="3"/>
          </w:tcPr>
          <w:p>
            <w:pPr>
              <w:spacing w:after="0"/>
              <w:rPr>
                <w:sz w:val="20"/>
                <w:szCs w:val="20"/>
                <w:color w:val="auto"/>
              </w:rPr>
            </w:pPr>
            <w:r>
              <w:rPr>
                <w:rFonts w:ascii="Arial" w:cs="Arial" w:eastAsia="Arial" w:hAnsi="Arial"/>
                <w:sz w:val="22"/>
                <w:szCs w:val="22"/>
                <w:b w:val="1"/>
                <w:bCs w:val="1"/>
                <w:color w:val="auto"/>
              </w:rPr>
              <w:t>AMERICAN AIRLINES, INC.</w:t>
            </w:r>
          </w:p>
        </w:tc>
      </w:tr>
      <w:tr>
        <w:trPr>
          <w:trHeight w:val="64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gridSpan w:val="2"/>
          </w:tcPr>
          <w:p>
            <w:pPr>
              <w:ind w:left="80"/>
              <w:spacing w:after="0"/>
              <w:rPr>
                <w:sz w:val="20"/>
                <w:szCs w:val="20"/>
                <w:color w:val="auto"/>
              </w:rPr>
            </w:pPr>
            <w:r>
              <w:rPr>
                <w:rFonts w:ascii="Arial" w:cs="Arial" w:eastAsia="Arial" w:hAnsi="Arial"/>
                <w:sz w:val="22"/>
                <w:szCs w:val="22"/>
                <w:color w:val="auto"/>
              </w:rPr>
              <w:t>/s/ American Airlines, Inc.</w:t>
            </w:r>
          </w:p>
        </w:tc>
      </w:tr>
      <w:tr>
        <w:trPr>
          <w:trHeight w:val="80"/>
        </w:trPr>
        <w:tc>
          <w:tcPr>
            <w:tcW w:w="6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r>
        <w:trPr>
          <w:trHeight w:val="588"/>
        </w:trPr>
        <w:tc>
          <w:tcPr>
            <w:tcW w:w="6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gridSpan w:val="2"/>
          </w:tcPr>
          <w:p>
            <w:pPr>
              <w:ind w:left="80"/>
              <w:spacing w:after="0"/>
              <w:rPr>
                <w:sz w:val="20"/>
                <w:szCs w:val="20"/>
                <w:color w:val="auto"/>
              </w:rPr>
            </w:pPr>
            <w:r>
              <w:rPr>
                <w:rFonts w:ascii="Arial" w:cs="Arial" w:eastAsia="Arial" w:hAnsi="Arial"/>
                <w:sz w:val="22"/>
                <w:szCs w:val="22"/>
                <w:color w:val="auto"/>
              </w:rPr>
              <w:t>VP Treasurer</w:t>
            </w:r>
          </w:p>
        </w:tc>
      </w:tr>
      <w:tr>
        <w:trPr>
          <w:trHeight w:val="81"/>
        </w:trPr>
        <w:tc>
          <w:tcPr>
            <w:tcW w:w="6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AAL-PA-03735-LA-1106650R5</w:t>
      </w:r>
      <w:r>
        <w:rPr>
          <w:sz w:val="20"/>
          <w:szCs w:val="20"/>
          <w:color w:val="auto"/>
        </w:rPr>
        <w:tab/>
      </w:r>
      <w:r>
        <w:rPr>
          <w:rFonts w:ascii="Arial" w:cs="Arial" w:eastAsia="Arial" w:hAnsi="Arial"/>
          <w:sz w:val="21"/>
          <w:szCs w:val="21"/>
          <w:color w:val="auto"/>
        </w:rPr>
        <w:t>SA-21</w:t>
      </w:r>
    </w:p>
    <w:p>
      <w:pPr>
        <w:spacing w:after="0" w:line="214" w:lineRule="auto"/>
        <w:tabs>
          <w:tab w:leader="none" w:pos="2760" w:val="left"/>
        </w:tabs>
        <w:rPr>
          <w:sz w:val="20"/>
          <w:szCs w:val="20"/>
          <w:color w:val="auto"/>
        </w:rPr>
      </w:pPr>
      <w:r>
        <w:rPr>
          <w:rFonts w:ascii="Arial" w:cs="Arial" w:eastAsia="Arial" w:hAnsi="Arial"/>
          <w:sz w:val="22"/>
          <w:szCs w:val="22"/>
          <w:color w:val="auto"/>
        </w:rPr>
        <w:t>Advance Payment Matters</w:t>
      </w:r>
      <w:r>
        <w:rPr>
          <w:sz w:val="20"/>
          <w:szCs w:val="20"/>
          <w:color w:val="auto"/>
        </w:rPr>
        <w:tab/>
      </w:r>
      <w:r>
        <w:rPr>
          <w:rFonts w:ascii="Arial" w:cs="Arial" w:eastAsia="Arial" w:hAnsi="Arial"/>
          <w:sz w:val="21"/>
          <w:szCs w:val="21"/>
          <w:color w:val="auto"/>
        </w:rPr>
        <w:t>LA Page 4 of 6</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18" w:name="page119"/>
    <w:bookmarkEnd w:id="118"/>
    <w:p>
      <w:pPr>
        <w:ind w:left="238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645795</wp:posOffset>
            </wp:positionV>
            <wp:extent cx="58635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58635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1491615" cy="3429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380"/>
        <w:spacing w:after="0" w:line="216" w:lineRule="auto"/>
        <w:rPr>
          <w:sz w:val="20"/>
          <w:szCs w:val="20"/>
          <w:color w:val="auto"/>
        </w:rPr>
      </w:pPr>
      <w:r>
        <w:rPr>
          <w:rFonts w:ascii="Arial" w:cs="Arial" w:eastAsia="Arial" w:hAnsi="Arial"/>
          <w:sz w:val="13"/>
          <w:szCs w:val="13"/>
          <w:color w:val="808080"/>
        </w:rPr>
        <w:t>P.O. Box 3707</w:t>
      </w:r>
    </w:p>
    <w:p>
      <w:pPr>
        <w:ind w:left="2380"/>
        <w:spacing w:after="0"/>
        <w:rPr>
          <w:sz w:val="20"/>
          <w:szCs w:val="20"/>
          <w:color w:val="auto"/>
        </w:rPr>
      </w:pPr>
      <w:r>
        <w:rPr>
          <w:rFonts w:ascii="Arial" w:cs="Arial" w:eastAsia="Arial" w:hAnsi="Arial"/>
          <w:sz w:val="13"/>
          <w:szCs w:val="13"/>
          <w:color w:val="808080"/>
        </w:rPr>
        <w:t>Seattle, WA 98124-2207</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R3</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6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179" w:lineRule="exact"/>
        <w:rPr>
          <w:sz w:val="20"/>
          <w:szCs w:val="20"/>
          <w:color w:val="auto"/>
        </w:rPr>
      </w:pPr>
    </w:p>
    <w:p>
      <w:pPr>
        <w:ind w:left="1340" w:hanging="1538"/>
        <w:spacing w:after="0" w:line="245" w:lineRule="auto"/>
        <w:tabs>
          <w:tab w:leader="none" w:pos="132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3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Subject to the terms and conditions contained in this Letter Agreement, in addition to the Aircraft described in Table 1R12, Table 1-2, and Table 1-3R6 to the Purchase Agreement as of the date of execution of this Letter Agreement, [****] ([****]).</w:t>
      </w:r>
    </w:p>
    <w:p>
      <w:pPr>
        <w:spacing w:after="0" w:line="149" w:lineRule="exact"/>
        <w:rPr>
          <w:sz w:val="20"/>
          <w:szCs w:val="20"/>
          <w:color w:val="auto"/>
        </w:rPr>
      </w:pPr>
    </w:p>
    <w:p>
      <w:pPr>
        <w:ind w:left="1040" w:hanging="384"/>
        <w:spacing w:after="0"/>
        <w:tabs>
          <w:tab w:leader="none" w:pos="104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 The [****] with [****] in calendar years [****] are listed in Attachment A(R3) to this Letter Agreement.</w:t>
      </w:r>
    </w:p>
    <w:p>
      <w:pPr>
        <w:spacing w:after="0" w:line="71"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2.2</w:t>
        <w:tab/>
        <w:t>[****]. The [****] with [****] ([****]</w:t>
      </w:r>
      <w:r>
        <w:rPr>
          <w:rFonts w:ascii="Arial" w:cs="Arial" w:eastAsia="Arial" w:hAnsi="Arial"/>
          <w:sz w:val="22"/>
          <w:szCs w:val="22"/>
          <w:i w:val="1"/>
          <w:iCs w:val="1"/>
          <w:color w:val="auto"/>
        </w:rPr>
        <w:t>)</w:t>
      </w:r>
      <w:r>
        <w:rPr>
          <w:rFonts w:ascii="Arial" w:cs="Arial" w:eastAsia="Arial" w:hAnsi="Arial"/>
          <w:sz w:val="22"/>
          <w:szCs w:val="22"/>
          <w:color w:val="auto"/>
        </w:rPr>
        <w:t xml:space="preserve"> in [****] ([****]) [****] for each [****] are listed in Attachment A(R3) to this Letter Agreement. No later than [****] to the [****] in each of calendar years [****], Boeing will provide written notice setting forth [****] with a [****] in such calendar year. Such notice will constitute an amendment to Attachment A(R3) to this Letter Agreement.</w:t>
      </w:r>
    </w:p>
    <w:p>
      <w:pPr>
        <w:spacing w:after="0" w:line="152" w:lineRule="exact"/>
        <w:rPr>
          <w:sz w:val="20"/>
          <w:szCs w:val="20"/>
          <w:color w:val="auto"/>
        </w:rPr>
      </w:pPr>
    </w:p>
    <w:p>
      <w:pPr>
        <w:ind w:left="1040" w:hanging="384"/>
        <w:spacing w:after="0"/>
        <w:tabs>
          <w:tab w:leader="none" w:pos="10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Configuration</w:t>
      </w:r>
      <w:r>
        <w:rPr>
          <w:rFonts w:ascii="Arial" w:cs="Arial" w:eastAsia="Arial" w:hAnsi="Arial"/>
          <w:sz w:val="22"/>
          <w:szCs w:val="22"/>
          <w:color w:val="auto"/>
        </w:rPr>
        <w:t>.</w:t>
      </w:r>
    </w:p>
    <w:p>
      <w:pPr>
        <w:spacing w:after="0" w:line="179" w:lineRule="exact"/>
        <w:rPr>
          <w:sz w:val="20"/>
          <w:szCs w:val="20"/>
          <w:color w:val="auto"/>
        </w:rPr>
      </w:pPr>
    </w:p>
    <w:p>
      <w:pPr>
        <w:jc w:val="both"/>
        <w:ind w:left="1180" w:hanging="517"/>
        <w:spacing w:after="0" w:line="226" w:lineRule="auto"/>
        <w:tabs>
          <w:tab w:leader="none" w:pos="1160" w:val="left"/>
        </w:tabs>
        <w:rPr>
          <w:sz w:val="20"/>
          <w:szCs w:val="20"/>
          <w:color w:val="auto"/>
        </w:rPr>
      </w:pPr>
      <w:r>
        <w:rPr>
          <w:rFonts w:ascii="Arial" w:cs="Arial" w:eastAsia="Arial" w:hAnsi="Arial"/>
          <w:sz w:val="22"/>
          <w:szCs w:val="22"/>
          <w:color w:val="auto"/>
        </w:rPr>
        <w:t>3.1</w:t>
        <w:tab/>
        <w:t>Subject to the provisions of Section 3.2 below, the configuration for the [****] will be the Detail Specification for the Aircraft at the revision level in effect at the time of [****] (as defined in Section 8 below). Such Detail Specification will be revised to include:</w:t>
      </w:r>
    </w:p>
    <w:p>
      <w:pPr>
        <w:spacing w:after="0" w:line="149" w:lineRule="exact"/>
        <w:rPr>
          <w:sz w:val="20"/>
          <w:szCs w:val="20"/>
          <w:color w:val="auto"/>
        </w:rPr>
      </w:pPr>
    </w:p>
    <w:p>
      <w:pPr>
        <w:ind w:left="1560" w:hanging="904"/>
        <w:spacing w:after="0"/>
        <w:tabs>
          <w:tab w:leader="none" w:pos="15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1180" w:right="20" w:hanging="517"/>
        <w:spacing w:after="0" w:line="236" w:lineRule="auto"/>
        <w:tabs>
          <w:tab w:leader="none" w:pos="1160" w:val="left"/>
        </w:tabs>
        <w:rPr>
          <w:sz w:val="20"/>
          <w:szCs w:val="20"/>
          <w:color w:val="auto"/>
        </w:rPr>
      </w:pPr>
      <w:r>
        <w:rPr>
          <w:rFonts w:ascii="Arial" w:cs="Arial" w:eastAsia="Arial" w:hAnsi="Arial"/>
          <w:sz w:val="22"/>
          <w:szCs w:val="22"/>
          <w:color w:val="auto"/>
        </w:rPr>
        <w:t>3.2</w:t>
        <w:tab/>
        <w:t xml:space="preserve">Boeing reserves the right to [****] the [****] starting from a [****]; </w:t>
      </w:r>
      <w:r>
        <w:rPr>
          <w:rFonts w:ascii="Arial" w:cs="Arial" w:eastAsia="Arial" w:hAnsi="Arial"/>
          <w:sz w:val="22"/>
          <w:szCs w:val="22"/>
          <w:u w:val="single" w:color="auto"/>
          <w:color w:val="auto"/>
        </w:rPr>
        <w:t>so long as</w:t>
      </w:r>
      <w:r>
        <w:rPr>
          <w:rFonts w:ascii="Arial" w:cs="Arial" w:eastAsia="Arial" w:hAnsi="Arial"/>
          <w:sz w:val="22"/>
          <w:szCs w:val="22"/>
          <w:color w:val="auto"/>
        </w:rPr>
        <w:t xml:space="preserve"> Boeing can achieve the same [****] which would result pursuant to the provisions of Section 3.1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R3</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1of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191" w:right="339" w:bottom="1440" w:gutter="0" w:footer="0" w:header="0"/>
        </w:sectPr>
      </w:pPr>
    </w:p>
    <w:bookmarkStart w:id="119" w:name="page120"/>
    <w:bookmarkEnd w:id="119"/>
    <w:p>
      <w:pPr>
        <w:spacing w:after="0" w:line="200" w:lineRule="exact"/>
        <w:rPr>
          <w:sz w:val="20"/>
          <w:szCs w:val="20"/>
          <w:color w:val="auto"/>
        </w:rPr>
      </w:pPr>
    </w:p>
    <w:p>
      <w:pPr>
        <w:spacing w:after="0" w:line="377" w:lineRule="exact"/>
        <w:rPr>
          <w:sz w:val="20"/>
          <w:szCs w:val="20"/>
          <w:color w:val="auto"/>
        </w:rPr>
      </w:pPr>
    </w:p>
    <w:p>
      <w:pPr>
        <w:ind w:left="1040" w:hanging="384"/>
        <w:spacing w:after="0"/>
        <w:tabs>
          <w:tab w:leader="none" w:pos="104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179" w:lineRule="exact"/>
        <w:rPr>
          <w:sz w:val="20"/>
          <w:szCs w:val="20"/>
          <w:color w:val="auto"/>
        </w:rPr>
      </w:pPr>
    </w:p>
    <w:p>
      <w:pPr>
        <w:ind w:left="1180" w:right="20" w:hanging="517"/>
        <w:spacing w:after="0" w:line="236" w:lineRule="auto"/>
        <w:tabs>
          <w:tab w:leader="none" w:pos="1160" w:val="left"/>
        </w:tabs>
        <w:rPr>
          <w:sz w:val="20"/>
          <w:szCs w:val="20"/>
          <w:color w:val="auto"/>
        </w:rPr>
      </w:pPr>
      <w:r>
        <w:rPr>
          <w:rFonts w:ascii="Arial" w:cs="Arial" w:eastAsia="Arial" w:hAnsi="Arial"/>
          <w:sz w:val="22"/>
          <w:szCs w:val="22"/>
          <w:color w:val="auto"/>
        </w:rPr>
        <w:t>4.1</w:t>
        <w:tab/>
        <w:t>The [****] Aircraft Basic Price for each of the [****] are identified in Attachment A(R3) to this Letter Agreement.</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Aircraft Basic Price for each of the [****] shall be [****].</w:t>
      </w:r>
    </w:p>
    <w:p>
      <w:pPr>
        <w:spacing w:after="0" w:line="179" w:lineRule="exact"/>
        <w:rPr>
          <w:sz w:val="20"/>
          <w:szCs w:val="20"/>
          <w:color w:val="auto"/>
        </w:rPr>
      </w:pPr>
    </w:p>
    <w:p>
      <w:pPr>
        <w:ind w:left="1180" w:right="20" w:hanging="517"/>
        <w:spacing w:after="0" w:line="236" w:lineRule="auto"/>
        <w:tabs>
          <w:tab w:leader="none" w:pos="1160" w:val="left"/>
        </w:tabs>
        <w:rPr>
          <w:sz w:val="20"/>
          <w:szCs w:val="20"/>
          <w:color w:val="auto"/>
        </w:rPr>
      </w:pPr>
      <w:r>
        <w:rPr>
          <w:rFonts w:ascii="Arial" w:cs="Arial" w:eastAsia="Arial" w:hAnsi="Arial"/>
          <w:sz w:val="22"/>
          <w:szCs w:val="22"/>
          <w:color w:val="auto"/>
        </w:rPr>
        <w:t>4.3</w:t>
        <w:tab/>
        <w:t>The Advance Payment Base Price shall be developed in accordance with the terms of the Purchase Agreement and determined at the time of [****].</w:t>
      </w:r>
    </w:p>
    <w:p>
      <w:pPr>
        <w:spacing w:after="0" w:line="151" w:lineRule="exact"/>
        <w:rPr>
          <w:sz w:val="20"/>
          <w:szCs w:val="20"/>
          <w:color w:val="auto"/>
        </w:rPr>
      </w:pPr>
    </w:p>
    <w:p>
      <w:pPr>
        <w:ind w:left="1040" w:hanging="384"/>
        <w:spacing w:after="0"/>
        <w:tabs>
          <w:tab w:leader="none" w:pos="10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w:t>
      </w:r>
    </w:p>
    <w:p>
      <w:pPr>
        <w:spacing w:after="0" w:line="71" w:lineRule="exact"/>
        <w:rPr>
          <w:sz w:val="20"/>
          <w:szCs w:val="20"/>
          <w:color w:val="auto"/>
        </w:rPr>
      </w:pPr>
    </w:p>
    <w:p>
      <w:pPr>
        <w:ind w:left="1040" w:hanging="384"/>
        <w:spacing w:after="0"/>
        <w:tabs>
          <w:tab w:leader="none" w:pos="104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040" w:hanging="384"/>
        <w:spacing w:after="0"/>
        <w:tabs>
          <w:tab w:leader="none" w:pos="10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5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tab/>
        <w:t>Notwithstanding Section 7.1 above, the [****] for the following [****] in Attachment A(R3) of this letter</w:t>
      </w:r>
    </w:p>
    <w:p>
      <w:pPr>
        <w:ind w:left="1180"/>
        <w:spacing w:after="0"/>
        <w:rPr>
          <w:sz w:val="20"/>
          <w:szCs w:val="20"/>
          <w:color w:val="auto"/>
        </w:rPr>
      </w:pPr>
      <w:r>
        <w:rPr>
          <w:rFonts w:ascii="Arial" w:cs="Arial" w:eastAsia="Arial" w:hAnsi="Arial"/>
          <w:sz w:val="22"/>
          <w:szCs w:val="22"/>
          <w:color w:val="auto"/>
        </w:rPr>
        <w:t>Agreement are as follows:</w:t>
      </w: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5960" w:type="dxa"/>
            <w:vAlign w:val="bottom"/>
            <w:tcBorders>
              <w:top w:val="single" w:sz="8" w:color="auto"/>
              <w:left w:val="single" w:sz="8" w:color="auto"/>
              <w:right w:val="single" w:sz="8" w:color="auto"/>
            </w:tcBorders>
          </w:tcPr>
          <w:p>
            <w:pPr>
              <w:jc w:val="right"/>
              <w:ind w:right="2632"/>
              <w:spacing w:after="0"/>
              <w:rPr>
                <w:sz w:val="20"/>
                <w:szCs w:val="20"/>
                <w:color w:val="auto"/>
              </w:rPr>
            </w:pPr>
            <w:r>
              <w:rPr>
                <w:rFonts w:ascii="Arial" w:cs="Arial" w:eastAsia="Arial" w:hAnsi="Arial"/>
                <w:sz w:val="22"/>
                <w:szCs w:val="22"/>
                <w:color w:val="auto"/>
              </w:rPr>
              <w:t>[****]</w:t>
            </w:r>
          </w:p>
        </w:tc>
        <w:tc>
          <w:tcPr>
            <w:tcW w:w="5300" w:type="dxa"/>
            <w:vAlign w:val="bottom"/>
            <w:tcBorders>
              <w:top w:val="single" w:sz="8" w:color="auto"/>
              <w:right w:val="single" w:sz="8" w:color="auto"/>
            </w:tcBorders>
          </w:tcPr>
          <w:p>
            <w:pPr>
              <w:jc w:val="right"/>
              <w:ind w:right="233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80"/>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960" w:type="dxa"/>
            <w:vAlign w:val="bottom"/>
            <w:tcBorders>
              <w:left w:val="single" w:sz="8" w:color="auto"/>
              <w:bottom w:val="single" w:sz="8" w:color="auto"/>
              <w:right w:val="single" w:sz="8" w:color="auto"/>
            </w:tcBorders>
          </w:tcPr>
          <w:p>
            <w:pPr>
              <w:spacing w:after="0"/>
              <w:rPr>
                <w:sz w:val="20"/>
                <w:szCs w:val="20"/>
                <w:color w:val="auto"/>
              </w:rPr>
            </w:pPr>
          </w:p>
        </w:tc>
        <w:tc>
          <w:tcPr>
            <w:tcW w:w="5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960" w:type="dxa"/>
            <w:vAlign w:val="bottom"/>
            <w:tcBorders>
              <w:left w:val="single" w:sz="8" w:color="auto"/>
              <w:right w:val="single" w:sz="8" w:color="auto"/>
            </w:tcBorders>
          </w:tcPr>
          <w:p>
            <w:pPr>
              <w:jc w:val="right"/>
              <w:ind w:right="2632"/>
              <w:spacing w:after="0"/>
              <w:rPr>
                <w:sz w:val="20"/>
                <w:szCs w:val="20"/>
                <w:color w:val="auto"/>
              </w:rPr>
            </w:pPr>
            <w:r>
              <w:rPr>
                <w:rFonts w:ascii="Arial" w:cs="Arial" w:eastAsia="Arial" w:hAnsi="Arial"/>
                <w:sz w:val="22"/>
                <w:szCs w:val="22"/>
                <w:color w:val="auto"/>
              </w:rPr>
              <w:t>[****]</w:t>
            </w:r>
          </w:p>
        </w:tc>
        <w:tc>
          <w:tcPr>
            <w:tcW w:w="5300" w:type="dxa"/>
            <w:vAlign w:val="bottom"/>
            <w:tcBorders>
              <w:right w:val="single" w:sz="8" w:color="auto"/>
            </w:tcBorders>
            <w:vMerge w:val="restart"/>
          </w:tcPr>
          <w:p>
            <w:pPr>
              <w:jc w:val="right"/>
              <w:ind w:right="233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68"/>
        </w:trPr>
        <w:tc>
          <w:tcPr>
            <w:tcW w:w="5960" w:type="dxa"/>
            <w:vAlign w:val="bottom"/>
            <w:tcBorders>
              <w:left w:val="single" w:sz="8" w:color="auto"/>
              <w:right w:val="single" w:sz="8" w:color="auto"/>
            </w:tcBorders>
          </w:tcPr>
          <w:p>
            <w:pPr>
              <w:spacing w:after="0"/>
              <w:rPr>
                <w:sz w:val="5"/>
                <w:szCs w:val="5"/>
                <w:color w:val="auto"/>
              </w:rPr>
            </w:pPr>
          </w:p>
        </w:tc>
        <w:tc>
          <w:tcPr>
            <w:tcW w:w="53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7.3</w:t>
        <w:tab/>
        <w:t>Notwithstanding Section 7.1 above, the [****] for the following [****] in Attachment A(R3) of this letter</w:t>
      </w:r>
    </w:p>
    <w:p>
      <w:pPr>
        <w:ind w:left="1180"/>
        <w:spacing w:after="0"/>
        <w:rPr>
          <w:sz w:val="20"/>
          <w:szCs w:val="20"/>
          <w:color w:val="auto"/>
        </w:rPr>
      </w:pPr>
      <w:r>
        <w:rPr>
          <w:rFonts w:ascii="Arial" w:cs="Arial" w:eastAsia="Arial" w:hAnsi="Arial"/>
          <w:sz w:val="22"/>
          <w:szCs w:val="22"/>
          <w:color w:val="auto"/>
        </w:rPr>
        <w:t>Agreement are as follows:</w:t>
      </w: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5960" w:type="dxa"/>
            <w:vAlign w:val="bottom"/>
            <w:tcBorders>
              <w:top w:val="single" w:sz="8" w:color="auto"/>
              <w:left w:val="single" w:sz="8" w:color="auto"/>
              <w:right w:val="single" w:sz="8" w:color="auto"/>
            </w:tcBorders>
          </w:tcPr>
          <w:p>
            <w:pPr>
              <w:jc w:val="right"/>
              <w:ind w:right="2632"/>
              <w:spacing w:after="0"/>
              <w:rPr>
                <w:sz w:val="20"/>
                <w:szCs w:val="20"/>
                <w:color w:val="auto"/>
              </w:rPr>
            </w:pPr>
            <w:r>
              <w:rPr>
                <w:rFonts w:ascii="Arial" w:cs="Arial" w:eastAsia="Arial" w:hAnsi="Arial"/>
                <w:sz w:val="22"/>
                <w:szCs w:val="22"/>
                <w:color w:val="auto"/>
              </w:rPr>
              <w:t>[****]</w:t>
            </w:r>
          </w:p>
        </w:tc>
        <w:tc>
          <w:tcPr>
            <w:tcW w:w="5300" w:type="dxa"/>
            <w:vAlign w:val="bottom"/>
            <w:tcBorders>
              <w:top w:val="single" w:sz="8" w:color="auto"/>
              <w:right w:val="single" w:sz="8" w:color="auto"/>
            </w:tcBorders>
          </w:tcPr>
          <w:p>
            <w:pPr>
              <w:jc w:val="right"/>
              <w:ind w:right="2332"/>
              <w:spacing w:after="0"/>
              <w:rPr>
                <w:sz w:val="20"/>
                <w:szCs w:val="20"/>
                <w:color w:val="auto"/>
              </w:rPr>
            </w:pPr>
            <w:r>
              <w:rPr>
                <w:rFonts w:ascii="Arial" w:cs="Arial" w:eastAsia="Arial" w:hAnsi="Arial"/>
                <w:sz w:val="22"/>
                <w:szCs w:val="22"/>
                <w:color w:val="auto"/>
              </w:rPr>
              <w:t>[****]</w:t>
            </w:r>
          </w:p>
        </w:tc>
      </w:tr>
      <w:tr>
        <w:trPr>
          <w:trHeight w:val="80"/>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r>
        <w:trPr>
          <w:trHeight w:val="237"/>
        </w:trPr>
        <w:tc>
          <w:tcPr>
            <w:tcW w:w="5960" w:type="dxa"/>
            <w:vAlign w:val="bottom"/>
            <w:tcBorders>
              <w:left w:val="single" w:sz="8" w:color="auto"/>
              <w:bottom w:val="single" w:sz="8" w:color="auto"/>
              <w:right w:val="single" w:sz="8" w:color="auto"/>
            </w:tcBorders>
          </w:tcPr>
          <w:p>
            <w:pPr>
              <w:spacing w:after="0"/>
              <w:rPr>
                <w:sz w:val="20"/>
                <w:szCs w:val="20"/>
                <w:color w:val="auto"/>
              </w:rPr>
            </w:pPr>
          </w:p>
        </w:tc>
        <w:tc>
          <w:tcPr>
            <w:tcW w:w="5300" w:type="dxa"/>
            <w:vAlign w:val="bottom"/>
            <w:tcBorders>
              <w:bottom w:val="single" w:sz="8" w:color="auto"/>
              <w:right w:val="single" w:sz="8" w:color="auto"/>
            </w:tcBorders>
          </w:tcPr>
          <w:p>
            <w:pPr>
              <w:spacing w:after="0"/>
              <w:rPr>
                <w:sz w:val="20"/>
                <w:szCs w:val="20"/>
                <w:color w:val="auto"/>
              </w:rPr>
            </w:pPr>
          </w:p>
        </w:tc>
      </w:tr>
      <w:tr>
        <w:trPr>
          <w:trHeight w:val="345"/>
        </w:trPr>
        <w:tc>
          <w:tcPr>
            <w:tcW w:w="5960" w:type="dxa"/>
            <w:vAlign w:val="bottom"/>
            <w:tcBorders>
              <w:left w:val="single" w:sz="8" w:color="auto"/>
              <w:right w:val="single" w:sz="8" w:color="auto"/>
            </w:tcBorders>
          </w:tcPr>
          <w:p>
            <w:pPr>
              <w:jc w:val="right"/>
              <w:ind w:right="2632"/>
              <w:spacing w:after="0"/>
              <w:rPr>
                <w:sz w:val="20"/>
                <w:szCs w:val="20"/>
                <w:color w:val="auto"/>
              </w:rPr>
            </w:pPr>
            <w:r>
              <w:rPr>
                <w:rFonts w:ascii="Arial" w:cs="Arial" w:eastAsia="Arial" w:hAnsi="Arial"/>
                <w:sz w:val="22"/>
                <w:szCs w:val="22"/>
                <w:color w:val="auto"/>
              </w:rPr>
              <w:t>[****]</w:t>
            </w:r>
          </w:p>
        </w:tc>
        <w:tc>
          <w:tcPr>
            <w:tcW w:w="5300" w:type="dxa"/>
            <w:vAlign w:val="bottom"/>
            <w:tcBorders>
              <w:right w:val="single" w:sz="8" w:color="auto"/>
            </w:tcBorders>
          </w:tcPr>
          <w:p>
            <w:pPr>
              <w:jc w:val="right"/>
              <w:ind w:right="2332"/>
              <w:spacing w:after="0"/>
              <w:rPr>
                <w:sz w:val="20"/>
                <w:szCs w:val="20"/>
                <w:color w:val="auto"/>
              </w:rPr>
            </w:pPr>
            <w:r>
              <w:rPr>
                <w:rFonts w:ascii="Arial" w:cs="Arial" w:eastAsia="Arial" w:hAnsi="Arial"/>
                <w:sz w:val="22"/>
                <w:szCs w:val="22"/>
                <w:color w:val="auto"/>
              </w:rPr>
              <w:t>[****]</w:t>
            </w:r>
          </w:p>
        </w:tc>
      </w:tr>
      <w:tr>
        <w:trPr>
          <w:trHeight w:val="81"/>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r>
        <w:trPr>
          <w:trHeight w:val="345"/>
        </w:trPr>
        <w:tc>
          <w:tcPr>
            <w:tcW w:w="5960" w:type="dxa"/>
            <w:vAlign w:val="bottom"/>
            <w:tcBorders>
              <w:left w:val="single" w:sz="8" w:color="auto"/>
              <w:right w:val="single" w:sz="8" w:color="auto"/>
            </w:tcBorders>
          </w:tcPr>
          <w:p>
            <w:pPr>
              <w:jc w:val="right"/>
              <w:ind w:right="2632"/>
              <w:spacing w:after="0"/>
              <w:rPr>
                <w:sz w:val="20"/>
                <w:szCs w:val="20"/>
                <w:color w:val="auto"/>
              </w:rPr>
            </w:pPr>
            <w:r>
              <w:rPr>
                <w:rFonts w:ascii="Arial" w:cs="Arial" w:eastAsia="Arial" w:hAnsi="Arial"/>
                <w:sz w:val="22"/>
                <w:szCs w:val="22"/>
                <w:color w:val="auto"/>
              </w:rPr>
              <w:t>[****]</w:t>
            </w:r>
          </w:p>
        </w:tc>
        <w:tc>
          <w:tcPr>
            <w:tcW w:w="5300" w:type="dxa"/>
            <w:vAlign w:val="bottom"/>
            <w:tcBorders>
              <w:right w:val="single" w:sz="8" w:color="auto"/>
            </w:tcBorders>
          </w:tcPr>
          <w:p>
            <w:pPr>
              <w:jc w:val="right"/>
              <w:ind w:right="2332"/>
              <w:spacing w:after="0"/>
              <w:rPr>
                <w:sz w:val="20"/>
                <w:szCs w:val="20"/>
                <w:color w:val="auto"/>
              </w:rPr>
            </w:pPr>
            <w:r>
              <w:rPr>
                <w:rFonts w:ascii="Arial" w:cs="Arial" w:eastAsia="Arial" w:hAnsi="Arial"/>
                <w:sz w:val="22"/>
                <w:szCs w:val="22"/>
                <w:color w:val="auto"/>
              </w:rPr>
              <w:t>[****]</w:t>
            </w:r>
          </w:p>
        </w:tc>
      </w:tr>
      <w:tr>
        <w:trPr>
          <w:trHeight w:val="81"/>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r>
        <w:trPr>
          <w:trHeight w:val="345"/>
        </w:trPr>
        <w:tc>
          <w:tcPr>
            <w:tcW w:w="5960" w:type="dxa"/>
            <w:vAlign w:val="bottom"/>
            <w:tcBorders>
              <w:left w:val="single" w:sz="8" w:color="auto"/>
              <w:right w:val="single" w:sz="8" w:color="auto"/>
            </w:tcBorders>
          </w:tcPr>
          <w:p>
            <w:pPr>
              <w:jc w:val="right"/>
              <w:ind w:right="2632"/>
              <w:spacing w:after="0"/>
              <w:rPr>
                <w:sz w:val="20"/>
                <w:szCs w:val="20"/>
                <w:color w:val="auto"/>
              </w:rPr>
            </w:pPr>
            <w:r>
              <w:rPr>
                <w:rFonts w:ascii="Arial" w:cs="Arial" w:eastAsia="Arial" w:hAnsi="Arial"/>
                <w:sz w:val="22"/>
                <w:szCs w:val="22"/>
                <w:color w:val="auto"/>
              </w:rPr>
              <w:t>[****]</w:t>
            </w:r>
          </w:p>
        </w:tc>
        <w:tc>
          <w:tcPr>
            <w:tcW w:w="5300" w:type="dxa"/>
            <w:vAlign w:val="bottom"/>
            <w:tcBorders>
              <w:right w:val="single" w:sz="8" w:color="auto"/>
            </w:tcBorders>
          </w:tcPr>
          <w:p>
            <w:pPr>
              <w:jc w:val="right"/>
              <w:ind w:right="2332"/>
              <w:spacing w:after="0"/>
              <w:rPr>
                <w:sz w:val="20"/>
                <w:szCs w:val="20"/>
                <w:color w:val="auto"/>
              </w:rPr>
            </w:pPr>
            <w:r>
              <w:rPr>
                <w:rFonts w:ascii="Arial" w:cs="Arial" w:eastAsia="Arial" w:hAnsi="Arial"/>
                <w:sz w:val="22"/>
                <w:szCs w:val="22"/>
                <w:color w:val="auto"/>
              </w:rPr>
              <w:t>[****]</w:t>
            </w:r>
          </w:p>
        </w:tc>
      </w:tr>
      <w:tr>
        <w:trPr>
          <w:trHeight w:val="81"/>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314" w:lineRule="exact"/>
        <w:rPr>
          <w:sz w:val="20"/>
          <w:szCs w:val="20"/>
          <w:color w:val="auto"/>
        </w:rPr>
      </w:pPr>
    </w:p>
    <w:p>
      <w:pPr>
        <w:ind w:left="1040" w:hanging="384"/>
        <w:spacing w:after="0"/>
        <w:tabs>
          <w:tab w:leader="none" w:pos="104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8.1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1"/>
          <w:szCs w:val="21"/>
          <w:color w:val="auto"/>
        </w:rPr>
        <w:t>8.2  Notwithstanding Section 8.1 above to the contrary, with respect to the [****], the following terms will apply.</w:t>
      </w:r>
    </w:p>
    <w:p>
      <w:pPr>
        <w:spacing w:after="0" w:line="82"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8.2.1  Execution of this Letter Agreement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R3</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5</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60"/>
          </w:cols>
          <w:pgMar w:left="320" w:top="1440" w:right="319" w:bottom="686" w:gutter="0" w:footer="0" w:header="0"/>
        </w:sectPr>
      </w:pPr>
    </w:p>
    <w:bookmarkStart w:id="120" w:name="page121"/>
    <w:bookmarkEnd w:id="120"/>
    <w:p>
      <w:pPr>
        <w:spacing w:after="0" w:line="200" w:lineRule="exact"/>
        <w:rPr>
          <w:sz w:val="20"/>
          <w:szCs w:val="20"/>
          <w:color w:val="auto"/>
        </w:rPr>
      </w:pPr>
    </w:p>
    <w:p>
      <w:pPr>
        <w:spacing w:after="0" w:line="37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Notwithstanding Section 8.1 above, [****], the following terms will apply:</w:t>
      </w:r>
    </w:p>
    <w:p>
      <w:pPr>
        <w:spacing w:after="0" w:line="179"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ind w:left="1040" w:hanging="384"/>
        <w:spacing w:after="0"/>
        <w:tabs>
          <w:tab w:leader="none" w:pos="104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49" w:lineRule="exact"/>
        <w:rPr>
          <w:sz w:val="20"/>
          <w:szCs w:val="20"/>
          <w:color w:val="auto"/>
        </w:rPr>
      </w:pPr>
    </w:p>
    <w:p>
      <w:pPr>
        <w:ind w:left="1040" w:hanging="384"/>
        <w:spacing w:after="0"/>
        <w:tabs>
          <w:tab w:leader="none" w:pos="104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R3</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 The Boeing Company</w:t>
      </w:r>
    </w:p>
    <w:p>
      <w:pPr>
        <w:spacing w:after="0" w:line="330"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AND AGREED TO this</w:t>
      </w:r>
    </w:p>
    <w:p>
      <w:pPr>
        <w:spacing w:after="0" w:line="200" w:lineRule="exact"/>
        <w:rPr>
          <w:sz w:val="20"/>
          <w:szCs w:val="20"/>
          <w:color w:val="auto"/>
        </w:rPr>
      </w:pPr>
    </w:p>
    <w:p>
      <w:pPr>
        <w:spacing w:after="0" w:line="209"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December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70485</wp:posOffset>
            </wp:positionV>
            <wp:extent cx="25888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R3</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5</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22" w:name="page123"/>
    <w:bookmarkEnd w:id="12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Attachment A(R3) To</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Letter Agreement No. AAL-PA-0375-LA-11006651</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737-8 [****]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5"/>
              </w:rPr>
              <w:t>[****]</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Detail</w:t>
            </w:r>
          </w:p>
        </w:tc>
        <w:tc>
          <w:tcPr>
            <w:tcW w:w="1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Model/MTOW:</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400" w:type="dxa"/>
            <w:vAlign w:val="bottom"/>
          </w:tcPr>
          <w:p>
            <w:pPr>
              <w:spacing w:after="0"/>
              <w:rPr>
                <w:sz w:val="24"/>
                <w:szCs w:val="24"/>
                <w:color w:val="auto"/>
              </w:rPr>
            </w:pPr>
          </w:p>
        </w:tc>
        <w:tc>
          <w:tcPr>
            <w:tcW w:w="1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pounds</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Specification:</w:t>
            </w:r>
          </w:p>
        </w:tc>
        <w:tc>
          <w:tcPr>
            <w:tcW w:w="980" w:type="dxa"/>
            <w:vAlign w:val="bottom"/>
          </w:tcPr>
          <w:p>
            <w:pPr>
              <w:spacing w:after="0"/>
              <w:rPr>
                <w:sz w:val="24"/>
                <w:szCs w:val="24"/>
                <w:color w:val="auto"/>
              </w:rPr>
            </w:pPr>
          </w:p>
        </w:tc>
        <w:tc>
          <w:tcPr>
            <w:tcW w:w="302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FFFF"/>
              </w:rPr>
              <w:t>2Q17 External Fcst</w:t>
            </w:r>
          </w:p>
        </w:tc>
        <w:tc>
          <w:tcPr>
            <w:tcW w:w="0" w:type="dxa"/>
            <w:vAlign w:val="bottom"/>
          </w:tcPr>
          <w:p>
            <w:pPr>
              <w:spacing w:after="0"/>
              <w:rPr>
                <w:sz w:val="1"/>
                <w:szCs w:val="1"/>
                <w:color w:val="auto"/>
              </w:rPr>
            </w:pPr>
          </w:p>
        </w:tc>
      </w:tr>
      <w:tr>
        <w:trPr>
          <w:trHeight w:val="364"/>
        </w:trPr>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9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CFMLEAP-</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5"/>
              </w:rPr>
              <w:t>[****]</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Airframe Price Base Year/Escalation</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Model/Thrust:</w:t>
            </w:r>
          </w:p>
        </w:tc>
        <w:tc>
          <w:tcPr>
            <w:tcW w:w="13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1B25</w:t>
            </w:r>
          </w:p>
        </w:tc>
        <w:tc>
          <w:tcPr>
            <w:tcW w:w="400" w:type="dxa"/>
            <w:vAlign w:val="bottom"/>
          </w:tcPr>
          <w:p>
            <w:pPr>
              <w:spacing w:after="0"/>
              <w:rPr>
                <w:sz w:val="24"/>
                <w:szCs w:val="24"/>
                <w:color w:val="auto"/>
              </w:rPr>
            </w:pPr>
          </w:p>
        </w:tc>
        <w:tc>
          <w:tcPr>
            <w:tcW w:w="1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pounds</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Engine Price Base Year/Escalation</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140" w:type="dxa"/>
            <w:vAlign w:val="bottom"/>
            <w:gridSpan w:val="2"/>
          </w:tcPr>
          <w:p>
            <w:pPr>
              <w:spacing w:after="0"/>
              <w:rPr>
                <w:sz w:val="5"/>
                <w:szCs w:val="5"/>
                <w:color w:val="auto"/>
              </w:rPr>
            </w:pPr>
          </w:p>
        </w:tc>
        <w:tc>
          <w:tcPr>
            <w:tcW w:w="680" w:type="dxa"/>
            <w:vAlign w:val="bottom"/>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40" w:type="dxa"/>
            <w:vAlign w:val="bottom"/>
            <w:gridSpan w:val="2"/>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of Airframe and Features: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Airframe Escalation Data:</w:t>
            </w: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2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Engine Price (Per</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980" w:type="dxa"/>
            <w:vAlign w:val="bottom"/>
          </w:tcPr>
          <w:p>
            <w:pPr>
              <w:spacing w:after="0"/>
              <w:rPr>
                <w:sz w:val="24"/>
                <w:szCs w:val="24"/>
                <w:color w:val="auto"/>
              </w:rPr>
            </w:pPr>
          </w:p>
        </w:tc>
        <w:tc>
          <w:tcPr>
            <w:tcW w:w="20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Aircraft Basic Price (Excluding</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BFE/SPE):</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980" w:type="dxa"/>
            <w:vAlign w:val="bottom"/>
          </w:tcPr>
          <w:p>
            <w:pPr>
              <w:spacing w:after="0"/>
              <w:rPr>
                <w:sz w:val="24"/>
                <w:szCs w:val="24"/>
                <w:color w:val="auto"/>
              </w:rPr>
            </w:pPr>
          </w:p>
        </w:tc>
        <w:tc>
          <w:tcPr>
            <w:tcW w:w="20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68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Buyer Furnished Equipment (BFE)</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Seller Purchased Equipment (SPE)</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LIFT Seats Provided by Boeing</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Deposit per Aircraft:</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400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Advance Payment Per Aircraft (Amts. Due/Mos.</w:t>
            </w:r>
          </w:p>
        </w:tc>
        <w:tc>
          <w:tcPr>
            <w:tcW w:w="0" w:type="dxa"/>
            <w:vAlign w:val="bottom"/>
          </w:tcPr>
          <w:p>
            <w:pPr>
              <w:spacing w:after="0"/>
              <w:rPr>
                <w:sz w:val="1"/>
                <w:szCs w:val="1"/>
                <w:color w:val="auto"/>
              </w:rPr>
            </w:pPr>
          </w:p>
        </w:tc>
      </w:tr>
      <w:tr>
        <w:trPr>
          <w:trHeight w:val="338"/>
        </w:trPr>
        <w:tc>
          <w:tcPr>
            <w:tcW w:w="118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980" w:type="dxa"/>
            <w:vAlign w:val="bottom"/>
          </w:tcPr>
          <w:p>
            <w:pPr>
              <w:spacing w:after="0"/>
              <w:rPr>
                <w:sz w:val="24"/>
                <w:szCs w:val="24"/>
                <w:color w:val="auto"/>
              </w:rPr>
            </w:pPr>
          </w:p>
        </w:tc>
        <w:tc>
          <w:tcPr>
            <w:tcW w:w="20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Prior to Delivery):</w:t>
            </w: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80" w:type="dxa"/>
            <w:vAlign w:val="bottom"/>
            <w:tcBorders>
              <w:left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260" w:type="dxa"/>
            <w:vAlign w:val="bottom"/>
            <w:tcBorders>
              <w:bottom w:val="single" w:sz="8" w:color="C0C0C0"/>
            </w:tcBorders>
            <w:shd w:val="clear" w:color="auto" w:fill="C0C0C0"/>
          </w:tcPr>
          <w:p>
            <w:pPr>
              <w:spacing w:after="0"/>
              <w:rPr>
                <w:sz w:val="3"/>
                <w:szCs w:val="3"/>
                <w:color w:val="auto"/>
              </w:rPr>
            </w:pPr>
          </w:p>
        </w:tc>
        <w:tc>
          <w:tcPr>
            <w:tcW w:w="640" w:type="dxa"/>
            <w:vAlign w:val="bottom"/>
            <w:tcBorders>
              <w:bottom w:val="single" w:sz="8" w:color="C0C0C0"/>
              <w:right w:val="single" w:sz="8" w:color="auto"/>
            </w:tcBorders>
            <w:shd w:val="clear" w:color="auto" w:fill="C0C0C0"/>
          </w:tcPr>
          <w:p>
            <w:pPr>
              <w:spacing w:after="0"/>
              <w:rPr>
                <w:sz w:val="3"/>
                <w:szCs w:val="3"/>
                <w:color w:val="auto"/>
              </w:rPr>
            </w:pPr>
          </w:p>
        </w:tc>
        <w:tc>
          <w:tcPr>
            <w:tcW w:w="540" w:type="dxa"/>
            <w:vAlign w:val="bottom"/>
            <w:tcBorders>
              <w:bottom w:val="single" w:sz="8" w:color="C0C0C0"/>
            </w:tcBorders>
            <w:shd w:val="clear" w:color="auto" w:fill="C0C0C0"/>
          </w:tcPr>
          <w:p>
            <w:pPr>
              <w:spacing w:after="0"/>
              <w:rPr>
                <w:sz w:val="3"/>
                <w:szCs w:val="3"/>
                <w:color w:val="auto"/>
              </w:rPr>
            </w:pPr>
          </w:p>
        </w:tc>
        <w:tc>
          <w:tcPr>
            <w:tcW w:w="620" w:type="dxa"/>
            <w:vAlign w:val="bottom"/>
            <w:tcBorders>
              <w:bottom w:val="single" w:sz="8" w:color="C0C0C0"/>
              <w:right w:val="single" w:sz="8" w:color="auto"/>
            </w:tcBorders>
            <w:shd w:val="clear" w:color="auto" w:fill="C0C0C0"/>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Borders>
              <w:right w:val="single" w:sz="8" w:color="auto"/>
            </w:tcBorders>
            <w:vMerge w:val="restart"/>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Estimate</w:t>
            </w:r>
          </w:p>
        </w:tc>
        <w:tc>
          <w:tcPr>
            <w:tcW w:w="9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right w:val="single" w:sz="8" w:color="auto"/>
            </w:tcBorders>
            <w:gridSpan w:val="3"/>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260" w:type="dxa"/>
            <w:vAlign w:val="bottom"/>
            <w:shd w:val="clear" w:color="auto" w:fill="C0C0C0"/>
          </w:tcPr>
          <w:p>
            <w:pPr>
              <w:spacing w:after="0"/>
              <w:rPr>
                <w:sz w:val="10"/>
                <w:szCs w:val="10"/>
                <w:color w:val="auto"/>
              </w:rPr>
            </w:pPr>
          </w:p>
        </w:tc>
        <w:tc>
          <w:tcPr>
            <w:tcW w:w="640" w:type="dxa"/>
            <w:vAlign w:val="bottom"/>
            <w:tcBorders>
              <w:right w:val="single" w:sz="8" w:color="auto"/>
            </w:tcBorders>
            <w:shd w:val="clear" w:color="auto" w:fill="C0C0C0"/>
          </w:tcPr>
          <w:p>
            <w:pPr>
              <w:spacing w:after="0"/>
              <w:rPr>
                <w:sz w:val="10"/>
                <w:szCs w:val="10"/>
                <w:color w:val="auto"/>
              </w:rPr>
            </w:pPr>
          </w:p>
        </w:tc>
        <w:tc>
          <w:tcPr>
            <w:tcW w:w="1160" w:type="dxa"/>
            <w:vAlign w:val="bottom"/>
            <w:tcBorders>
              <w:right w:val="single" w:sz="8" w:color="auto"/>
            </w:tcBorders>
            <w:gridSpan w:val="2"/>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140" w:type="dxa"/>
            <w:vAlign w:val="bottom"/>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10"/>
                <w:szCs w:val="10"/>
                <w:color w:val="auto"/>
              </w:rPr>
            </w:pPr>
          </w:p>
        </w:tc>
        <w:tc>
          <w:tcPr>
            <w:tcW w:w="98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100" w:type="dxa"/>
            <w:vAlign w:val="bottom"/>
          </w:tcPr>
          <w:p>
            <w:pPr>
              <w:spacing w:after="0"/>
              <w:rPr>
                <w:sz w:val="16"/>
                <w:szCs w:val="16"/>
                <w:color w:val="auto"/>
              </w:rPr>
            </w:pPr>
          </w:p>
        </w:tc>
        <w:tc>
          <w:tcPr>
            <w:tcW w:w="10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6"/>
                <w:szCs w:val="16"/>
                <w:color w:val="auto"/>
              </w:rPr>
            </w:pPr>
          </w:p>
        </w:tc>
        <w:tc>
          <w:tcPr>
            <w:tcW w:w="1160" w:type="dxa"/>
            <w:vAlign w:val="bottom"/>
            <w:tcBorders>
              <w:right w:val="single" w:sz="8" w:color="auto"/>
            </w:tcBorders>
            <w:gridSpan w:val="3"/>
            <w:vMerge w:val="continue"/>
          </w:tcPr>
          <w:p>
            <w:pPr>
              <w:spacing w:after="0"/>
              <w:rPr>
                <w:sz w:val="16"/>
                <w:szCs w:val="16"/>
                <w:color w:val="auto"/>
              </w:rPr>
            </w:pPr>
          </w:p>
        </w:tc>
        <w:tc>
          <w:tcPr>
            <w:tcW w:w="260" w:type="dxa"/>
            <w:vAlign w:val="bottom"/>
            <w:shd w:val="clear" w:color="auto" w:fill="C0C0C0"/>
          </w:tcPr>
          <w:p>
            <w:pPr>
              <w:spacing w:after="0"/>
              <w:rPr>
                <w:sz w:val="16"/>
                <w:szCs w:val="16"/>
                <w:color w:val="auto"/>
              </w:rPr>
            </w:pPr>
          </w:p>
        </w:tc>
        <w:tc>
          <w:tcPr>
            <w:tcW w:w="640" w:type="dxa"/>
            <w:vAlign w:val="bottom"/>
            <w:tcBorders>
              <w:right w:val="single" w:sz="8" w:color="auto"/>
            </w:tcBorders>
            <w:shd w:val="clear" w:color="auto" w:fill="C0C0C0"/>
          </w:tcPr>
          <w:p>
            <w:pPr>
              <w:spacing w:after="0"/>
              <w:rPr>
                <w:sz w:val="16"/>
                <w:szCs w:val="16"/>
                <w:color w:val="auto"/>
              </w:rPr>
            </w:pPr>
          </w:p>
        </w:tc>
        <w:tc>
          <w:tcPr>
            <w:tcW w:w="1160" w:type="dxa"/>
            <w:vAlign w:val="bottom"/>
            <w:tcBorders>
              <w:right w:val="single" w:sz="8" w:color="auto"/>
            </w:tcBorders>
            <w:gridSpan w:val="2"/>
            <w:vMerge w:val="continue"/>
            <w:shd w:val="clear" w:color="auto" w:fill="C0C0C0"/>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right w:val="single" w:sz="8" w:color="auto"/>
            </w:tcBorders>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Adv Payment</w:t>
            </w:r>
          </w:p>
        </w:tc>
        <w:tc>
          <w:tcPr>
            <w:tcW w:w="980" w:type="dxa"/>
            <w:vAlign w:val="bottom"/>
            <w:tcBorders>
              <w:right w:val="single" w:sz="8" w:color="auto"/>
            </w:tcBorders>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80" w:type="dxa"/>
            <w:vAlign w:val="bottom"/>
            <w:tcBorders>
              <w:left w:val="single" w:sz="8" w:color="auto"/>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Borders>
              <w:right w:val="single" w:sz="8" w:color="auto"/>
            </w:tcBorders>
            <w:gridSpan w:val="3"/>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Factor</w:t>
            </w:r>
          </w:p>
        </w:tc>
        <w:tc>
          <w:tcPr>
            <w:tcW w:w="260" w:type="dxa"/>
            <w:vAlign w:val="bottom"/>
            <w:shd w:val="clear" w:color="auto" w:fill="C0C0C0"/>
          </w:tcPr>
          <w:p>
            <w:pPr>
              <w:spacing w:after="0"/>
              <w:rPr>
                <w:sz w:val="15"/>
                <w:szCs w:val="15"/>
                <w:color w:val="auto"/>
              </w:rPr>
            </w:pPr>
          </w:p>
        </w:tc>
        <w:tc>
          <w:tcPr>
            <w:tcW w:w="640" w:type="dxa"/>
            <w:vAlign w:val="bottom"/>
            <w:tcBorders>
              <w:right w:val="single" w:sz="8" w:color="auto"/>
            </w:tcBorders>
            <w:shd w:val="clear" w:color="auto" w:fill="C0C0C0"/>
          </w:tcPr>
          <w:p>
            <w:pPr>
              <w:spacing w:after="0"/>
              <w:rPr>
                <w:sz w:val="15"/>
                <w:szCs w:val="15"/>
                <w:color w:val="auto"/>
              </w:rPr>
            </w:pPr>
          </w:p>
        </w:tc>
        <w:tc>
          <w:tcPr>
            <w:tcW w:w="1160" w:type="dxa"/>
            <w:vAlign w:val="bottom"/>
            <w:tcBorders>
              <w:right w:val="single" w:sz="8" w:color="auto"/>
            </w:tcBorders>
            <w:gridSpan w:val="2"/>
            <w:shd w:val="clear" w:color="auto" w:fill="C0C0C0"/>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Delivery</w:t>
            </w:r>
          </w:p>
        </w:tc>
        <w:tc>
          <w:tcPr>
            <w:tcW w:w="140" w:type="dxa"/>
            <w:vAlign w:val="bottom"/>
          </w:tcPr>
          <w:p>
            <w:pPr>
              <w:spacing w:after="0"/>
              <w:rPr>
                <w:sz w:val="15"/>
                <w:szCs w:val="15"/>
                <w:color w:val="auto"/>
              </w:rPr>
            </w:pPr>
          </w:p>
        </w:tc>
        <w:tc>
          <w:tcPr>
            <w:tcW w:w="1300" w:type="dxa"/>
            <w:vAlign w:val="bottom"/>
            <w:tcBorders>
              <w:right w:val="single" w:sz="8" w:color="auto"/>
            </w:tcBorders>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15"/>
                <w:szCs w:val="15"/>
                <w:color w:val="auto"/>
              </w:rPr>
            </w:pPr>
          </w:p>
        </w:tc>
        <w:tc>
          <w:tcPr>
            <w:tcW w:w="98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41"/>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260" w:type="dxa"/>
            <w:vAlign w:val="bottom"/>
            <w:tcBorders>
              <w:bottom w:val="single" w:sz="8" w:color="auto"/>
            </w:tcBorders>
            <w:shd w:val="clear" w:color="auto" w:fill="C0C0C0"/>
          </w:tcPr>
          <w:p>
            <w:pPr>
              <w:spacing w:after="0"/>
              <w:rPr>
                <w:sz w:val="20"/>
                <w:szCs w:val="20"/>
                <w:color w:val="auto"/>
              </w:rPr>
            </w:pPr>
          </w:p>
        </w:tc>
        <w:tc>
          <w:tcPr>
            <w:tcW w:w="640" w:type="dxa"/>
            <w:vAlign w:val="bottom"/>
            <w:tcBorders>
              <w:bottom w:val="single" w:sz="8" w:color="auto"/>
              <w:right w:val="single" w:sz="8" w:color="auto"/>
            </w:tcBorders>
            <w:shd w:val="clear" w:color="auto" w:fill="C0C0C0"/>
          </w:tcPr>
          <w:p>
            <w:pPr>
              <w:spacing w:after="0"/>
              <w:rPr>
                <w:sz w:val="20"/>
                <w:szCs w:val="20"/>
                <w:color w:val="auto"/>
              </w:rPr>
            </w:pPr>
          </w:p>
        </w:tc>
        <w:tc>
          <w:tcPr>
            <w:tcW w:w="1160" w:type="dxa"/>
            <w:vAlign w:val="bottom"/>
            <w:tcBorders>
              <w:bottom w:val="single" w:sz="8" w:color="auto"/>
              <w:right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980" w:type="dxa"/>
            <w:vAlign w:val="bottom"/>
            <w:tcBorders>
              <w:bottom w:val="single" w:sz="8" w:color="auto"/>
              <w:right w:val="single" w:sz="8" w:color="auto"/>
            </w:tcBorders>
            <w:vMerge w:val="continue"/>
          </w:tcPr>
          <w:p>
            <w:pPr>
              <w:spacing w:after="0"/>
              <w:rPr>
                <w:sz w:val="20"/>
                <w:szCs w:val="20"/>
                <w:color w:val="auto"/>
              </w:rPr>
            </w:pPr>
          </w:p>
        </w:tc>
        <w:tc>
          <w:tcPr>
            <w:tcW w:w="840" w:type="dxa"/>
            <w:vAlign w:val="bottom"/>
            <w:tcBorders>
              <w:bottom w:val="single" w:sz="8" w:color="auto"/>
              <w:right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vMerge w:val="continue"/>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4</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4</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1</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1</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1</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1</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4"/>
                <w:szCs w:val="24"/>
                <w:color w:val="auto"/>
              </w:rPr>
            </w:pPr>
          </w:p>
        </w:tc>
        <w:tc>
          <w:tcPr>
            <w:tcW w:w="104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24"/>
                <w:szCs w:val="24"/>
                <w:color w:val="auto"/>
              </w:rPr>
            </w:pPr>
          </w:p>
        </w:tc>
        <w:tc>
          <w:tcPr>
            <w:tcW w:w="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right w:val="single" w:sz="8" w:color="auto"/>
            </w:tcBorders>
          </w:tcPr>
          <w:p>
            <w:pPr>
              <w:spacing w:after="0"/>
              <w:rPr>
                <w:sz w:val="24"/>
                <w:szCs w:val="24"/>
                <w:color w:val="auto"/>
              </w:rPr>
            </w:pPr>
          </w:p>
        </w:tc>
        <w:tc>
          <w:tcPr>
            <w:tcW w:w="260" w:type="dxa"/>
            <w:vAlign w:val="bottom"/>
            <w:shd w:val="clear" w:color="auto" w:fill="C0C0C0"/>
          </w:tcPr>
          <w:p>
            <w:pPr>
              <w:spacing w:after="0"/>
              <w:rPr>
                <w:sz w:val="24"/>
                <w:szCs w:val="24"/>
                <w:color w:val="auto"/>
              </w:rPr>
            </w:pPr>
          </w:p>
        </w:tc>
        <w:tc>
          <w:tcPr>
            <w:tcW w:w="640" w:type="dxa"/>
            <w:vAlign w:val="bottom"/>
            <w:tcBorders>
              <w:right w:val="single" w:sz="8" w:color="auto"/>
            </w:tcBorders>
            <w:shd w:val="clear" w:color="auto" w:fill="C0C0C0"/>
          </w:tcPr>
          <w:p>
            <w:pPr>
              <w:spacing w:after="0"/>
              <w:rPr>
                <w:sz w:val="24"/>
                <w:szCs w:val="24"/>
                <w:color w:val="auto"/>
              </w:rPr>
            </w:pPr>
          </w:p>
        </w:tc>
        <w:tc>
          <w:tcPr>
            <w:tcW w:w="540" w:type="dxa"/>
            <w:vAlign w:val="bottom"/>
            <w:shd w:val="clear" w:color="auto" w:fill="C0C0C0"/>
          </w:tcPr>
          <w:p>
            <w:pPr>
              <w:spacing w:after="0"/>
              <w:rPr>
                <w:sz w:val="24"/>
                <w:szCs w:val="24"/>
                <w:color w:val="auto"/>
              </w:rPr>
            </w:pPr>
          </w:p>
        </w:tc>
        <w:tc>
          <w:tcPr>
            <w:tcW w:w="620" w:type="dxa"/>
            <w:vAlign w:val="bottom"/>
            <w:tcBorders>
              <w:right w:val="single" w:sz="8" w:color="auto"/>
            </w:tcBorders>
            <w:shd w:val="clear" w:color="auto" w:fill="C0C0C0"/>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8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260" w:type="dxa"/>
            <w:vAlign w:val="bottom"/>
            <w:tcBorders>
              <w:bottom w:val="single" w:sz="8" w:color="auto"/>
            </w:tcBorders>
            <w:shd w:val="clear" w:color="auto" w:fill="C0C0C0"/>
          </w:tcPr>
          <w:p>
            <w:pPr>
              <w:spacing w:after="0"/>
              <w:rPr>
                <w:sz w:val="5"/>
                <w:szCs w:val="5"/>
                <w:color w:val="auto"/>
              </w:rPr>
            </w:pPr>
          </w:p>
        </w:tc>
        <w:tc>
          <w:tcPr>
            <w:tcW w:w="640" w:type="dxa"/>
            <w:vAlign w:val="bottom"/>
            <w:tcBorders>
              <w:bottom w:val="single" w:sz="8" w:color="auto"/>
              <w:right w:val="single" w:sz="8" w:color="auto"/>
            </w:tcBorders>
            <w:shd w:val="clear" w:color="auto" w:fill="C0C0C0"/>
          </w:tcPr>
          <w:p>
            <w:pPr>
              <w:spacing w:after="0"/>
              <w:rPr>
                <w:sz w:val="5"/>
                <w:szCs w:val="5"/>
                <w:color w:val="auto"/>
              </w:rPr>
            </w:pPr>
          </w:p>
        </w:tc>
        <w:tc>
          <w:tcPr>
            <w:tcW w:w="540" w:type="dxa"/>
            <w:vAlign w:val="bottom"/>
            <w:tcBorders>
              <w:bottom w:val="single" w:sz="8" w:color="auto"/>
            </w:tcBorders>
            <w:shd w:val="clear" w:color="auto" w:fill="C0C0C0"/>
          </w:tcPr>
          <w:p>
            <w:pPr>
              <w:spacing w:after="0"/>
              <w:rPr>
                <w:sz w:val="5"/>
                <w:szCs w:val="5"/>
                <w:color w:val="auto"/>
              </w:rPr>
            </w:pPr>
          </w:p>
        </w:tc>
        <w:tc>
          <w:tcPr>
            <w:tcW w:w="620" w:type="dxa"/>
            <w:vAlign w:val="bottom"/>
            <w:tcBorders>
              <w:bottom w:val="single" w:sz="8" w:color="auto"/>
              <w:right w:val="single" w:sz="8" w:color="auto"/>
            </w:tcBorders>
            <w:shd w:val="clear" w:color="auto" w:fill="C0C0C0"/>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9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20"/>
                <w:szCs w:val="20"/>
                <w:color w:val="auto"/>
              </w:rPr>
            </w:pPr>
            <w:r>
              <w:rPr>
                <w:rFonts w:ascii="Arial" w:cs="Arial" w:eastAsia="Arial" w:hAnsi="Arial"/>
                <w:sz w:val="18"/>
                <w:szCs w:val="18"/>
                <w:color w:val="auto"/>
              </w:rPr>
              <w:t>AAL-PA-03735 118070-1F.txt  Boeing Proprietary</w:t>
            </w:r>
          </w:p>
        </w:tc>
        <w:tc>
          <w:tcPr>
            <w:tcW w:w="700" w:type="dxa"/>
            <w:vAlign w:val="bottom"/>
          </w:tcPr>
          <w:p>
            <w:pPr>
              <w:ind w:left="200"/>
              <w:spacing w:after="0"/>
              <w:rPr>
                <w:sz w:val="20"/>
                <w:szCs w:val="20"/>
                <w:color w:val="auto"/>
              </w:rPr>
            </w:pPr>
            <w:r>
              <w:rPr>
                <w:rFonts w:ascii="Arial" w:cs="Arial" w:eastAsia="Arial" w:hAnsi="Arial"/>
                <w:sz w:val="18"/>
                <w:szCs w:val="18"/>
                <w:color w:val="auto"/>
                <w:w w:val="95"/>
              </w:rPr>
              <w:t>SA-21</w:t>
            </w:r>
          </w:p>
        </w:tc>
      </w:tr>
      <w:tr>
        <w:trPr>
          <w:trHeight w:val="239"/>
        </w:trPr>
        <w:tc>
          <w:tcPr>
            <w:tcW w:w="4220" w:type="dxa"/>
            <w:vAlign w:val="bottom"/>
          </w:tcPr>
          <w:p>
            <w:pPr>
              <w:ind w:left="600"/>
              <w:spacing w:after="0"/>
              <w:rPr>
                <w:sz w:val="20"/>
                <w:szCs w:val="20"/>
                <w:color w:val="auto"/>
              </w:rPr>
            </w:pPr>
            <w:r>
              <w:rPr>
                <w:rFonts w:ascii="Arial" w:cs="Arial" w:eastAsia="Arial" w:hAnsi="Arial"/>
                <w:sz w:val="18"/>
                <w:szCs w:val="18"/>
                <w:color w:val="auto"/>
              </w:rPr>
              <w:t>Page 1</w:t>
            </w:r>
          </w:p>
        </w:tc>
        <w:tc>
          <w:tcPr>
            <w:tcW w:w="700" w:type="dxa"/>
            <w:vAlign w:val="bottom"/>
          </w:tcPr>
          <w:p>
            <w:pPr>
              <w:spacing w:after="0"/>
              <w:rPr>
                <w:sz w:val="20"/>
                <w:szCs w:val="20"/>
                <w:color w:val="auto"/>
              </w:rPr>
            </w:pPr>
          </w:p>
        </w:tc>
      </w:tr>
    </w:tbl>
    <w:p>
      <w:pPr>
        <w:sectPr>
          <w:pgSz w:w="11900" w:h="16838" w:orient="portrait"/>
          <w:cols w:equalWidth="0" w:num="1">
            <w:col w:w="11260"/>
          </w:cols>
          <w:pgMar w:left="320" w:top="96" w:right="319" w:bottom="0" w:gutter="0" w:footer="0" w:header="0"/>
          <w:type w:val="continuous"/>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Attachment A(R3) To</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Letter Agreement No. AAL-PA-0375-LA-11006651</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737-8 [****]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180" w:type="dxa"/>
            <w:vAlign w:val="bottom"/>
            <w:tcBorders>
              <w:top w:val="single" w:sz="8" w:color="auto"/>
              <w:left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shd w:val="clear" w:color="auto" w:fill="C0C0C0"/>
          </w:tcPr>
          <w:p>
            <w:pPr>
              <w:spacing w:after="0"/>
              <w:rPr>
                <w:sz w:val="24"/>
                <w:szCs w:val="24"/>
                <w:color w:val="auto"/>
              </w:rPr>
            </w:pPr>
          </w:p>
        </w:tc>
        <w:tc>
          <w:tcPr>
            <w:tcW w:w="1160" w:type="dxa"/>
            <w:vAlign w:val="bottom"/>
            <w:tcBorders>
              <w:top w:val="single" w:sz="8" w:color="auto"/>
              <w:right w:val="single" w:sz="8" w:color="auto"/>
            </w:tcBorders>
            <w:shd w:val="clear" w:color="auto" w:fill="C0C0C0"/>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4000" w:type="dxa"/>
            <w:vAlign w:val="bottom"/>
            <w:tcBorders>
              <w:top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Advance Payment Per Aircraft (Amts. Due/Mos.</w:t>
            </w:r>
          </w:p>
        </w:tc>
        <w:tc>
          <w:tcPr>
            <w:tcW w:w="0" w:type="dxa"/>
            <w:vAlign w:val="bottom"/>
          </w:tcPr>
          <w:p>
            <w:pPr>
              <w:spacing w:after="0"/>
              <w:rPr>
                <w:sz w:val="1"/>
                <w:szCs w:val="1"/>
                <w:color w:val="auto"/>
              </w:rPr>
            </w:pPr>
          </w:p>
        </w:tc>
      </w:tr>
      <w:tr>
        <w:trPr>
          <w:trHeight w:val="338"/>
        </w:trPr>
        <w:tc>
          <w:tcPr>
            <w:tcW w:w="1180" w:type="dxa"/>
            <w:vAlign w:val="bottom"/>
            <w:tcBorders>
              <w:left w:val="single" w:sz="8" w:color="auto"/>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980" w:type="dxa"/>
            <w:vAlign w:val="bottom"/>
          </w:tcPr>
          <w:p>
            <w:pPr>
              <w:spacing w:after="0"/>
              <w:rPr>
                <w:sz w:val="24"/>
                <w:szCs w:val="24"/>
                <w:color w:val="auto"/>
              </w:rPr>
            </w:pP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Prior to Delivery):</w:t>
            </w: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900" w:type="dxa"/>
            <w:vAlign w:val="bottom"/>
            <w:tcBorders>
              <w:bottom w:val="single" w:sz="8" w:color="C0C0C0"/>
              <w:right w:val="single" w:sz="8" w:color="auto"/>
            </w:tcBorders>
            <w:shd w:val="clear" w:color="auto" w:fill="C0C0C0"/>
          </w:tcPr>
          <w:p>
            <w:pPr>
              <w:spacing w:after="0"/>
              <w:rPr>
                <w:sz w:val="3"/>
                <w:szCs w:val="3"/>
                <w:color w:val="auto"/>
              </w:rPr>
            </w:pPr>
          </w:p>
        </w:tc>
        <w:tc>
          <w:tcPr>
            <w:tcW w:w="1160" w:type="dxa"/>
            <w:vAlign w:val="bottom"/>
            <w:tcBorders>
              <w:bottom w:val="single" w:sz="8" w:color="C0C0C0"/>
              <w:right w:val="single" w:sz="8" w:color="auto"/>
            </w:tcBorders>
            <w:shd w:val="clear" w:color="auto" w:fill="C0C0C0"/>
          </w:tcPr>
          <w:p>
            <w:pPr>
              <w:spacing w:after="0"/>
              <w:rPr>
                <w:sz w:val="3"/>
                <w:szCs w:val="3"/>
                <w:color w:val="auto"/>
              </w:rPr>
            </w:pPr>
          </w:p>
        </w:tc>
        <w:tc>
          <w:tcPr>
            <w:tcW w:w="144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Estimate</w:t>
            </w:r>
          </w:p>
        </w:tc>
        <w:tc>
          <w:tcPr>
            <w:tcW w:w="9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900" w:type="dxa"/>
            <w:vAlign w:val="bottom"/>
            <w:tcBorders>
              <w:right w:val="single" w:sz="8" w:color="auto"/>
            </w:tcBorders>
            <w:shd w:val="clear" w:color="auto" w:fill="C0C0C0"/>
          </w:tcPr>
          <w:p>
            <w:pPr>
              <w:spacing w:after="0"/>
              <w:rPr>
                <w:sz w:val="10"/>
                <w:szCs w:val="10"/>
                <w:color w:val="auto"/>
              </w:rPr>
            </w:pPr>
          </w:p>
        </w:tc>
        <w:tc>
          <w:tcPr>
            <w:tcW w:w="1160" w:type="dxa"/>
            <w:vAlign w:val="bottom"/>
            <w:tcBorders>
              <w:right w:val="single" w:sz="8" w:color="auto"/>
            </w:tcBorders>
            <w:vMerge w:val="restart"/>
            <w:shd w:val="clear" w:color="auto" w:fill="C0C0C0"/>
          </w:tcPr>
          <w:p>
            <w:pPr>
              <w:ind w:left="260"/>
              <w:spacing w:after="0"/>
              <w:rPr>
                <w:sz w:val="20"/>
                <w:szCs w:val="20"/>
                <w:color w:val="auto"/>
              </w:rPr>
            </w:pPr>
            <w:r>
              <w:rPr>
                <w:rFonts w:ascii="Times New Roman" w:cs="Times New Roman" w:eastAsia="Times New Roman" w:hAnsi="Times New Roman"/>
                <w:sz w:val="18"/>
                <w:szCs w:val="18"/>
                <w:b w:val="1"/>
                <w:bCs w:val="1"/>
                <w:color w:val="auto"/>
              </w:rPr>
              <w:t>Nominal</w:t>
            </w:r>
          </w:p>
        </w:tc>
        <w:tc>
          <w:tcPr>
            <w:tcW w:w="144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4"/>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tcBorders>
              <w:right w:val="single" w:sz="8" w:color="auto"/>
            </w:tcBorders>
            <w:vMerge w:val="continue"/>
          </w:tcPr>
          <w:p>
            <w:pPr>
              <w:spacing w:after="0"/>
              <w:rPr>
                <w:sz w:val="16"/>
                <w:szCs w:val="16"/>
                <w:color w:val="auto"/>
              </w:rPr>
            </w:pPr>
          </w:p>
        </w:tc>
        <w:tc>
          <w:tcPr>
            <w:tcW w:w="900" w:type="dxa"/>
            <w:vAlign w:val="bottom"/>
            <w:tcBorders>
              <w:right w:val="single" w:sz="8" w:color="auto"/>
            </w:tcBorders>
            <w:shd w:val="clear" w:color="auto" w:fill="C0C0C0"/>
          </w:tcPr>
          <w:p>
            <w:pPr>
              <w:spacing w:after="0"/>
              <w:rPr>
                <w:sz w:val="16"/>
                <w:szCs w:val="16"/>
                <w:color w:val="auto"/>
              </w:rPr>
            </w:pPr>
          </w:p>
        </w:tc>
        <w:tc>
          <w:tcPr>
            <w:tcW w:w="1160" w:type="dxa"/>
            <w:vAlign w:val="bottom"/>
            <w:tcBorders>
              <w:right w:val="single" w:sz="8" w:color="auto"/>
            </w:tcBorders>
            <w:vMerge w:val="continue"/>
            <w:shd w:val="clear" w:color="auto" w:fill="C0C0C0"/>
          </w:tcPr>
          <w:p>
            <w:pPr>
              <w:spacing w:after="0"/>
              <w:rPr>
                <w:sz w:val="16"/>
                <w:szCs w:val="16"/>
                <w:color w:val="auto"/>
              </w:rPr>
            </w:pPr>
          </w:p>
        </w:tc>
        <w:tc>
          <w:tcPr>
            <w:tcW w:w="14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Adv Payment</w:t>
            </w:r>
          </w:p>
        </w:tc>
        <w:tc>
          <w:tcPr>
            <w:tcW w:w="980" w:type="dxa"/>
            <w:vAlign w:val="bottom"/>
            <w:tcBorders>
              <w:right w:val="single" w:sz="8" w:color="auto"/>
            </w:tcBorders>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80" w:type="dxa"/>
            <w:vAlign w:val="bottom"/>
            <w:tcBorders>
              <w:left w:val="single" w:sz="8" w:color="auto"/>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4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Factor</w:t>
            </w:r>
          </w:p>
        </w:tc>
        <w:tc>
          <w:tcPr>
            <w:tcW w:w="900" w:type="dxa"/>
            <w:vAlign w:val="bottom"/>
            <w:tcBorders>
              <w:right w:val="single" w:sz="8" w:color="auto"/>
            </w:tcBorders>
            <w:shd w:val="clear" w:color="auto" w:fill="C0C0C0"/>
          </w:tcPr>
          <w:p>
            <w:pPr>
              <w:spacing w:after="0"/>
              <w:rPr>
                <w:sz w:val="15"/>
                <w:szCs w:val="15"/>
                <w:color w:val="auto"/>
              </w:rPr>
            </w:pPr>
          </w:p>
        </w:tc>
        <w:tc>
          <w:tcPr>
            <w:tcW w:w="1160" w:type="dxa"/>
            <w:vAlign w:val="bottom"/>
            <w:tcBorders>
              <w:right w:val="single" w:sz="8" w:color="auto"/>
            </w:tcBorders>
            <w:shd w:val="clear" w:color="auto" w:fill="C0C0C0"/>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Delivery</w:t>
            </w:r>
          </w:p>
        </w:tc>
        <w:tc>
          <w:tcPr>
            <w:tcW w:w="14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4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900" w:type="dxa"/>
            <w:vAlign w:val="bottom"/>
            <w:tcBorders>
              <w:bottom w:val="single" w:sz="8" w:color="auto"/>
              <w:right w:val="single" w:sz="8" w:color="auto"/>
            </w:tcBorders>
            <w:shd w:val="clear" w:color="auto" w:fill="C0C0C0"/>
          </w:tcPr>
          <w:p>
            <w:pPr>
              <w:spacing w:after="0"/>
              <w:rPr>
                <w:sz w:val="21"/>
                <w:szCs w:val="21"/>
                <w:color w:val="auto"/>
              </w:rPr>
            </w:pPr>
          </w:p>
        </w:tc>
        <w:tc>
          <w:tcPr>
            <w:tcW w:w="11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980" w:type="dxa"/>
            <w:vAlign w:val="bottom"/>
            <w:tcBorders>
              <w:bottom w:val="single" w:sz="8" w:color="auto"/>
              <w:right w:val="single" w:sz="8" w:color="auto"/>
            </w:tcBorders>
            <w:vMerge w:val="continue"/>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96" w:right="319" w:bottom="6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20"/>
                <w:szCs w:val="20"/>
                <w:color w:val="auto"/>
              </w:rPr>
            </w:pPr>
            <w:r>
              <w:rPr>
                <w:rFonts w:ascii="Arial" w:cs="Arial" w:eastAsia="Arial" w:hAnsi="Arial"/>
                <w:sz w:val="18"/>
                <w:szCs w:val="18"/>
                <w:color w:val="auto"/>
              </w:rPr>
              <w:t>AAL-PA-03735 118070-1F.txt  Boeing Proprietary</w:t>
            </w:r>
          </w:p>
        </w:tc>
        <w:tc>
          <w:tcPr>
            <w:tcW w:w="700" w:type="dxa"/>
            <w:vAlign w:val="bottom"/>
          </w:tcPr>
          <w:p>
            <w:pPr>
              <w:ind w:left="200"/>
              <w:spacing w:after="0"/>
              <w:rPr>
                <w:sz w:val="20"/>
                <w:szCs w:val="20"/>
                <w:color w:val="auto"/>
              </w:rPr>
            </w:pPr>
            <w:r>
              <w:rPr>
                <w:rFonts w:ascii="Arial" w:cs="Arial" w:eastAsia="Arial" w:hAnsi="Arial"/>
                <w:sz w:val="18"/>
                <w:szCs w:val="18"/>
                <w:color w:val="auto"/>
                <w:w w:val="95"/>
              </w:rPr>
              <w:t>SA-21</w:t>
            </w:r>
          </w:p>
        </w:tc>
      </w:tr>
      <w:tr>
        <w:trPr>
          <w:trHeight w:val="239"/>
        </w:trPr>
        <w:tc>
          <w:tcPr>
            <w:tcW w:w="4220" w:type="dxa"/>
            <w:vAlign w:val="bottom"/>
          </w:tcPr>
          <w:p>
            <w:pPr>
              <w:ind w:left="600"/>
              <w:spacing w:after="0"/>
              <w:rPr>
                <w:sz w:val="20"/>
                <w:szCs w:val="20"/>
                <w:color w:val="auto"/>
              </w:rPr>
            </w:pPr>
            <w:r>
              <w:rPr>
                <w:rFonts w:ascii="Arial" w:cs="Arial" w:eastAsia="Arial" w:hAnsi="Arial"/>
                <w:sz w:val="18"/>
                <w:szCs w:val="18"/>
                <w:color w:val="auto"/>
              </w:rPr>
              <w:t>Page 2</w:t>
            </w:r>
          </w:p>
        </w:tc>
        <w:tc>
          <w:tcPr>
            <w:tcW w:w="700" w:type="dxa"/>
            <w:vAlign w:val="bottom"/>
          </w:tcPr>
          <w:p>
            <w:pPr>
              <w:spacing w:after="0"/>
              <w:rPr>
                <w:sz w:val="20"/>
                <w:szCs w:val="20"/>
                <w:color w:val="auto"/>
              </w:rPr>
            </w:pPr>
          </w:p>
        </w:tc>
      </w:tr>
    </w:tbl>
    <w:p>
      <w:pPr>
        <w:sectPr>
          <w:pgSz w:w="11900" w:h="16838" w:orient="portrait"/>
          <w:cols w:equalWidth="0" w:num="1">
            <w:col w:w="11260"/>
          </w:cols>
          <w:pgMar w:left="320" w:top="96" w:right="319" w:bottom="600" w:gutter="0" w:footer="0" w:header="0"/>
          <w:type w:val="continuous"/>
        </w:sectPr>
      </w:pPr>
    </w:p>
    <w:bookmarkStart w:id="124" w:name="page125"/>
    <w:bookmarkEnd w:id="12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Attachment A(R3) To</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Letter Agreement No. AAL-PA-0375-LA-11006651</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737-8 [****]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1180" w:type="dxa"/>
            <w:vAlign w:val="bottom"/>
            <w:tcBorders>
              <w:top w:val="single" w:sz="8" w:color="auto"/>
              <w:left w:val="single" w:sz="8" w:color="auto"/>
              <w:right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shd w:val="clear" w:color="auto" w:fill="C0C0C0"/>
          </w:tcPr>
          <w:p>
            <w:pPr>
              <w:spacing w:after="0"/>
              <w:rPr>
                <w:sz w:val="24"/>
                <w:szCs w:val="24"/>
                <w:color w:val="auto"/>
              </w:rPr>
            </w:pPr>
          </w:p>
        </w:tc>
        <w:tc>
          <w:tcPr>
            <w:tcW w:w="1160" w:type="dxa"/>
            <w:vAlign w:val="bottom"/>
            <w:tcBorders>
              <w:top w:val="single" w:sz="8" w:color="auto"/>
              <w:right w:val="single" w:sz="8" w:color="auto"/>
            </w:tcBorders>
            <w:shd w:val="clear" w:color="auto" w:fill="C0C0C0"/>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4000" w:type="dxa"/>
            <w:vAlign w:val="bottom"/>
            <w:tcBorders>
              <w:top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Advance Payment Per Aircraft (Amts. Due/Mos.</w:t>
            </w:r>
          </w:p>
        </w:tc>
        <w:tc>
          <w:tcPr>
            <w:tcW w:w="0" w:type="dxa"/>
            <w:vAlign w:val="bottom"/>
          </w:tcPr>
          <w:p>
            <w:pPr>
              <w:spacing w:after="0"/>
              <w:rPr>
                <w:sz w:val="1"/>
                <w:szCs w:val="1"/>
                <w:color w:val="auto"/>
              </w:rPr>
            </w:pPr>
          </w:p>
        </w:tc>
      </w:tr>
      <w:tr>
        <w:trPr>
          <w:trHeight w:val="338"/>
        </w:trPr>
        <w:tc>
          <w:tcPr>
            <w:tcW w:w="1180" w:type="dxa"/>
            <w:vAlign w:val="bottom"/>
            <w:tcBorders>
              <w:left w:val="single" w:sz="8" w:color="auto"/>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980" w:type="dxa"/>
            <w:vAlign w:val="bottom"/>
          </w:tcPr>
          <w:p>
            <w:pPr>
              <w:spacing w:after="0"/>
              <w:rPr>
                <w:sz w:val="24"/>
                <w:szCs w:val="24"/>
                <w:color w:val="auto"/>
              </w:rPr>
            </w:pP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Prior to Delivery):</w:t>
            </w:r>
          </w:p>
        </w:tc>
        <w:tc>
          <w:tcPr>
            <w:tcW w:w="1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80" w:type="dxa"/>
            <w:vAlign w:val="bottom"/>
            <w:tcBorders>
              <w:left w:val="single" w:sz="8" w:color="auto"/>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440" w:type="dxa"/>
            <w:vAlign w:val="bottom"/>
            <w:tcBorders>
              <w:right w:val="single" w:sz="8" w:color="auto"/>
            </w:tcBorders>
          </w:tcPr>
          <w:p>
            <w:pPr>
              <w:spacing w:after="0"/>
              <w:rPr>
                <w:sz w:val="3"/>
                <w:szCs w:val="3"/>
                <w:color w:val="auto"/>
              </w:rPr>
            </w:pPr>
          </w:p>
        </w:tc>
        <w:tc>
          <w:tcPr>
            <w:tcW w:w="900" w:type="dxa"/>
            <w:vAlign w:val="bottom"/>
            <w:tcBorders>
              <w:bottom w:val="single" w:sz="8" w:color="C0C0C0"/>
              <w:right w:val="single" w:sz="8" w:color="auto"/>
            </w:tcBorders>
            <w:shd w:val="clear" w:color="auto" w:fill="C0C0C0"/>
          </w:tcPr>
          <w:p>
            <w:pPr>
              <w:spacing w:after="0"/>
              <w:rPr>
                <w:sz w:val="3"/>
                <w:szCs w:val="3"/>
                <w:color w:val="auto"/>
              </w:rPr>
            </w:pPr>
          </w:p>
        </w:tc>
        <w:tc>
          <w:tcPr>
            <w:tcW w:w="1160" w:type="dxa"/>
            <w:vAlign w:val="bottom"/>
            <w:tcBorders>
              <w:bottom w:val="single" w:sz="8" w:color="C0C0C0"/>
              <w:right w:val="single" w:sz="8" w:color="auto"/>
            </w:tcBorders>
            <w:shd w:val="clear" w:color="auto" w:fill="C0C0C0"/>
          </w:tcPr>
          <w:p>
            <w:pPr>
              <w:spacing w:after="0"/>
              <w:rPr>
                <w:sz w:val="3"/>
                <w:szCs w:val="3"/>
                <w:color w:val="auto"/>
              </w:rPr>
            </w:pPr>
          </w:p>
        </w:tc>
        <w:tc>
          <w:tcPr>
            <w:tcW w:w="1440" w:type="dxa"/>
            <w:vAlign w:val="bottom"/>
            <w:tcBorders>
              <w:right w:val="single" w:sz="8" w:color="auto"/>
            </w:tcBorders>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Estimate</w:t>
            </w:r>
          </w:p>
        </w:tc>
        <w:tc>
          <w:tcPr>
            <w:tcW w:w="9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180" w:type="dxa"/>
            <w:vAlign w:val="bottom"/>
            <w:tcBorders>
              <w:left w:val="single" w:sz="8" w:color="auto"/>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900" w:type="dxa"/>
            <w:vAlign w:val="bottom"/>
            <w:tcBorders>
              <w:right w:val="single" w:sz="8" w:color="auto"/>
            </w:tcBorders>
            <w:shd w:val="clear" w:color="auto" w:fill="C0C0C0"/>
          </w:tcPr>
          <w:p>
            <w:pPr>
              <w:spacing w:after="0"/>
              <w:rPr>
                <w:sz w:val="10"/>
                <w:szCs w:val="10"/>
                <w:color w:val="auto"/>
              </w:rPr>
            </w:pPr>
          </w:p>
        </w:tc>
        <w:tc>
          <w:tcPr>
            <w:tcW w:w="1160" w:type="dxa"/>
            <w:vAlign w:val="bottom"/>
            <w:tcBorders>
              <w:right w:val="single" w:sz="8" w:color="auto"/>
            </w:tcBorders>
            <w:vMerge w:val="restart"/>
            <w:shd w:val="clear" w:color="auto" w:fill="C0C0C0"/>
          </w:tcPr>
          <w:p>
            <w:pPr>
              <w:ind w:left="260"/>
              <w:spacing w:after="0"/>
              <w:rPr>
                <w:sz w:val="20"/>
                <w:szCs w:val="20"/>
                <w:color w:val="auto"/>
              </w:rPr>
            </w:pPr>
            <w:r>
              <w:rPr>
                <w:rFonts w:ascii="Times New Roman" w:cs="Times New Roman" w:eastAsia="Times New Roman" w:hAnsi="Times New Roman"/>
                <w:sz w:val="18"/>
                <w:szCs w:val="18"/>
                <w:b w:val="1"/>
                <w:bCs w:val="1"/>
                <w:color w:val="auto"/>
              </w:rPr>
              <w:t>Nominal</w:t>
            </w:r>
          </w:p>
        </w:tc>
        <w:tc>
          <w:tcPr>
            <w:tcW w:w="144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4"/>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11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tcBorders>
              <w:right w:val="single" w:sz="8" w:color="auto"/>
            </w:tcBorders>
            <w:vMerge w:val="continue"/>
          </w:tcPr>
          <w:p>
            <w:pPr>
              <w:spacing w:after="0"/>
              <w:rPr>
                <w:sz w:val="16"/>
                <w:szCs w:val="16"/>
                <w:color w:val="auto"/>
              </w:rPr>
            </w:pPr>
          </w:p>
        </w:tc>
        <w:tc>
          <w:tcPr>
            <w:tcW w:w="900" w:type="dxa"/>
            <w:vAlign w:val="bottom"/>
            <w:tcBorders>
              <w:right w:val="single" w:sz="8" w:color="auto"/>
            </w:tcBorders>
            <w:shd w:val="clear" w:color="auto" w:fill="C0C0C0"/>
          </w:tcPr>
          <w:p>
            <w:pPr>
              <w:spacing w:after="0"/>
              <w:rPr>
                <w:sz w:val="16"/>
                <w:szCs w:val="16"/>
                <w:color w:val="auto"/>
              </w:rPr>
            </w:pPr>
          </w:p>
        </w:tc>
        <w:tc>
          <w:tcPr>
            <w:tcW w:w="1160" w:type="dxa"/>
            <w:vAlign w:val="bottom"/>
            <w:tcBorders>
              <w:right w:val="single" w:sz="8" w:color="auto"/>
            </w:tcBorders>
            <w:vMerge w:val="continue"/>
            <w:shd w:val="clear" w:color="auto" w:fill="C0C0C0"/>
          </w:tcPr>
          <w:p>
            <w:pPr>
              <w:spacing w:after="0"/>
              <w:rPr>
                <w:sz w:val="16"/>
                <w:szCs w:val="16"/>
                <w:color w:val="auto"/>
              </w:rPr>
            </w:pPr>
          </w:p>
        </w:tc>
        <w:tc>
          <w:tcPr>
            <w:tcW w:w="14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Adv Payment</w:t>
            </w:r>
          </w:p>
        </w:tc>
        <w:tc>
          <w:tcPr>
            <w:tcW w:w="980" w:type="dxa"/>
            <w:vAlign w:val="bottom"/>
            <w:tcBorders>
              <w:right w:val="single" w:sz="8" w:color="auto"/>
            </w:tcBorders>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80" w:type="dxa"/>
            <w:vAlign w:val="bottom"/>
            <w:tcBorders>
              <w:left w:val="single" w:sz="8" w:color="auto"/>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4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Factor</w:t>
            </w:r>
          </w:p>
        </w:tc>
        <w:tc>
          <w:tcPr>
            <w:tcW w:w="900" w:type="dxa"/>
            <w:vAlign w:val="bottom"/>
            <w:tcBorders>
              <w:right w:val="single" w:sz="8" w:color="auto"/>
            </w:tcBorders>
            <w:shd w:val="clear" w:color="auto" w:fill="C0C0C0"/>
          </w:tcPr>
          <w:p>
            <w:pPr>
              <w:spacing w:after="0"/>
              <w:rPr>
                <w:sz w:val="15"/>
                <w:szCs w:val="15"/>
                <w:color w:val="auto"/>
              </w:rPr>
            </w:pPr>
          </w:p>
        </w:tc>
        <w:tc>
          <w:tcPr>
            <w:tcW w:w="1160" w:type="dxa"/>
            <w:vAlign w:val="bottom"/>
            <w:tcBorders>
              <w:right w:val="single" w:sz="8" w:color="auto"/>
            </w:tcBorders>
            <w:shd w:val="clear" w:color="auto" w:fill="C0C0C0"/>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Delivery</w:t>
            </w:r>
          </w:p>
        </w:tc>
        <w:tc>
          <w:tcPr>
            <w:tcW w:w="14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4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900" w:type="dxa"/>
            <w:vAlign w:val="bottom"/>
            <w:tcBorders>
              <w:bottom w:val="single" w:sz="8" w:color="auto"/>
              <w:right w:val="single" w:sz="8" w:color="auto"/>
            </w:tcBorders>
            <w:shd w:val="clear" w:color="auto" w:fill="C0C0C0"/>
          </w:tcPr>
          <w:p>
            <w:pPr>
              <w:spacing w:after="0"/>
              <w:rPr>
                <w:sz w:val="21"/>
                <w:szCs w:val="21"/>
                <w:color w:val="auto"/>
              </w:rPr>
            </w:pPr>
          </w:p>
        </w:tc>
        <w:tc>
          <w:tcPr>
            <w:tcW w:w="11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980" w:type="dxa"/>
            <w:vAlign w:val="bottom"/>
            <w:tcBorders>
              <w:bottom w:val="single" w:sz="8" w:color="auto"/>
              <w:right w:val="single" w:sz="8" w:color="auto"/>
            </w:tcBorders>
            <w:vMerge w:val="continue"/>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160" w:type="dxa"/>
            <w:vAlign w:val="bottom"/>
            <w:tcBorders>
              <w:bottom w:val="single" w:sz="8" w:color="auto"/>
              <w:right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1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shd w:val="clear" w:color="auto" w:fill="C0C0C0"/>
          </w:tcPr>
          <w:p>
            <w:pPr>
              <w:spacing w:after="0"/>
              <w:rPr>
                <w:sz w:val="24"/>
                <w:szCs w:val="24"/>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1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C0C0C0"/>
          </w:tcPr>
          <w:p>
            <w:pPr>
              <w:spacing w:after="0"/>
              <w:rPr>
                <w:sz w:val="5"/>
                <w:szCs w:val="5"/>
                <w:color w:val="auto"/>
              </w:rPr>
            </w:pPr>
          </w:p>
        </w:tc>
        <w:tc>
          <w:tcPr>
            <w:tcW w:w="1160" w:type="dxa"/>
            <w:vAlign w:val="bottom"/>
            <w:tcBorders>
              <w:bottom w:val="single" w:sz="8" w:color="auto"/>
              <w:right w:val="single" w:sz="8" w:color="auto"/>
            </w:tcBorders>
            <w:shd w:val="clear" w:color="auto" w:fill="C0C0C0"/>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Total: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20"/>
                <w:szCs w:val="20"/>
                <w:color w:val="auto"/>
              </w:rPr>
            </w:pPr>
            <w:r>
              <w:rPr>
                <w:rFonts w:ascii="Arial" w:cs="Arial" w:eastAsia="Arial" w:hAnsi="Arial"/>
                <w:sz w:val="18"/>
                <w:szCs w:val="18"/>
                <w:color w:val="auto"/>
              </w:rPr>
              <w:t>AAL-PA-03735 118070-1F.txt  Boeing Proprietary</w:t>
            </w:r>
          </w:p>
        </w:tc>
        <w:tc>
          <w:tcPr>
            <w:tcW w:w="700" w:type="dxa"/>
            <w:vAlign w:val="bottom"/>
          </w:tcPr>
          <w:p>
            <w:pPr>
              <w:ind w:left="200"/>
              <w:spacing w:after="0"/>
              <w:rPr>
                <w:sz w:val="20"/>
                <w:szCs w:val="20"/>
                <w:color w:val="auto"/>
              </w:rPr>
            </w:pPr>
            <w:r>
              <w:rPr>
                <w:rFonts w:ascii="Arial" w:cs="Arial" w:eastAsia="Arial" w:hAnsi="Arial"/>
                <w:sz w:val="18"/>
                <w:szCs w:val="18"/>
                <w:color w:val="auto"/>
                <w:w w:val="95"/>
              </w:rPr>
              <w:t>SA-21</w:t>
            </w:r>
          </w:p>
        </w:tc>
      </w:tr>
      <w:tr>
        <w:trPr>
          <w:trHeight w:val="239"/>
        </w:trPr>
        <w:tc>
          <w:tcPr>
            <w:tcW w:w="4220" w:type="dxa"/>
            <w:vAlign w:val="bottom"/>
          </w:tcPr>
          <w:p>
            <w:pPr>
              <w:ind w:left="600"/>
              <w:spacing w:after="0"/>
              <w:rPr>
                <w:sz w:val="20"/>
                <w:szCs w:val="20"/>
                <w:color w:val="auto"/>
              </w:rPr>
            </w:pPr>
            <w:r>
              <w:rPr>
                <w:rFonts w:ascii="Arial" w:cs="Arial" w:eastAsia="Arial" w:hAnsi="Arial"/>
                <w:sz w:val="18"/>
                <w:szCs w:val="18"/>
                <w:color w:val="auto"/>
              </w:rPr>
              <w:t>Page 3</w:t>
            </w:r>
          </w:p>
        </w:tc>
        <w:tc>
          <w:tcPr>
            <w:tcW w:w="700" w:type="dxa"/>
            <w:vAlign w:val="bottom"/>
          </w:tcPr>
          <w:p>
            <w:pPr>
              <w:spacing w:after="0"/>
              <w:rPr>
                <w:sz w:val="20"/>
                <w:szCs w:val="20"/>
                <w:color w:val="auto"/>
              </w:rPr>
            </w:pPr>
          </w:p>
        </w:tc>
      </w:tr>
    </w:tbl>
    <w:p>
      <w:pPr>
        <w:sectPr>
          <w:pgSz w:w="11900" w:h="16838" w:orient="portrait"/>
          <w:cols w:equalWidth="0" w:num="1">
            <w:col w:w="11260"/>
          </w:cols>
          <w:pgMar w:left="320" w:top="96" w:right="319" w:bottom="1440" w:gutter="0" w:footer="0" w:header="0"/>
        </w:sectPr>
      </w:pPr>
    </w:p>
    <w:bookmarkStart w:id="125" w:name="page126"/>
    <w:bookmarkEnd w:id="125"/>
    <w:p>
      <w:pPr>
        <w:ind w:left="238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491490</wp:posOffset>
            </wp:positionV>
            <wp:extent cx="58635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1491615" cy="3429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t>The Boeing Company</w:t>
      </w:r>
    </w:p>
    <w:p>
      <w:pPr>
        <w:ind w:left="2380"/>
        <w:spacing w:after="0" w:line="216" w:lineRule="auto"/>
        <w:rPr>
          <w:sz w:val="20"/>
          <w:szCs w:val="20"/>
          <w:color w:val="auto"/>
        </w:rPr>
      </w:pPr>
      <w:r>
        <w:rPr>
          <w:rFonts w:ascii="Arial" w:cs="Arial" w:eastAsia="Arial" w:hAnsi="Arial"/>
          <w:sz w:val="13"/>
          <w:szCs w:val="13"/>
          <w:color w:val="808080"/>
        </w:rPr>
        <w:t>P.O. Box 3707</w:t>
      </w:r>
    </w:p>
    <w:p>
      <w:pPr>
        <w:ind w:left="238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R4</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6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179" w:lineRule="exact"/>
        <w:rPr>
          <w:sz w:val="20"/>
          <w:szCs w:val="20"/>
          <w:color w:val="auto"/>
        </w:rPr>
      </w:pPr>
    </w:p>
    <w:p>
      <w:pPr>
        <w:ind w:left="1340" w:hanging="1538"/>
        <w:spacing w:after="0" w:line="245" w:lineRule="auto"/>
        <w:tabs>
          <w:tab w:leader="none" w:pos="132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3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22"/>
          <w:szCs w:val="22"/>
          <w:color w:val="auto"/>
        </w:rPr>
        <w:t>Subject to the terms and conditions contained in this Letter Agreement, in addition to the Aircraft described in Table 1R12, Table 1-2, Table 1-3R6, and Table 1-4 to the Purchase Agreement as of the date of execution of this Letter Agreement, [****] ([****]).</w:t>
      </w:r>
    </w:p>
    <w:p>
      <w:pPr>
        <w:spacing w:after="0" w:line="149" w:lineRule="exact"/>
        <w:rPr>
          <w:sz w:val="20"/>
          <w:szCs w:val="20"/>
          <w:color w:val="auto"/>
        </w:rPr>
      </w:pPr>
    </w:p>
    <w:p>
      <w:pPr>
        <w:ind w:left="1040" w:hanging="384"/>
        <w:spacing w:after="0"/>
        <w:tabs>
          <w:tab w:leader="none" w:pos="104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 The [****] with [****] in calendar years [****] are listed in Attachment A(R4) to this Letter Agreement.</w:t>
      </w:r>
    </w:p>
    <w:p>
      <w:pPr>
        <w:spacing w:after="0" w:line="71"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2.2</w:t>
        <w:tab/>
        <w:t>[****]. The [****] with [****] ([****]</w:t>
      </w:r>
      <w:r>
        <w:rPr>
          <w:rFonts w:ascii="Arial" w:cs="Arial" w:eastAsia="Arial" w:hAnsi="Arial"/>
          <w:sz w:val="22"/>
          <w:szCs w:val="22"/>
          <w:i w:val="1"/>
          <w:iCs w:val="1"/>
          <w:color w:val="auto"/>
        </w:rPr>
        <w:t>)</w:t>
      </w:r>
      <w:r>
        <w:rPr>
          <w:rFonts w:ascii="Arial" w:cs="Arial" w:eastAsia="Arial" w:hAnsi="Arial"/>
          <w:sz w:val="22"/>
          <w:szCs w:val="22"/>
          <w:color w:val="auto"/>
        </w:rPr>
        <w:t xml:space="preserve"> in [****] ([****]) [****] for each [****] are listed in Attachment A(R4) to this Letter Agreement. No later than [****] to the [****] in each of calendar years [****], Boeing will provide written notice setting forth [****] with a [****] in such calendar year. Such notice will constitute an amendment to Attachment A(R4) to this Letter Agreement.</w:t>
      </w:r>
    </w:p>
    <w:p>
      <w:pPr>
        <w:spacing w:after="0" w:line="152" w:lineRule="exact"/>
        <w:rPr>
          <w:sz w:val="20"/>
          <w:szCs w:val="20"/>
          <w:color w:val="auto"/>
        </w:rPr>
      </w:pPr>
    </w:p>
    <w:p>
      <w:pPr>
        <w:ind w:left="1040" w:hanging="384"/>
        <w:spacing w:after="0"/>
        <w:tabs>
          <w:tab w:leader="none" w:pos="104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Configuration</w:t>
      </w:r>
      <w:r>
        <w:rPr>
          <w:rFonts w:ascii="Arial" w:cs="Arial" w:eastAsia="Arial" w:hAnsi="Arial"/>
          <w:sz w:val="22"/>
          <w:szCs w:val="22"/>
          <w:color w:val="auto"/>
        </w:rPr>
        <w:t>.</w:t>
      </w:r>
    </w:p>
    <w:p>
      <w:pPr>
        <w:spacing w:after="0" w:line="179" w:lineRule="exact"/>
        <w:rPr>
          <w:sz w:val="20"/>
          <w:szCs w:val="20"/>
          <w:color w:val="auto"/>
        </w:rPr>
      </w:pPr>
    </w:p>
    <w:p>
      <w:pPr>
        <w:jc w:val="both"/>
        <w:ind w:left="1060" w:hanging="404"/>
        <w:spacing w:after="0" w:line="226" w:lineRule="auto"/>
        <w:rPr>
          <w:sz w:val="20"/>
          <w:szCs w:val="20"/>
          <w:color w:val="auto"/>
        </w:rPr>
      </w:pPr>
      <w:r>
        <w:rPr>
          <w:rFonts w:ascii="Arial" w:cs="Arial" w:eastAsia="Arial" w:hAnsi="Arial"/>
          <w:sz w:val="22"/>
          <w:szCs w:val="22"/>
          <w:color w:val="auto"/>
        </w:rPr>
        <w:t>3.1 Subject to the provisions of Section 3.2 below, the configuration for the [****] will be the Detail Specification for the Aircraft at the revision level in effect at the time of [****] (as defined in Section 8 below). Such Detail Specification will be revised to include:</w:t>
      </w:r>
    </w:p>
    <w:p>
      <w:pPr>
        <w:spacing w:after="0" w:line="149" w:lineRule="exact"/>
        <w:rPr>
          <w:sz w:val="20"/>
          <w:szCs w:val="20"/>
          <w:color w:val="auto"/>
        </w:rPr>
      </w:pPr>
    </w:p>
    <w:p>
      <w:pPr>
        <w:ind w:left="1560" w:hanging="904"/>
        <w:spacing w:after="0"/>
        <w:tabs>
          <w:tab w:leader="none" w:pos="15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and</w:t>
      </w:r>
    </w:p>
    <w:p>
      <w:pPr>
        <w:spacing w:after="0" w:line="179" w:lineRule="exact"/>
        <w:rPr>
          <w:rFonts w:ascii="Arial" w:cs="Arial" w:eastAsia="Arial" w:hAnsi="Arial"/>
          <w:sz w:val="22"/>
          <w:szCs w:val="22"/>
          <w:color w:val="auto"/>
        </w:rPr>
      </w:pPr>
    </w:p>
    <w:p>
      <w:pPr>
        <w:ind w:left="1900" w:hanging="596"/>
        <w:spacing w:after="0"/>
        <w:tabs>
          <w:tab w:leader="none" w:pos="19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1180" w:right="20" w:hanging="517"/>
        <w:spacing w:after="0" w:line="236" w:lineRule="auto"/>
        <w:tabs>
          <w:tab w:leader="none" w:pos="1160" w:val="left"/>
        </w:tabs>
        <w:rPr>
          <w:sz w:val="20"/>
          <w:szCs w:val="20"/>
          <w:color w:val="auto"/>
        </w:rPr>
      </w:pPr>
      <w:r>
        <w:rPr>
          <w:rFonts w:ascii="Arial" w:cs="Arial" w:eastAsia="Arial" w:hAnsi="Arial"/>
          <w:sz w:val="22"/>
          <w:szCs w:val="22"/>
          <w:color w:val="auto"/>
        </w:rPr>
        <w:t>3.2</w:t>
        <w:tab/>
        <w:t xml:space="preserve">Boeing reserves the right to [****] the [****] starting from a [****]; </w:t>
      </w:r>
      <w:r>
        <w:rPr>
          <w:rFonts w:ascii="Arial" w:cs="Arial" w:eastAsia="Arial" w:hAnsi="Arial"/>
          <w:sz w:val="22"/>
          <w:szCs w:val="22"/>
          <w:u w:val="single" w:color="auto"/>
          <w:color w:val="auto"/>
        </w:rPr>
        <w:t>so long as</w:t>
      </w:r>
      <w:r>
        <w:rPr>
          <w:rFonts w:ascii="Arial" w:cs="Arial" w:eastAsia="Arial" w:hAnsi="Arial"/>
          <w:sz w:val="22"/>
          <w:szCs w:val="22"/>
          <w:color w:val="auto"/>
        </w:rPr>
        <w:t xml:space="preserve"> Boeing can achieve the same [****] which would result pursuant to the provisions of Section 3.1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R4</w:t>
      </w:r>
      <w:r>
        <w:rPr>
          <w:sz w:val="20"/>
          <w:szCs w:val="20"/>
          <w:color w:val="auto"/>
        </w:rPr>
        <w:tab/>
      </w:r>
      <w:r>
        <w:rPr>
          <w:rFonts w:ascii="Arial" w:cs="Arial" w:eastAsia="Arial" w:hAnsi="Arial"/>
          <w:sz w:val="21"/>
          <w:szCs w:val="21"/>
          <w:color w:val="auto"/>
        </w:rPr>
        <w:t>SA-21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1of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948" w:right="339" w:bottom="1440" w:gutter="0" w:footer="0" w:header="0"/>
        </w:sectPr>
      </w:pPr>
    </w:p>
    <w:bookmarkStart w:id="126" w:name="page127"/>
    <w:bookmarkEnd w:id="12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Attachment A(R3) To</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Letter Agreement No. AAL-PA-0375-LA-11006651</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737-8 [****]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40" w:hanging="384"/>
        <w:spacing w:after="0"/>
        <w:tabs>
          <w:tab w:leader="none" w:pos="104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179" w:lineRule="exact"/>
        <w:rPr>
          <w:sz w:val="20"/>
          <w:szCs w:val="20"/>
          <w:color w:val="auto"/>
        </w:rPr>
      </w:pPr>
    </w:p>
    <w:p>
      <w:pPr>
        <w:ind w:left="1220" w:right="20" w:hanging="566"/>
        <w:spacing w:after="0" w:line="236" w:lineRule="auto"/>
        <w:tabs>
          <w:tab w:leader="none" w:pos="1200" w:val="left"/>
        </w:tabs>
        <w:rPr>
          <w:sz w:val="20"/>
          <w:szCs w:val="20"/>
          <w:color w:val="auto"/>
        </w:rPr>
      </w:pPr>
      <w:r>
        <w:rPr>
          <w:rFonts w:ascii="Arial" w:cs="Arial" w:eastAsia="Arial" w:hAnsi="Arial"/>
          <w:sz w:val="22"/>
          <w:szCs w:val="22"/>
          <w:color w:val="auto"/>
        </w:rPr>
        <w:t>4.1</w:t>
        <w:tab/>
        <w:t>The [****] Aircraft Basic Price for each of the [****] are identified in Attachment A(R3) to this Letter Agreement.</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Aircraft Basic Price for each of the [****] shall be [****].</w:t>
      </w:r>
    </w:p>
    <w:p>
      <w:pPr>
        <w:spacing w:after="0" w:line="179" w:lineRule="exact"/>
        <w:rPr>
          <w:sz w:val="20"/>
          <w:szCs w:val="20"/>
          <w:color w:val="auto"/>
        </w:rPr>
      </w:pPr>
    </w:p>
    <w:p>
      <w:pPr>
        <w:ind w:left="1180" w:right="20" w:hanging="517"/>
        <w:spacing w:after="0" w:line="236" w:lineRule="auto"/>
        <w:tabs>
          <w:tab w:leader="none" w:pos="1160" w:val="left"/>
        </w:tabs>
        <w:rPr>
          <w:sz w:val="20"/>
          <w:szCs w:val="20"/>
          <w:color w:val="auto"/>
        </w:rPr>
      </w:pPr>
      <w:r>
        <w:rPr>
          <w:rFonts w:ascii="Arial" w:cs="Arial" w:eastAsia="Arial" w:hAnsi="Arial"/>
          <w:sz w:val="22"/>
          <w:szCs w:val="22"/>
          <w:color w:val="auto"/>
        </w:rPr>
        <w:t>4.3</w:t>
        <w:tab/>
        <w:t>The Advance Payment Base Price shall be developed in accordance with the terms of the Purchase Agreement and determined at the time of [****].</w:t>
      </w:r>
    </w:p>
    <w:p>
      <w:pPr>
        <w:spacing w:after="0" w:line="151" w:lineRule="exact"/>
        <w:rPr>
          <w:sz w:val="20"/>
          <w:szCs w:val="20"/>
          <w:color w:val="auto"/>
        </w:rPr>
      </w:pPr>
    </w:p>
    <w:p>
      <w:pPr>
        <w:ind w:left="1040" w:hanging="384"/>
        <w:spacing w:after="0"/>
        <w:tabs>
          <w:tab w:leader="none" w:pos="104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w:t>
      </w:r>
    </w:p>
    <w:p>
      <w:pPr>
        <w:spacing w:after="0" w:line="71" w:lineRule="exact"/>
        <w:rPr>
          <w:sz w:val="20"/>
          <w:szCs w:val="20"/>
          <w:color w:val="auto"/>
        </w:rPr>
      </w:pPr>
    </w:p>
    <w:p>
      <w:pPr>
        <w:ind w:left="1040" w:hanging="384"/>
        <w:spacing w:after="0"/>
        <w:tabs>
          <w:tab w:leader="none" w:pos="104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040" w:hanging="384"/>
        <w:spacing w:after="0"/>
        <w:tabs>
          <w:tab w:leader="none" w:pos="104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5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tab/>
        <w:t>Notwithstanding Section 7.1 above, the [****] for the following [****] in Attachment A(R3) of this letter</w:t>
      </w:r>
    </w:p>
    <w:p>
      <w:pPr>
        <w:ind w:left="1180"/>
        <w:spacing w:after="0"/>
        <w:rPr>
          <w:sz w:val="20"/>
          <w:szCs w:val="20"/>
          <w:color w:val="auto"/>
        </w:rPr>
      </w:pPr>
      <w:r>
        <w:rPr>
          <w:rFonts w:ascii="Arial" w:cs="Arial" w:eastAsia="Arial" w:hAnsi="Arial"/>
          <w:sz w:val="22"/>
          <w:szCs w:val="22"/>
          <w:color w:val="auto"/>
        </w:rPr>
        <w:t>Agreement are as follows:</w:t>
      </w: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5960" w:type="dxa"/>
            <w:vAlign w:val="bottom"/>
            <w:tcBorders>
              <w:top w:val="single" w:sz="8" w:color="auto"/>
              <w:left w:val="single" w:sz="8" w:color="auto"/>
              <w:right w:val="single" w:sz="8" w:color="auto"/>
            </w:tcBorders>
          </w:tcPr>
          <w:p>
            <w:pPr>
              <w:jc w:val="right"/>
              <w:ind w:right="2632"/>
              <w:spacing w:after="0"/>
              <w:rPr>
                <w:sz w:val="20"/>
                <w:szCs w:val="20"/>
                <w:color w:val="auto"/>
              </w:rPr>
            </w:pPr>
            <w:r>
              <w:rPr>
                <w:rFonts w:ascii="Arial" w:cs="Arial" w:eastAsia="Arial" w:hAnsi="Arial"/>
                <w:sz w:val="22"/>
                <w:szCs w:val="22"/>
                <w:color w:val="auto"/>
              </w:rPr>
              <w:t>[****]</w:t>
            </w:r>
          </w:p>
        </w:tc>
        <w:tc>
          <w:tcPr>
            <w:tcW w:w="5300" w:type="dxa"/>
            <w:vAlign w:val="bottom"/>
            <w:tcBorders>
              <w:top w:val="single" w:sz="8" w:color="auto"/>
              <w:right w:val="single" w:sz="8" w:color="auto"/>
            </w:tcBorders>
          </w:tcPr>
          <w:p>
            <w:pPr>
              <w:jc w:val="right"/>
              <w:ind w:right="2332"/>
              <w:spacing w:after="0"/>
              <w:rPr>
                <w:sz w:val="20"/>
                <w:szCs w:val="20"/>
                <w:color w:val="auto"/>
              </w:rPr>
            </w:pPr>
            <w:r>
              <w:rPr>
                <w:rFonts w:ascii="Arial" w:cs="Arial" w:eastAsia="Arial" w:hAnsi="Arial"/>
                <w:sz w:val="22"/>
                <w:szCs w:val="22"/>
                <w:color w:val="auto"/>
              </w:rPr>
              <w:t>[****]</w:t>
            </w:r>
          </w:p>
        </w:tc>
      </w:tr>
      <w:tr>
        <w:trPr>
          <w:trHeight w:val="81"/>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r>
        <w:trPr>
          <w:trHeight w:val="236"/>
        </w:trPr>
        <w:tc>
          <w:tcPr>
            <w:tcW w:w="5960" w:type="dxa"/>
            <w:vAlign w:val="bottom"/>
            <w:tcBorders>
              <w:left w:val="single" w:sz="8" w:color="auto"/>
              <w:bottom w:val="single" w:sz="8" w:color="auto"/>
              <w:right w:val="single" w:sz="8" w:color="auto"/>
            </w:tcBorders>
          </w:tcPr>
          <w:p>
            <w:pPr>
              <w:spacing w:after="0"/>
              <w:rPr>
                <w:sz w:val="20"/>
                <w:szCs w:val="20"/>
                <w:color w:val="auto"/>
              </w:rPr>
            </w:pPr>
          </w:p>
        </w:tc>
        <w:tc>
          <w:tcPr>
            <w:tcW w:w="5300" w:type="dxa"/>
            <w:vAlign w:val="bottom"/>
            <w:tcBorders>
              <w:bottom w:val="single" w:sz="8" w:color="auto"/>
              <w:right w:val="single" w:sz="8" w:color="auto"/>
            </w:tcBorders>
          </w:tcPr>
          <w:p>
            <w:pPr>
              <w:spacing w:after="0"/>
              <w:rPr>
                <w:sz w:val="20"/>
                <w:szCs w:val="20"/>
                <w:color w:val="auto"/>
              </w:rPr>
            </w:pPr>
          </w:p>
        </w:tc>
      </w:tr>
      <w:tr>
        <w:trPr>
          <w:trHeight w:val="345"/>
        </w:trPr>
        <w:tc>
          <w:tcPr>
            <w:tcW w:w="5960" w:type="dxa"/>
            <w:vAlign w:val="bottom"/>
            <w:tcBorders>
              <w:left w:val="single" w:sz="8" w:color="auto"/>
              <w:right w:val="single" w:sz="8" w:color="auto"/>
            </w:tcBorders>
          </w:tcPr>
          <w:p>
            <w:pPr>
              <w:jc w:val="right"/>
              <w:ind w:right="2632"/>
              <w:spacing w:after="0"/>
              <w:rPr>
                <w:sz w:val="20"/>
                <w:szCs w:val="20"/>
                <w:color w:val="auto"/>
              </w:rPr>
            </w:pPr>
            <w:r>
              <w:rPr>
                <w:rFonts w:ascii="Arial" w:cs="Arial" w:eastAsia="Arial" w:hAnsi="Arial"/>
                <w:sz w:val="22"/>
                <w:szCs w:val="22"/>
                <w:color w:val="auto"/>
              </w:rPr>
              <w:t>[****]</w:t>
            </w:r>
          </w:p>
        </w:tc>
        <w:tc>
          <w:tcPr>
            <w:tcW w:w="5300" w:type="dxa"/>
            <w:vAlign w:val="bottom"/>
            <w:tcBorders>
              <w:right w:val="single" w:sz="8" w:color="auto"/>
            </w:tcBorders>
          </w:tcPr>
          <w:p>
            <w:pPr>
              <w:jc w:val="right"/>
              <w:ind w:right="2332"/>
              <w:spacing w:after="0"/>
              <w:rPr>
                <w:sz w:val="20"/>
                <w:szCs w:val="20"/>
                <w:color w:val="auto"/>
              </w:rPr>
            </w:pPr>
            <w:r>
              <w:rPr>
                <w:rFonts w:ascii="Arial" w:cs="Arial" w:eastAsia="Arial" w:hAnsi="Arial"/>
                <w:sz w:val="22"/>
                <w:szCs w:val="22"/>
                <w:color w:val="auto"/>
              </w:rPr>
              <w:t>[****]</w:t>
            </w:r>
          </w:p>
        </w:tc>
      </w:tr>
      <w:tr>
        <w:trPr>
          <w:trHeight w:val="80"/>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r>
        <w:trPr>
          <w:trHeight w:val="345"/>
        </w:trPr>
        <w:tc>
          <w:tcPr>
            <w:tcW w:w="5960" w:type="dxa"/>
            <w:vAlign w:val="bottom"/>
            <w:tcBorders>
              <w:left w:val="single" w:sz="8" w:color="auto"/>
              <w:right w:val="single" w:sz="8" w:color="auto"/>
            </w:tcBorders>
          </w:tcPr>
          <w:p>
            <w:pPr>
              <w:jc w:val="right"/>
              <w:ind w:right="2632"/>
              <w:spacing w:after="0"/>
              <w:rPr>
                <w:sz w:val="20"/>
                <w:szCs w:val="20"/>
                <w:color w:val="auto"/>
              </w:rPr>
            </w:pPr>
            <w:r>
              <w:rPr>
                <w:rFonts w:ascii="Arial" w:cs="Arial" w:eastAsia="Arial" w:hAnsi="Arial"/>
                <w:sz w:val="22"/>
                <w:szCs w:val="22"/>
                <w:color w:val="auto"/>
              </w:rPr>
              <w:t>[****]</w:t>
            </w:r>
          </w:p>
        </w:tc>
        <w:tc>
          <w:tcPr>
            <w:tcW w:w="5300" w:type="dxa"/>
            <w:vAlign w:val="bottom"/>
            <w:tcBorders>
              <w:right w:val="single" w:sz="8" w:color="auto"/>
            </w:tcBorders>
          </w:tcPr>
          <w:p>
            <w:pPr>
              <w:jc w:val="right"/>
              <w:ind w:right="2332"/>
              <w:spacing w:after="0"/>
              <w:rPr>
                <w:sz w:val="20"/>
                <w:szCs w:val="20"/>
                <w:color w:val="auto"/>
              </w:rPr>
            </w:pPr>
            <w:r>
              <w:rPr>
                <w:rFonts w:ascii="Arial" w:cs="Arial" w:eastAsia="Arial" w:hAnsi="Arial"/>
                <w:sz w:val="22"/>
                <w:szCs w:val="22"/>
                <w:color w:val="auto"/>
              </w:rPr>
              <w:t>[****]</w:t>
            </w:r>
          </w:p>
        </w:tc>
      </w:tr>
      <w:tr>
        <w:trPr>
          <w:trHeight w:val="81"/>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r>
        <w:trPr>
          <w:trHeight w:val="345"/>
        </w:trPr>
        <w:tc>
          <w:tcPr>
            <w:tcW w:w="5960" w:type="dxa"/>
            <w:vAlign w:val="bottom"/>
            <w:tcBorders>
              <w:left w:val="single" w:sz="8" w:color="auto"/>
              <w:right w:val="single" w:sz="8" w:color="auto"/>
            </w:tcBorders>
          </w:tcPr>
          <w:p>
            <w:pPr>
              <w:jc w:val="right"/>
              <w:ind w:right="2632"/>
              <w:spacing w:after="0"/>
              <w:rPr>
                <w:sz w:val="20"/>
                <w:szCs w:val="20"/>
                <w:color w:val="auto"/>
              </w:rPr>
            </w:pPr>
            <w:r>
              <w:rPr>
                <w:rFonts w:ascii="Arial" w:cs="Arial" w:eastAsia="Arial" w:hAnsi="Arial"/>
                <w:sz w:val="22"/>
                <w:szCs w:val="22"/>
                <w:color w:val="auto"/>
              </w:rPr>
              <w:t>[****]</w:t>
            </w:r>
          </w:p>
        </w:tc>
        <w:tc>
          <w:tcPr>
            <w:tcW w:w="5300" w:type="dxa"/>
            <w:vAlign w:val="bottom"/>
            <w:tcBorders>
              <w:right w:val="single" w:sz="8" w:color="auto"/>
            </w:tcBorders>
          </w:tcPr>
          <w:p>
            <w:pPr>
              <w:jc w:val="right"/>
              <w:ind w:right="2332"/>
              <w:spacing w:after="0"/>
              <w:rPr>
                <w:sz w:val="20"/>
                <w:szCs w:val="20"/>
                <w:color w:val="auto"/>
              </w:rPr>
            </w:pPr>
            <w:r>
              <w:rPr>
                <w:rFonts w:ascii="Arial" w:cs="Arial" w:eastAsia="Arial" w:hAnsi="Arial"/>
                <w:sz w:val="22"/>
                <w:szCs w:val="22"/>
                <w:color w:val="auto"/>
              </w:rPr>
              <w:t>[****]</w:t>
            </w:r>
          </w:p>
        </w:tc>
      </w:tr>
      <w:tr>
        <w:trPr>
          <w:trHeight w:val="81"/>
        </w:trPr>
        <w:tc>
          <w:tcPr>
            <w:tcW w:w="5960" w:type="dxa"/>
            <w:vAlign w:val="bottom"/>
            <w:tcBorders>
              <w:left w:val="single" w:sz="8" w:color="auto"/>
              <w:bottom w:val="single" w:sz="8" w:color="auto"/>
              <w:right w:val="single" w:sz="8" w:color="auto"/>
            </w:tcBorders>
          </w:tcPr>
          <w:p>
            <w:pPr>
              <w:spacing w:after="0"/>
              <w:rPr>
                <w:sz w:val="7"/>
                <w:szCs w:val="7"/>
                <w:color w:val="auto"/>
              </w:rPr>
            </w:pPr>
          </w:p>
        </w:tc>
        <w:tc>
          <w:tcPr>
            <w:tcW w:w="530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300" w:lineRule="exact"/>
        <w:rPr>
          <w:sz w:val="20"/>
          <w:szCs w:val="20"/>
          <w:color w:val="auto"/>
        </w:rPr>
      </w:pPr>
    </w:p>
    <w:p>
      <w:pPr>
        <w:ind w:left="1040" w:hanging="384"/>
        <w:spacing w:after="0"/>
        <w:tabs>
          <w:tab w:leader="none" w:pos="104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8.1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  Reserved.</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8.2.1  Reserved.</w:t>
      </w:r>
    </w:p>
    <w:p>
      <w:pPr>
        <w:spacing w:after="0" w:line="1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Notwithstanding Section 8.1 above, [****], the following terms will apply:</w:t>
      </w:r>
    </w:p>
    <w:p>
      <w:pPr>
        <w:spacing w:after="0" w:line="179"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w:t>
      </w:r>
    </w:p>
    <w:p>
      <w:pPr>
        <w:sectPr>
          <w:pgSz w:w="11900" w:h="16838" w:orient="portrait"/>
          <w:cols w:equalWidth="0" w:num="1">
            <w:col w:w="11260"/>
          </w:cols>
          <w:pgMar w:left="320" w:top="9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20"/>
                <w:szCs w:val="20"/>
                <w:color w:val="auto"/>
              </w:rPr>
            </w:pPr>
            <w:r>
              <w:rPr>
                <w:rFonts w:ascii="Arial" w:cs="Arial" w:eastAsia="Arial" w:hAnsi="Arial"/>
                <w:sz w:val="18"/>
                <w:szCs w:val="18"/>
                <w:color w:val="auto"/>
              </w:rPr>
              <w:t>AAL-PA-03735 118070-1F.txt  Boeing Proprietary</w:t>
            </w:r>
          </w:p>
        </w:tc>
        <w:tc>
          <w:tcPr>
            <w:tcW w:w="700" w:type="dxa"/>
            <w:vAlign w:val="bottom"/>
          </w:tcPr>
          <w:p>
            <w:pPr>
              <w:ind w:left="200"/>
              <w:spacing w:after="0"/>
              <w:rPr>
                <w:sz w:val="20"/>
                <w:szCs w:val="20"/>
                <w:color w:val="auto"/>
              </w:rPr>
            </w:pPr>
            <w:r>
              <w:rPr>
                <w:rFonts w:ascii="Arial" w:cs="Arial" w:eastAsia="Arial" w:hAnsi="Arial"/>
                <w:sz w:val="18"/>
                <w:szCs w:val="18"/>
                <w:color w:val="auto"/>
                <w:w w:val="95"/>
              </w:rPr>
              <w:t>SA-21</w:t>
            </w:r>
          </w:p>
        </w:tc>
      </w:tr>
      <w:tr>
        <w:trPr>
          <w:trHeight w:val="239"/>
        </w:trPr>
        <w:tc>
          <w:tcPr>
            <w:tcW w:w="4220" w:type="dxa"/>
            <w:vAlign w:val="bottom"/>
          </w:tcPr>
          <w:p>
            <w:pPr>
              <w:ind w:left="600"/>
              <w:spacing w:after="0"/>
              <w:rPr>
                <w:sz w:val="20"/>
                <w:szCs w:val="20"/>
                <w:color w:val="auto"/>
              </w:rPr>
            </w:pPr>
            <w:r>
              <w:rPr>
                <w:rFonts w:ascii="Arial" w:cs="Arial" w:eastAsia="Arial" w:hAnsi="Arial"/>
                <w:sz w:val="18"/>
                <w:szCs w:val="18"/>
                <w:color w:val="auto"/>
              </w:rPr>
              <w:t>Page 2</w:t>
            </w:r>
          </w:p>
        </w:tc>
        <w:tc>
          <w:tcPr>
            <w:tcW w:w="700" w:type="dxa"/>
            <w:vAlign w:val="bottom"/>
          </w:tcPr>
          <w:p>
            <w:pPr>
              <w:spacing w:after="0"/>
              <w:rPr>
                <w:sz w:val="20"/>
                <w:szCs w:val="20"/>
                <w:color w:val="auto"/>
              </w:rPr>
            </w:pPr>
          </w:p>
        </w:tc>
      </w:tr>
    </w:tbl>
    <w:p>
      <w:pPr>
        <w:sectPr>
          <w:pgSz w:w="11900" w:h="16838" w:orient="portrait"/>
          <w:cols w:equalWidth="0" w:num="1">
            <w:col w:w="11260"/>
          </w:cols>
          <w:pgMar w:left="320" w:top="96" w:right="319" w:bottom="1440" w:gutter="0" w:footer="0" w:header="0"/>
          <w:type w:val="continuous"/>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A(R3) To</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Letter Agreement No. AAL-PA-0375-LA-11006651</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737-8 [****]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40" w:hanging="384"/>
        <w:spacing w:after="0"/>
        <w:tabs>
          <w:tab w:leader="none" w:pos="104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49" w:lineRule="exact"/>
        <w:rPr>
          <w:sz w:val="20"/>
          <w:szCs w:val="20"/>
          <w:color w:val="auto"/>
        </w:rPr>
      </w:pPr>
    </w:p>
    <w:p>
      <w:pPr>
        <w:ind w:left="1040" w:hanging="384"/>
        <w:spacing w:after="0"/>
        <w:tabs>
          <w:tab w:leader="none" w:pos="104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20"/>
                <w:szCs w:val="20"/>
                <w:color w:val="auto"/>
              </w:rPr>
            </w:pPr>
            <w:r>
              <w:rPr>
                <w:rFonts w:ascii="Arial" w:cs="Arial" w:eastAsia="Arial" w:hAnsi="Arial"/>
                <w:sz w:val="18"/>
                <w:szCs w:val="18"/>
                <w:color w:val="auto"/>
              </w:rPr>
              <w:t>AAL-PA-03735 118070-1F.txt  Boeing Proprietary</w:t>
            </w:r>
          </w:p>
        </w:tc>
        <w:tc>
          <w:tcPr>
            <w:tcW w:w="700" w:type="dxa"/>
            <w:vAlign w:val="bottom"/>
          </w:tcPr>
          <w:p>
            <w:pPr>
              <w:ind w:left="200"/>
              <w:spacing w:after="0"/>
              <w:rPr>
                <w:sz w:val="20"/>
                <w:szCs w:val="20"/>
                <w:color w:val="auto"/>
              </w:rPr>
            </w:pPr>
            <w:r>
              <w:rPr>
                <w:rFonts w:ascii="Arial" w:cs="Arial" w:eastAsia="Arial" w:hAnsi="Arial"/>
                <w:sz w:val="18"/>
                <w:szCs w:val="18"/>
                <w:color w:val="auto"/>
                <w:w w:val="95"/>
              </w:rPr>
              <w:t>SA-21</w:t>
            </w:r>
          </w:p>
        </w:tc>
      </w:tr>
      <w:tr>
        <w:trPr>
          <w:trHeight w:val="239"/>
        </w:trPr>
        <w:tc>
          <w:tcPr>
            <w:tcW w:w="4220" w:type="dxa"/>
            <w:vAlign w:val="bottom"/>
          </w:tcPr>
          <w:p>
            <w:pPr>
              <w:ind w:left="600"/>
              <w:spacing w:after="0"/>
              <w:rPr>
                <w:sz w:val="20"/>
                <w:szCs w:val="20"/>
                <w:color w:val="auto"/>
              </w:rPr>
            </w:pPr>
            <w:r>
              <w:rPr>
                <w:rFonts w:ascii="Arial" w:cs="Arial" w:eastAsia="Arial" w:hAnsi="Arial"/>
                <w:sz w:val="18"/>
                <w:szCs w:val="18"/>
                <w:color w:val="auto"/>
              </w:rPr>
              <w:t>Page 3</w:t>
            </w:r>
          </w:p>
        </w:tc>
        <w:tc>
          <w:tcPr>
            <w:tcW w:w="700" w:type="dxa"/>
            <w:vAlign w:val="bottom"/>
          </w:tcPr>
          <w:p>
            <w:pPr>
              <w:spacing w:after="0"/>
              <w:rPr>
                <w:sz w:val="20"/>
                <w:szCs w:val="20"/>
                <w:color w:val="auto"/>
              </w:rPr>
            </w:pPr>
          </w:p>
        </w:tc>
      </w:tr>
    </w:tbl>
    <w:p>
      <w:pPr>
        <w:sectPr>
          <w:pgSz w:w="11900" w:h="16838" w:orient="portrait"/>
          <w:cols w:equalWidth="0" w:num="1">
            <w:col w:w="11240"/>
          </w:cols>
          <w:pgMar w:left="320" w:top="96" w:right="339" w:bottom="1440" w:gutter="0" w:footer="0" w:header="0"/>
        </w:sectPr>
      </w:pPr>
    </w:p>
    <w:bookmarkStart w:id="128" w:name="page129"/>
    <w:bookmarkEnd w:id="128"/>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Attachment A(R3) To</w:t>
      </w:r>
    </w:p>
    <w:p>
      <w:pPr>
        <w:jc w:val="center"/>
        <w:ind w:right="-1120"/>
        <w:spacing w:after="0" w:line="219" w:lineRule="auto"/>
        <w:rPr>
          <w:sz w:val="20"/>
          <w:szCs w:val="20"/>
          <w:color w:val="auto"/>
        </w:rPr>
      </w:pPr>
      <w:r>
        <w:rPr>
          <w:rFonts w:ascii="Times New Roman" w:cs="Times New Roman" w:eastAsia="Times New Roman" w:hAnsi="Times New Roman"/>
          <w:sz w:val="18"/>
          <w:szCs w:val="18"/>
          <w:b w:val="1"/>
          <w:bCs w:val="1"/>
          <w:color w:val="auto"/>
        </w:rPr>
        <w:t>Letter Agreement No. AAL-PA-0375-LA-11006651</w:t>
      </w:r>
    </w:p>
    <w:p>
      <w:pPr>
        <w:jc w:val="right"/>
        <w:ind w:right="2039"/>
        <w:spacing w:after="0"/>
        <w:rPr>
          <w:sz w:val="20"/>
          <w:szCs w:val="20"/>
          <w:color w:val="auto"/>
        </w:rPr>
      </w:pPr>
      <w:r>
        <w:rPr>
          <w:rFonts w:ascii="Times New Roman" w:cs="Times New Roman" w:eastAsia="Times New Roman" w:hAnsi="Times New Roman"/>
          <w:sz w:val="18"/>
          <w:szCs w:val="18"/>
          <w:b w:val="1"/>
          <w:bCs w:val="1"/>
          <w:color w:val="auto"/>
        </w:rPr>
        <w:t>737-8 [****]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373"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ind w:left="80"/>
              <w:spacing w:after="0"/>
              <w:rPr>
                <w:sz w:val="20"/>
                <w:szCs w:val="20"/>
                <w:color w:val="auto"/>
              </w:rPr>
            </w:pPr>
            <w:r>
              <w:rPr>
                <w:rFonts w:ascii="Arial" w:cs="Arial" w:eastAsia="Arial" w:hAnsi="Arial"/>
                <w:sz w:val="22"/>
                <w:szCs w:val="22"/>
                <w:color w:val="auto"/>
              </w:rPr>
              <w:t>/s/ The Boeing Company</w:t>
            </w:r>
          </w:p>
        </w:tc>
      </w:tr>
      <w:tr>
        <w:trPr>
          <w:trHeight w:val="80"/>
        </w:trPr>
        <w:tc>
          <w:tcPr>
            <w:tcW w:w="680" w:type="dxa"/>
            <w:vAlign w:val="bottom"/>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r>
      <w:tr>
        <w:trPr>
          <w:trHeight w:val="588"/>
        </w:trPr>
        <w:tc>
          <w:tcPr>
            <w:tcW w:w="6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80"/>
              <w:spacing w:after="0"/>
              <w:rPr>
                <w:sz w:val="20"/>
                <w:szCs w:val="20"/>
                <w:color w:val="auto"/>
              </w:rPr>
            </w:pPr>
            <w:r>
              <w:rPr>
                <w:rFonts w:ascii="Arial" w:cs="Arial" w:eastAsia="Arial" w:hAnsi="Arial"/>
                <w:sz w:val="22"/>
                <w:szCs w:val="22"/>
                <w:color w:val="auto"/>
              </w:rPr>
              <w:t>Attorney-In-Fact</w:t>
            </w:r>
          </w:p>
        </w:tc>
      </w:tr>
      <w:tr>
        <w:trPr>
          <w:trHeight w:val="80"/>
        </w:trPr>
        <w:tc>
          <w:tcPr>
            <w:tcW w:w="680" w:type="dxa"/>
            <w:vAlign w:val="bottom"/>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r>
    </w:tbl>
    <w:p>
      <w:pPr>
        <w:spacing w:after="0" w:line="31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09"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January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70485</wp:posOffset>
            </wp:positionV>
            <wp:extent cx="2588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ind w:left="80"/>
              <w:spacing w:after="0"/>
              <w:rPr>
                <w:sz w:val="20"/>
                <w:szCs w:val="20"/>
                <w:color w:val="auto"/>
              </w:rPr>
            </w:pPr>
            <w:r>
              <w:rPr>
                <w:rFonts w:ascii="Arial" w:cs="Arial" w:eastAsia="Arial" w:hAnsi="Arial"/>
                <w:sz w:val="22"/>
                <w:szCs w:val="22"/>
                <w:color w:val="auto"/>
              </w:rPr>
              <w:t>/s/ American Airlines, Inc.</w:t>
            </w:r>
          </w:p>
        </w:tc>
      </w:tr>
      <w:tr>
        <w:trPr>
          <w:trHeight w:val="80"/>
        </w:trPr>
        <w:tc>
          <w:tcPr>
            <w:tcW w:w="680" w:type="dxa"/>
            <w:vAlign w:val="bottom"/>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r>
      <w:tr>
        <w:trPr>
          <w:trHeight w:val="588"/>
        </w:trPr>
        <w:tc>
          <w:tcPr>
            <w:tcW w:w="6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80"/>
              <w:spacing w:after="0"/>
              <w:rPr>
                <w:sz w:val="20"/>
                <w:szCs w:val="20"/>
                <w:color w:val="auto"/>
              </w:rPr>
            </w:pPr>
            <w:r>
              <w:rPr>
                <w:rFonts w:ascii="Arial" w:cs="Arial" w:eastAsia="Arial" w:hAnsi="Arial"/>
                <w:sz w:val="22"/>
                <w:szCs w:val="22"/>
                <w:color w:val="auto"/>
              </w:rPr>
              <w:t>VP Treasurer</w:t>
            </w:r>
          </w:p>
        </w:tc>
      </w:tr>
      <w:tr>
        <w:trPr>
          <w:trHeight w:val="80"/>
        </w:trPr>
        <w:tc>
          <w:tcPr>
            <w:tcW w:w="680" w:type="dxa"/>
            <w:vAlign w:val="bottom"/>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20"/>
                <w:szCs w:val="20"/>
                <w:color w:val="auto"/>
              </w:rPr>
            </w:pPr>
            <w:r>
              <w:rPr>
                <w:rFonts w:ascii="Arial" w:cs="Arial" w:eastAsia="Arial" w:hAnsi="Arial"/>
                <w:sz w:val="18"/>
                <w:szCs w:val="18"/>
                <w:color w:val="auto"/>
              </w:rPr>
              <w:t>AAL-PA-03735 118070-1F.txt  Boeing Proprietary</w:t>
            </w:r>
          </w:p>
        </w:tc>
        <w:tc>
          <w:tcPr>
            <w:tcW w:w="700" w:type="dxa"/>
            <w:vAlign w:val="bottom"/>
          </w:tcPr>
          <w:p>
            <w:pPr>
              <w:ind w:left="200"/>
              <w:spacing w:after="0"/>
              <w:rPr>
                <w:sz w:val="20"/>
                <w:szCs w:val="20"/>
                <w:color w:val="auto"/>
              </w:rPr>
            </w:pPr>
            <w:r>
              <w:rPr>
                <w:rFonts w:ascii="Arial" w:cs="Arial" w:eastAsia="Arial" w:hAnsi="Arial"/>
                <w:sz w:val="18"/>
                <w:szCs w:val="18"/>
                <w:color w:val="auto"/>
                <w:w w:val="95"/>
              </w:rPr>
              <w:t>SA-21</w:t>
            </w:r>
          </w:p>
        </w:tc>
      </w:tr>
      <w:tr>
        <w:trPr>
          <w:trHeight w:val="239"/>
        </w:trPr>
        <w:tc>
          <w:tcPr>
            <w:tcW w:w="4220" w:type="dxa"/>
            <w:vAlign w:val="bottom"/>
          </w:tcPr>
          <w:p>
            <w:pPr>
              <w:ind w:left="600"/>
              <w:spacing w:after="0"/>
              <w:rPr>
                <w:sz w:val="20"/>
                <w:szCs w:val="20"/>
                <w:color w:val="auto"/>
              </w:rPr>
            </w:pPr>
            <w:r>
              <w:rPr>
                <w:rFonts w:ascii="Arial" w:cs="Arial" w:eastAsia="Arial" w:hAnsi="Arial"/>
                <w:sz w:val="18"/>
                <w:szCs w:val="18"/>
                <w:color w:val="auto"/>
              </w:rPr>
              <w:t>Page 4</w:t>
            </w:r>
          </w:p>
        </w:tc>
        <w:tc>
          <w:tcPr>
            <w:tcW w:w="700" w:type="dxa"/>
            <w:vAlign w:val="bottom"/>
          </w:tcPr>
          <w:p>
            <w:pPr>
              <w:spacing w:after="0"/>
              <w:rPr>
                <w:sz w:val="20"/>
                <w:szCs w:val="20"/>
                <w:color w:val="auto"/>
              </w:rPr>
            </w:pPr>
          </w:p>
        </w:tc>
      </w:tr>
    </w:tbl>
    <w:p>
      <w:pPr>
        <w:sectPr>
          <w:pgSz w:w="11900" w:h="16838" w:orient="portrait"/>
          <w:cols w:equalWidth="0" w:num="1">
            <w:col w:w="10139"/>
          </w:cols>
          <w:pgMar w:left="320" w:top="96" w:right="1440" w:bottom="1440" w:gutter="0" w:footer="0" w:header="0"/>
        </w:sectPr>
      </w:pPr>
    </w:p>
    <w:bookmarkStart w:id="129" w:name="page130"/>
    <w:bookmarkEnd w:id="12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Attachment A(R4) To</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Letter Agreement No. AAL-PA-0375-LA-11006651</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737-8 [****]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Detail</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Model/MTOW:</w:t>
            </w:r>
          </w:p>
        </w:tc>
        <w:tc>
          <w:tcPr>
            <w:tcW w:w="8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737-8</w:t>
            </w:r>
          </w:p>
        </w:tc>
        <w:tc>
          <w:tcPr>
            <w:tcW w:w="2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pounds</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Specification:</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FFFF"/>
              </w:rPr>
              <w:t>2Q17 External Fcst</w:t>
            </w:r>
          </w:p>
        </w:tc>
        <w:tc>
          <w:tcPr>
            <w:tcW w:w="0" w:type="dxa"/>
            <w:vAlign w:val="bottom"/>
          </w:tcPr>
          <w:p>
            <w:pPr>
              <w:spacing w:after="0"/>
              <w:rPr>
                <w:sz w:val="1"/>
                <w:szCs w:val="1"/>
                <w:color w:val="auto"/>
              </w:rPr>
            </w:pPr>
          </w:p>
        </w:tc>
      </w:tr>
      <w:tr>
        <w:trPr>
          <w:trHeight w:val="351"/>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0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CFMLEAP-</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Airframe Price Base Year/Escalation</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Model/Thrust:</w:t>
            </w:r>
          </w:p>
        </w:tc>
        <w:tc>
          <w:tcPr>
            <w:tcW w:w="900" w:type="dxa"/>
            <w:vAlign w:val="bottom"/>
          </w:tcPr>
          <w:p>
            <w:pPr>
              <w:spacing w:after="0"/>
              <w:rPr>
                <w:sz w:val="24"/>
                <w:szCs w:val="24"/>
                <w:color w:val="auto"/>
              </w:rPr>
            </w:pPr>
          </w:p>
        </w:tc>
        <w:tc>
          <w:tcPr>
            <w:tcW w:w="11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1B25</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pounds</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Engine Price Base Year/Escalation</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140" w:type="dxa"/>
            <w:vAlign w:val="bottom"/>
          </w:tcPr>
          <w:p>
            <w:pPr>
              <w:spacing w:after="0"/>
              <w:rPr>
                <w:sz w:val="5"/>
                <w:szCs w:val="5"/>
                <w:color w:val="auto"/>
              </w:rPr>
            </w:pPr>
          </w:p>
        </w:tc>
        <w:tc>
          <w:tcPr>
            <w:tcW w:w="1120" w:type="dxa"/>
            <w:vAlign w:val="bottom"/>
            <w:gridSpan w:val="3"/>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380" w:type="dxa"/>
            <w:vAlign w:val="bottom"/>
            <w:gridSpan w:val="2"/>
          </w:tcPr>
          <w:p>
            <w:pPr>
              <w:spacing w:after="0"/>
              <w:rPr>
                <w:sz w:val="5"/>
                <w:szCs w:val="5"/>
                <w:color w:val="auto"/>
              </w:rPr>
            </w:pPr>
          </w:p>
        </w:tc>
        <w:tc>
          <w:tcPr>
            <w:tcW w:w="260" w:type="dxa"/>
            <w:vAlign w:val="bottom"/>
            <w:gridSpan w:val="2"/>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of Airframe and Features: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Airframe Escalation Data:</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2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Engine Price (Per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Base Year Index (ECI):</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Aircraft Basic Price (Excluding</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BFE/SPE):</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Base Year Index (CPI):</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120" w:type="dxa"/>
            <w:vAlign w:val="bottom"/>
            <w:gridSpan w:val="3"/>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Buyer Furnished Equipment (BFE)</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Seller Purchased Equipment (SPE)</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LIFT Seats Provided by Boeing</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1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Deposit per Aircraft:</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gridSpan w:val="2"/>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1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Advance Payment Per Aircraft (Amts. Due/Mos. Prior</w:t>
            </w:r>
          </w:p>
        </w:tc>
        <w:tc>
          <w:tcPr>
            <w:tcW w:w="0" w:type="dxa"/>
            <w:vAlign w:val="bottom"/>
          </w:tcPr>
          <w:p>
            <w:pPr>
              <w:spacing w:after="0"/>
              <w:rPr>
                <w:sz w:val="1"/>
                <w:szCs w:val="1"/>
                <w:color w:val="auto"/>
              </w:rPr>
            </w:pPr>
          </w:p>
        </w:tc>
      </w:tr>
      <w:tr>
        <w:trPr>
          <w:trHeight w:val="338"/>
        </w:trPr>
        <w:tc>
          <w:tcPr>
            <w:tcW w:w="114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to Delivery):</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140" w:type="dxa"/>
            <w:vAlign w:val="bottom"/>
            <w:tcBorders>
              <w:left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400" w:type="dxa"/>
            <w:vAlign w:val="bottom"/>
            <w:tcBorders>
              <w:bottom w:val="single" w:sz="8" w:color="C0C0C0"/>
            </w:tcBorders>
            <w:shd w:val="clear" w:color="auto" w:fill="C0C0C0"/>
          </w:tcPr>
          <w:p>
            <w:pPr>
              <w:spacing w:after="0"/>
              <w:rPr>
                <w:sz w:val="3"/>
                <w:szCs w:val="3"/>
                <w:color w:val="auto"/>
              </w:rPr>
            </w:pPr>
          </w:p>
        </w:tc>
        <w:tc>
          <w:tcPr>
            <w:tcW w:w="460" w:type="dxa"/>
            <w:vAlign w:val="bottom"/>
            <w:tcBorders>
              <w:bottom w:val="single" w:sz="8" w:color="C0C0C0"/>
              <w:right w:val="single" w:sz="8" w:color="auto"/>
            </w:tcBorders>
            <w:shd w:val="clear" w:color="auto" w:fill="C0C0C0"/>
          </w:tcPr>
          <w:p>
            <w:pPr>
              <w:spacing w:after="0"/>
              <w:rPr>
                <w:sz w:val="3"/>
                <w:szCs w:val="3"/>
                <w:color w:val="auto"/>
              </w:rPr>
            </w:pPr>
          </w:p>
        </w:tc>
        <w:tc>
          <w:tcPr>
            <w:tcW w:w="720" w:type="dxa"/>
            <w:vAlign w:val="bottom"/>
            <w:tcBorders>
              <w:bottom w:val="single" w:sz="8" w:color="C0C0C0"/>
            </w:tcBorders>
            <w:shd w:val="clear" w:color="auto" w:fill="C0C0C0"/>
          </w:tcPr>
          <w:p>
            <w:pPr>
              <w:spacing w:after="0"/>
              <w:rPr>
                <w:sz w:val="3"/>
                <w:szCs w:val="3"/>
                <w:color w:val="auto"/>
              </w:rPr>
            </w:pPr>
          </w:p>
        </w:tc>
        <w:tc>
          <w:tcPr>
            <w:tcW w:w="400" w:type="dxa"/>
            <w:vAlign w:val="bottom"/>
            <w:tcBorders>
              <w:bottom w:val="single" w:sz="8" w:color="C0C0C0"/>
              <w:right w:val="single" w:sz="8" w:color="auto"/>
            </w:tcBorders>
            <w:shd w:val="clear" w:color="auto" w:fill="C0C0C0"/>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right w:val="single" w:sz="8" w:color="auto"/>
            </w:tcBorders>
            <w:vMerge w:val="restart"/>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Estimate</w:t>
            </w: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400" w:type="dxa"/>
            <w:vAlign w:val="bottom"/>
            <w:shd w:val="clear" w:color="auto" w:fill="C0C0C0"/>
          </w:tcPr>
          <w:p>
            <w:pPr>
              <w:spacing w:after="0"/>
              <w:rPr>
                <w:sz w:val="10"/>
                <w:szCs w:val="10"/>
                <w:color w:val="auto"/>
              </w:rPr>
            </w:pPr>
          </w:p>
        </w:tc>
        <w:tc>
          <w:tcPr>
            <w:tcW w:w="460" w:type="dxa"/>
            <w:vAlign w:val="bottom"/>
            <w:tcBorders>
              <w:right w:val="single" w:sz="8" w:color="auto"/>
            </w:tcBorders>
            <w:shd w:val="clear" w:color="auto" w:fill="C0C0C0"/>
          </w:tcPr>
          <w:p>
            <w:pPr>
              <w:spacing w:after="0"/>
              <w:rPr>
                <w:sz w:val="10"/>
                <w:szCs w:val="10"/>
                <w:color w:val="auto"/>
              </w:rPr>
            </w:pPr>
          </w:p>
        </w:tc>
        <w:tc>
          <w:tcPr>
            <w:tcW w:w="1120" w:type="dxa"/>
            <w:vAlign w:val="bottom"/>
            <w:tcBorders>
              <w:right w:val="single" w:sz="8" w:color="auto"/>
            </w:tcBorders>
            <w:gridSpan w:val="2"/>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100" w:type="dxa"/>
            <w:vAlign w:val="bottom"/>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120" w:type="dxa"/>
            <w:vAlign w:val="bottom"/>
          </w:tcPr>
          <w:p>
            <w:pPr>
              <w:spacing w:after="0"/>
              <w:rPr>
                <w:sz w:val="10"/>
                <w:szCs w:val="10"/>
                <w:color w:val="auto"/>
              </w:rPr>
            </w:pPr>
          </w:p>
        </w:tc>
        <w:tc>
          <w:tcPr>
            <w:tcW w:w="92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10"/>
                <w:szCs w:val="10"/>
                <w:color w:val="auto"/>
              </w:rPr>
            </w:pPr>
          </w:p>
        </w:tc>
        <w:tc>
          <w:tcPr>
            <w:tcW w:w="94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8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gridSpan w:val="3"/>
            <w:vMerge w:val="continue"/>
          </w:tcPr>
          <w:p>
            <w:pPr>
              <w:spacing w:after="0"/>
              <w:rPr>
                <w:sz w:val="16"/>
                <w:szCs w:val="16"/>
                <w:color w:val="auto"/>
              </w:rPr>
            </w:pPr>
          </w:p>
        </w:tc>
        <w:tc>
          <w:tcPr>
            <w:tcW w:w="400" w:type="dxa"/>
            <w:vAlign w:val="bottom"/>
            <w:shd w:val="clear" w:color="auto" w:fill="C0C0C0"/>
          </w:tcPr>
          <w:p>
            <w:pPr>
              <w:spacing w:after="0"/>
              <w:rPr>
                <w:sz w:val="16"/>
                <w:szCs w:val="16"/>
                <w:color w:val="auto"/>
              </w:rPr>
            </w:pPr>
          </w:p>
        </w:tc>
        <w:tc>
          <w:tcPr>
            <w:tcW w:w="460" w:type="dxa"/>
            <w:vAlign w:val="bottom"/>
            <w:tcBorders>
              <w:right w:val="single" w:sz="8" w:color="auto"/>
            </w:tcBorders>
            <w:shd w:val="clear" w:color="auto" w:fill="C0C0C0"/>
          </w:tcPr>
          <w:p>
            <w:pPr>
              <w:spacing w:after="0"/>
              <w:rPr>
                <w:sz w:val="16"/>
                <w:szCs w:val="16"/>
                <w:color w:val="auto"/>
              </w:rPr>
            </w:pPr>
          </w:p>
        </w:tc>
        <w:tc>
          <w:tcPr>
            <w:tcW w:w="1120" w:type="dxa"/>
            <w:vAlign w:val="bottom"/>
            <w:tcBorders>
              <w:right w:val="single" w:sz="8" w:color="auto"/>
            </w:tcBorders>
            <w:gridSpan w:val="2"/>
            <w:vMerge w:val="continue"/>
            <w:shd w:val="clear" w:color="auto" w:fill="C0C0C0"/>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right w:val="single" w:sz="8" w:color="auto"/>
            </w:tcBorders>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Adv Payment</w:t>
            </w:r>
          </w:p>
        </w:tc>
        <w:tc>
          <w:tcPr>
            <w:tcW w:w="20" w:type="dxa"/>
            <w:vAlign w:val="bottom"/>
          </w:tcPr>
          <w:p>
            <w:pPr>
              <w:spacing w:after="0"/>
              <w:rPr>
                <w:sz w:val="16"/>
                <w:szCs w:val="16"/>
                <w:color w:val="auto"/>
              </w:rPr>
            </w:pPr>
          </w:p>
        </w:tc>
        <w:tc>
          <w:tcPr>
            <w:tcW w:w="100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right w:val="single" w:sz="8" w:color="auto"/>
            </w:tcBorders>
            <w:vMerge w:val="continue"/>
          </w:tcPr>
          <w:p>
            <w:pPr>
              <w:spacing w:after="0"/>
              <w:rPr>
                <w:sz w:val="16"/>
                <w:szCs w:val="16"/>
                <w:color w:val="auto"/>
              </w:rPr>
            </w:pPr>
          </w:p>
        </w:tc>
        <w:tc>
          <w:tcPr>
            <w:tcW w:w="11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960" w:type="dxa"/>
            <w:vAlign w:val="bottom"/>
            <w:gridSpan w:val="2"/>
          </w:tcPr>
          <w:p>
            <w:pPr>
              <w:jc w:val="center"/>
              <w:ind w:left="270"/>
              <w:spacing w:after="0" w:line="176" w:lineRule="exact"/>
              <w:rPr>
                <w:sz w:val="20"/>
                <w:szCs w:val="20"/>
                <w:color w:val="auto"/>
              </w:rPr>
            </w:pPr>
            <w:r>
              <w:rPr>
                <w:rFonts w:ascii="Times New Roman" w:cs="Times New Roman" w:eastAsia="Times New Roman" w:hAnsi="Times New Roman"/>
                <w:sz w:val="18"/>
                <w:szCs w:val="18"/>
                <w:b w:val="1"/>
                <w:bCs w:val="1"/>
                <w:color w:val="auto"/>
              </w:rPr>
              <w:t>Factor</w:t>
            </w:r>
          </w:p>
        </w:tc>
        <w:tc>
          <w:tcPr>
            <w:tcW w:w="400" w:type="dxa"/>
            <w:vAlign w:val="bottom"/>
            <w:tcBorders>
              <w:right w:val="single" w:sz="8" w:color="auto"/>
            </w:tcBorders>
          </w:tcPr>
          <w:p>
            <w:pPr>
              <w:spacing w:after="0"/>
              <w:rPr>
                <w:sz w:val="15"/>
                <w:szCs w:val="15"/>
                <w:color w:val="auto"/>
              </w:rPr>
            </w:pPr>
          </w:p>
        </w:tc>
        <w:tc>
          <w:tcPr>
            <w:tcW w:w="400" w:type="dxa"/>
            <w:vAlign w:val="bottom"/>
            <w:shd w:val="clear" w:color="auto" w:fill="C0C0C0"/>
          </w:tcPr>
          <w:p>
            <w:pPr>
              <w:spacing w:after="0"/>
              <w:rPr>
                <w:sz w:val="15"/>
                <w:szCs w:val="15"/>
                <w:color w:val="auto"/>
              </w:rPr>
            </w:pPr>
          </w:p>
        </w:tc>
        <w:tc>
          <w:tcPr>
            <w:tcW w:w="460" w:type="dxa"/>
            <w:vAlign w:val="bottom"/>
            <w:tcBorders>
              <w:right w:val="single" w:sz="8" w:color="auto"/>
            </w:tcBorders>
            <w:shd w:val="clear" w:color="auto" w:fill="C0C0C0"/>
          </w:tcPr>
          <w:p>
            <w:pPr>
              <w:spacing w:after="0"/>
              <w:rPr>
                <w:sz w:val="15"/>
                <w:szCs w:val="15"/>
                <w:color w:val="auto"/>
              </w:rPr>
            </w:pPr>
          </w:p>
        </w:tc>
        <w:tc>
          <w:tcPr>
            <w:tcW w:w="1120" w:type="dxa"/>
            <w:vAlign w:val="bottom"/>
            <w:tcBorders>
              <w:right w:val="single" w:sz="8" w:color="auto"/>
            </w:tcBorders>
            <w:gridSpan w:val="2"/>
            <w:shd w:val="clear" w:color="auto" w:fill="C0C0C0"/>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Delivery</w:t>
            </w:r>
          </w:p>
        </w:tc>
        <w:tc>
          <w:tcPr>
            <w:tcW w:w="100" w:type="dxa"/>
            <w:vAlign w:val="bottom"/>
          </w:tcPr>
          <w:p>
            <w:pPr>
              <w:spacing w:after="0"/>
              <w:rPr>
                <w:sz w:val="15"/>
                <w:szCs w:val="15"/>
                <w:color w:val="auto"/>
              </w:rPr>
            </w:pPr>
          </w:p>
        </w:tc>
        <w:tc>
          <w:tcPr>
            <w:tcW w:w="1280" w:type="dxa"/>
            <w:vAlign w:val="bottom"/>
            <w:tcBorders>
              <w:right w:val="single" w:sz="8" w:color="auto"/>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20" w:type="dxa"/>
            <w:vAlign w:val="bottom"/>
          </w:tcPr>
          <w:p>
            <w:pPr>
              <w:spacing w:after="0"/>
              <w:rPr>
                <w:sz w:val="15"/>
                <w:szCs w:val="15"/>
                <w:color w:val="auto"/>
              </w:rPr>
            </w:pPr>
          </w:p>
        </w:tc>
        <w:tc>
          <w:tcPr>
            <w:tcW w:w="100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5"/>
                <w:szCs w:val="15"/>
                <w:color w:val="auto"/>
              </w:rPr>
            </w:pPr>
          </w:p>
        </w:tc>
        <w:tc>
          <w:tcPr>
            <w:tcW w:w="92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15"/>
                <w:szCs w:val="15"/>
                <w:color w:val="auto"/>
              </w:rPr>
            </w:pPr>
          </w:p>
        </w:tc>
        <w:tc>
          <w:tcPr>
            <w:tcW w:w="94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43"/>
        </w:trPr>
        <w:tc>
          <w:tcPr>
            <w:tcW w:w="1140" w:type="dxa"/>
            <w:vAlign w:val="bottom"/>
            <w:tcBorders>
              <w:left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4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400" w:type="dxa"/>
            <w:vAlign w:val="bottom"/>
            <w:tcBorders>
              <w:bottom w:val="single" w:sz="8" w:color="auto"/>
            </w:tcBorders>
            <w:shd w:val="clear" w:color="auto" w:fill="C0C0C0"/>
          </w:tcPr>
          <w:p>
            <w:pPr>
              <w:spacing w:after="0"/>
              <w:rPr>
                <w:sz w:val="21"/>
                <w:szCs w:val="21"/>
                <w:color w:val="auto"/>
              </w:rPr>
            </w:pPr>
          </w:p>
        </w:tc>
        <w:tc>
          <w:tcPr>
            <w:tcW w:w="460" w:type="dxa"/>
            <w:vAlign w:val="bottom"/>
            <w:tcBorders>
              <w:bottom w:val="single" w:sz="8" w:color="auto"/>
              <w:right w:val="single" w:sz="8" w:color="auto"/>
            </w:tcBorders>
            <w:shd w:val="clear" w:color="auto" w:fill="C0C0C0"/>
          </w:tcPr>
          <w:p>
            <w:pPr>
              <w:spacing w:after="0"/>
              <w:rPr>
                <w:sz w:val="21"/>
                <w:szCs w:val="21"/>
                <w:color w:val="auto"/>
              </w:rPr>
            </w:pPr>
          </w:p>
        </w:tc>
        <w:tc>
          <w:tcPr>
            <w:tcW w:w="1120" w:type="dxa"/>
            <w:vAlign w:val="bottom"/>
            <w:tcBorders>
              <w:bottom w:val="single" w:sz="8" w:color="auto"/>
              <w:right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auto"/>
            </w:tcBorders>
            <w:vMerge w:val="continue"/>
          </w:tcPr>
          <w:p>
            <w:pPr>
              <w:spacing w:after="0"/>
              <w:rPr>
                <w:sz w:val="21"/>
                <w:szCs w:val="21"/>
                <w:color w:val="auto"/>
              </w:rPr>
            </w:pPr>
          </w:p>
        </w:tc>
        <w:tc>
          <w:tcPr>
            <w:tcW w:w="11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4</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2</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2</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1</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-2023</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2</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1</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1</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1</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2</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2</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2</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2</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0" w:type="dxa"/>
            <w:vAlign w:val="bottom"/>
            <w:tcBorders>
              <w:bottom w:val="single" w:sz="8" w:color="auto"/>
              <w:right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-2024</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0000FF"/>
                <w:w w:val="99"/>
              </w:rPr>
              <w:t>2</w:t>
            </w:r>
          </w:p>
        </w:tc>
        <w:tc>
          <w:tcPr>
            <w:tcW w:w="140" w:type="dxa"/>
            <w:vAlign w:val="bottom"/>
            <w:tcBorders>
              <w:right w:val="single" w:sz="8" w:color="auto"/>
            </w:tcBorders>
          </w:tcPr>
          <w:p>
            <w:pPr>
              <w:spacing w:after="0"/>
              <w:rPr>
                <w:sz w:val="24"/>
                <w:szCs w:val="24"/>
                <w:color w:val="auto"/>
              </w:rPr>
            </w:pPr>
          </w:p>
        </w:tc>
        <w:tc>
          <w:tcPr>
            <w:tcW w:w="9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right w:val="single" w:sz="8" w:color="auto"/>
            </w:tcBorders>
          </w:tcPr>
          <w:p>
            <w:pPr>
              <w:spacing w:after="0"/>
              <w:rPr>
                <w:sz w:val="24"/>
                <w:szCs w:val="24"/>
                <w:color w:val="auto"/>
              </w:rPr>
            </w:pPr>
          </w:p>
        </w:tc>
        <w:tc>
          <w:tcPr>
            <w:tcW w:w="400" w:type="dxa"/>
            <w:vAlign w:val="bottom"/>
            <w:shd w:val="clear" w:color="auto" w:fill="C0C0C0"/>
          </w:tcPr>
          <w:p>
            <w:pPr>
              <w:spacing w:after="0"/>
              <w:rPr>
                <w:sz w:val="24"/>
                <w:szCs w:val="24"/>
                <w:color w:val="auto"/>
              </w:rPr>
            </w:pPr>
          </w:p>
        </w:tc>
        <w:tc>
          <w:tcPr>
            <w:tcW w:w="460" w:type="dxa"/>
            <w:vAlign w:val="bottom"/>
            <w:tcBorders>
              <w:right w:val="single" w:sz="8" w:color="auto"/>
            </w:tcBorders>
            <w:shd w:val="clear" w:color="auto" w:fill="C0C0C0"/>
          </w:tcPr>
          <w:p>
            <w:pPr>
              <w:spacing w:after="0"/>
              <w:rPr>
                <w:sz w:val="24"/>
                <w:szCs w:val="24"/>
                <w:color w:val="auto"/>
              </w:rPr>
            </w:pPr>
          </w:p>
        </w:tc>
        <w:tc>
          <w:tcPr>
            <w:tcW w:w="720" w:type="dxa"/>
            <w:vAlign w:val="bottom"/>
            <w:shd w:val="clear" w:color="auto" w:fill="C0C0C0"/>
          </w:tcPr>
          <w:p>
            <w:pPr>
              <w:spacing w:after="0"/>
              <w:rPr>
                <w:sz w:val="24"/>
                <w:szCs w:val="24"/>
                <w:color w:val="auto"/>
              </w:rPr>
            </w:pPr>
          </w:p>
        </w:tc>
        <w:tc>
          <w:tcPr>
            <w:tcW w:w="400" w:type="dxa"/>
            <w:vAlign w:val="bottom"/>
            <w:tcBorders>
              <w:right w:val="single" w:sz="8" w:color="auto"/>
            </w:tcBorders>
            <w:shd w:val="clear" w:color="auto" w:fill="C0C0C0"/>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t>
            </w:r>
          </w:p>
        </w:tc>
        <w:tc>
          <w:tcPr>
            <w:tcW w:w="20" w:type="dxa"/>
            <w:vAlign w:val="bottom"/>
          </w:tcPr>
          <w:p>
            <w:pPr>
              <w:spacing w:after="0"/>
              <w:rPr>
                <w:sz w:val="24"/>
                <w:szCs w:val="24"/>
                <w:color w:val="auto"/>
              </w:rPr>
            </w:pPr>
          </w:p>
        </w:tc>
        <w:tc>
          <w:tcPr>
            <w:tcW w:w="10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tcPr>
          <w:p>
            <w:pPr>
              <w:spacing w:after="0"/>
              <w:rPr>
                <w:sz w:val="24"/>
                <w:szCs w:val="24"/>
                <w:color w:val="auto"/>
              </w:rPr>
            </w:pPr>
          </w:p>
        </w:tc>
        <w:tc>
          <w:tcPr>
            <w:tcW w:w="92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w:t>
            </w:r>
          </w:p>
        </w:tc>
        <w:tc>
          <w:tcPr>
            <w:tcW w:w="180" w:type="dxa"/>
            <w:vAlign w:val="bottom"/>
          </w:tcPr>
          <w:p>
            <w:pPr>
              <w:spacing w:after="0"/>
              <w:rPr>
                <w:sz w:val="24"/>
                <w:szCs w:val="24"/>
                <w:color w:val="auto"/>
              </w:rPr>
            </w:pPr>
          </w:p>
        </w:tc>
        <w:tc>
          <w:tcPr>
            <w:tcW w:w="9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400" w:type="dxa"/>
            <w:vAlign w:val="bottom"/>
            <w:tcBorders>
              <w:bottom w:val="single" w:sz="8" w:color="auto"/>
            </w:tcBorders>
            <w:shd w:val="clear" w:color="auto" w:fill="C0C0C0"/>
          </w:tcPr>
          <w:p>
            <w:pPr>
              <w:spacing w:after="0"/>
              <w:rPr>
                <w:sz w:val="5"/>
                <w:szCs w:val="5"/>
                <w:color w:val="auto"/>
              </w:rPr>
            </w:pPr>
          </w:p>
        </w:tc>
        <w:tc>
          <w:tcPr>
            <w:tcW w:w="460" w:type="dxa"/>
            <w:vAlign w:val="bottom"/>
            <w:tcBorders>
              <w:bottom w:val="single" w:sz="8" w:color="auto"/>
              <w:right w:val="single" w:sz="8" w:color="auto"/>
            </w:tcBorders>
            <w:shd w:val="clear" w:color="auto" w:fill="C0C0C0"/>
          </w:tcPr>
          <w:p>
            <w:pPr>
              <w:spacing w:after="0"/>
              <w:rPr>
                <w:sz w:val="5"/>
                <w:szCs w:val="5"/>
                <w:color w:val="auto"/>
              </w:rPr>
            </w:pPr>
          </w:p>
        </w:tc>
        <w:tc>
          <w:tcPr>
            <w:tcW w:w="720" w:type="dxa"/>
            <w:vAlign w:val="bottom"/>
            <w:tcBorders>
              <w:bottom w:val="single" w:sz="8" w:color="auto"/>
            </w:tcBorders>
            <w:shd w:val="clear" w:color="auto" w:fill="C0C0C0"/>
          </w:tcPr>
          <w:p>
            <w:pPr>
              <w:spacing w:after="0"/>
              <w:rPr>
                <w:sz w:val="5"/>
                <w:szCs w:val="5"/>
                <w:color w:val="auto"/>
              </w:rPr>
            </w:pPr>
          </w:p>
        </w:tc>
        <w:tc>
          <w:tcPr>
            <w:tcW w:w="400" w:type="dxa"/>
            <w:vAlign w:val="bottom"/>
            <w:tcBorders>
              <w:bottom w:val="single" w:sz="8" w:color="auto"/>
              <w:right w:val="single" w:sz="8" w:color="auto"/>
            </w:tcBorders>
            <w:shd w:val="clear" w:color="auto" w:fill="C0C0C0"/>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9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20"/>
                <w:szCs w:val="20"/>
                <w:color w:val="auto"/>
              </w:rPr>
            </w:pPr>
            <w:r>
              <w:rPr>
                <w:rFonts w:ascii="Arial" w:cs="Arial" w:eastAsia="Arial" w:hAnsi="Arial"/>
                <w:sz w:val="18"/>
                <w:szCs w:val="18"/>
                <w:color w:val="auto"/>
              </w:rPr>
              <w:t>AAL-PA-03735 118070-1F.txt  Boeing Proprietary</w:t>
            </w:r>
          </w:p>
        </w:tc>
        <w:tc>
          <w:tcPr>
            <w:tcW w:w="700" w:type="dxa"/>
            <w:vAlign w:val="bottom"/>
          </w:tcPr>
          <w:p>
            <w:pPr>
              <w:ind w:left="200"/>
              <w:spacing w:after="0"/>
              <w:rPr>
                <w:sz w:val="20"/>
                <w:szCs w:val="20"/>
                <w:color w:val="auto"/>
              </w:rPr>
            </w:pPr>
            <w:r>
              <w:rPr>
                <w:rFonts w:ascii="Arial" w:cs="Arial" w:eastAsia="Arial" w:hAnsi="Arial"/>
                <w:sz w:val="18"/>
                <w:szCs w:val="18"/>
                <w:color w:val="auto"/>
                <w:w w:val="95"/>
              </w:rPr>
              <w:t>SA-21</w:t>
            </w:r>
          </w:p>
        </w:tc>
      </w:tr>
      <w:tr>
        <w:trPr>
          <w:trHeight w:val="239"/>
        </w:trPr>
        <w:tc>
          <w:tcPr>
            <w:tcW w:w="4220" w:type="dxa"/>
            <w:vAlign w:val="bottom"/>
          </w:tcPr>
          <w:p>
            <w:pPr>
              <w:ind w:left="600"/>
              <w:spacing w:after="0"/>
              <w:rPr>
                <w:sz w:val="20"/>
                <w:szCs w:val="20"/>
                <w:color w:val="auto"/>
              </w:rPr>
            </w:pPr>
            <w:r>
              <w:rPr>
                <w:rFonts w:ascii="Arial" w:cs="Arial" w:eastAsia="Arial" w:hAnsi="Arial"/>
                <w:sz w:val="18"/>
                <w:szCs w:val="18"/>
                <w:color w:val="auto"/>
              </w:rPr>
              <w:t>Page 1</w:t>
            </w:r>
          </w:p>
        </w:tc>
        <w:tc>
          <w:tcPr>
            <w:tcW w:w="700" w:type="dxa"/>
            <w:vAlign w:val="bottom"/>
          </w:tcPr>
          <w:p>
            <w:pPr>
              <w:spacing w:after="0"/>
              <w:rPr>
                <w:sz w:val="20"/>
                <w:szCs w:val="20"/>
                <w:color w:val="auto"/>
              </w:rPr>
            </w:pPr>
          </w:p>
        </w:tc>
      </w:tr>
    </w:tbl>
    <w:p>
      <w:pPr>
        <w:sectPr>
          <w:pgSz w:w="11900" w:h="16838" w:orient="portrait"/>
          <w:cols w:equalWidth="0" w:num="1">
            <w:col w:w="11260"/>
          </w:cols>
          <w:pgMar w:left="320" w:top="96" w:right="319" w:bottom="0" w:gutter="0" w:footer="0" w:header="0"/>
          <w:type w:val="continuous"/>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Attachment A(R4) To</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Letter Agreement No. AAL-PA-0375-LA-11006651</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737-8 [****]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140" w:type="dxa"/>
            <w:vAlign w:val="bottom"/>
            <w:tcBorders>
              <w:top w:val="single" w:sz="8" w:color="auto"/>
              <w:left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shd w:val="clear" w:color="auto" w:fill="C0C0C0"/>
          </w:tcPr>
          <w:p>
            <w:pPr>
              <w:spacing w:after="0"/>
              <w:rPr>
                <w:sz w:val="24"/>
                <w:szCs w:val="24"/>
                <w:color w:val="auto"/>
              </w:rPr>
            </w:pPr>
          </w:p>
        </w:tc>
        <w:tc>
          <w:tcPr>
            <w:tcW w:w="1120" w:type="dxa"/>
            <w:vAlign w:val="bottom"/>
            <w:tcBorders>
              <w:top w:val="single" w:sz="8" w:color="auto"/>
              <w:right w:val="single" w:sz="8" w:color="auto"/>
            </w:tcBorders>
            <w:shd w:val="clear" w:color="auto" w:fill="C0C0C0"/>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4280" w:type="dxa"/>
            <w:vAlign w:val="bottom"/>
            <w:tcBorders>
              <w:top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Advance Payment Per Aircraft (Amts. Due/Mos. Prior</w:t>
            </w:r>
          </w:p>
        </w:tc>
        <w:tc>
          <w:tcPr>
            <w:tcW w:w="0" w:type="dxa"/>
            <w:vAlign w:val="bottom"/>
          </w:tcPr>
          <w:p>
            <w:pPr>
              <w:spacing w:after="0"/>
              <w:rPr>
                <w:sz w:val="1"/>
                <w:szCs w:val="1"/>
                <w:color w:val="auto"/>
              </w:rPr>
            </w:pPr>
          </w:p>
        </w:tc>
      </w:tr>
      <w:tr>
        <w:trPr>
          <w:trHeight w:val="342"/>
        </w:trPr>
        <w:tc>
          <w:tcPr>
            <w:tcW w:w="114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20" w:type="dxa"/>
            <w:vAlign w:val="bottom"/>
          </w:tcPr>
          <w:p>
            <w:pPr>
              <w:spacing w:after="0"/>
              <w:rPr>
                <w:sz w:val="24"/>
                <w:szCs w:val="24"/>
                <w:color w:val="auto"/>
              </w:rPr>
            </w:pPr>
          </w:p>
        </w:tc>
        <w:tc>
          <w:tcPr>
            <w:tcW w:w="21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to Delivery):</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140" w:type="dxa"/>
            <w:vAlign w:val="bottom"/>
            <w:tcBorders>
              <w:left w:val="single" w:sz="8" w:color="auto"/>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860" w:type="dxa"/>
            <w:vAlign w:val="bottom"/>
            <w:tcBorders>
              <w:bottom w:val="single" w:sz="8" w:color="C0C0C0"/>
              <w:right w:val="single" w:sz="8" w:color="auto"/>
            </w:tcBorders>
            <w:shd w:val="clear" w:color="auto" w:fill="C0C0C0"/>
          </w:tcPr>
          <w:p>
            <w:pPr>
              <w:spacing w:after="0"/>
              <w:rPr>
                <w:sz w:val="3"/>
                <w:szCs w:val="3"/>
                <w:color w:val="auto"/>
              </w:rPr>
            </w:pPr>
          </w:p>
        </w:tc>
        <w:tc>
          <w:tcPr>
            <w:tcW w:w="1120" w:type="dxa"/>
            <w:vAlign w:val="bottom"/>
            <w:tcBorders>
              <w:bottom w:val="single" w:sz="8" w:color="C0C0C0"/>
              <w:right w:val="single" w:sz="8" w:color="auto"/>
            </w:tcBorders>
            <w:shd w:val="clear" w:color="auto" w:fill="C0C0C0"/>
          </w:tcPr>
          <w:p>
            <w:pPr>
              <w:spacing w:after="0"/>
              <w:rPr>
                <w:sz w:val="3"/>
                <w:szCs w:val="3"/>
                <w:color w:val="auto"/>
              </w:rPr>
            </w:pPr>
          </w:p>
        </w:tc>
        <w:tc>
          <w:tcPr>
            <w:tcW w:w="1380" w:type="dxa"/>
            <w:vAlign w:val="bottom"/>
            <w:tcBorders>
              <w:right w:val="single" w:sz="8" w:color="auto"/>
            </w:tcBorders>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Estimate</w:t>
            </w:r>
          </w:p>
        </w:tc>
        <w:tc>
          <w:tcPr>
            <w:tcW w:w="10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140" w:type="dxa"/>
            <w:vAlign w:val="bottom"/>
            <w:tcBorders>
              <w:left w:val="single" w:sz="8" w:color="auto"/>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860" w:type="dxa"/>
            <w:vAlign w:val="bottom"/>
            <w:tcBorders>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138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tcBorders>
              <w:right w:val="single" w:sz="8" w:color="auto"/>
            </w:tcBorders>
            <w:vMerge w:val="continue"/>
          </w:tcPr>
          <w:p>
            <w:pPr>
              <w:spacing w:after="0"/>
              <w:rPr>
                <w:sz w:val="15"/>
                <w:szCs w:val="15"/>
                <w:color w:val="auto"/>
              </w:rPr>
            </w:pPr>
          </w:p>
        </w:tc>
        <w:tc>
          <w:tcPr>
            <w:tcW w:w="860" w:type="dxa"/>
            <w:vAlign w:val="bottom"/>
            <w:tcBorders>
              <w:right w:val="single" w:sz="8" w:color="auto"/>
            </w:tcBorders>
            <w:shd w:val="clear" w:color="auto" w:fill="C0C0C0"/>
          </w:tcPr>
          <w:p>
            <w:pPr>
              <w:spacing w:after="0"/>
              <w:rPr>
                <w:sz w:val="15"/>
                <w:szCs w:val="15"/>
                <w:color w:val="auto"/>
              </w:rPr>
            </w:pPr>
          </w:p>
        </w:tc>
        <w:tc>
          <w:tcPr>
            <w:tcW w:w="1120" w:type="dxa"/>
            <w:vAlign w:val="bottom"/>
            <w:tcBorders>
              <w:right w:val="single" w:sz="8" w:color="auto"/>
            </w:tcBorders>
            <w:vMerge w:val="continue"/>
            <w:shd w:val="clear" w:color="auto" w:fill="C0C0C0"/>
          </w:tcPr>
          <w:p>
            <w:pPr>
              <w:spacing w:after="0"/>
              <w:rPr>
                <w:sz w:val="15"/>
                <w:szCs w:val="15"/>
                <w:color w:val="auto"/>
              </w:rPr>
            </w:pPr>
          </w:p>
        </w:tc>
        <w:tc>
          <w:tcPr>
            <w:tcW w:w="13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Adv Payment</w:t>
            </w:r>
          </w:p>
        </w:tc>
        <w:tc>
          <w:tcPr>
            <w:tcW w:w="1020" w:type="dxa"/>
            <w:vAlign w:val="bottom"/>
            <w:tcBorders>
              <w:right w:val="single" w:sz="8" w:color="auto"/>
            </w:tcBorders>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1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3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Factor</w:t>
            </w:r>
          </w:p>
        </w:tc>
        <w:tc>
          <w:tcPr>
            <w:tcW w:w="860" w:type="dxa"/>
            <w:vAlign w:val="bottom"/>
            <w:tcBorders>
              <w:right w:val="single" w:sz="8" w:color="auto"/>
            </w:tcBorders>
            <w:shd w:val="clear" w:color="auto" w:fill="C0C0C0"/>
          </w:tcPr>
          <w:p>
            <w:pPr>
              <w:spacing w:after="0"/>
              <w:rPr>
                <w:sz w:val="16"/>
                <w:szCs w:val="16"/>
                <w:color w:val="auto"/>
              </w:rPr>
            </w:pPr>
          </w:p>
        </w:tc>
        <w:tc>
          <w:tcPr>
            <w:tcW w:w="1120" w:type="dxa"/>
            <w:vAlign w:val="bottom"/>
            <w:tcBorders>
              <w:right w:val="single" w:sz="8" w:color="auto"/>
            </w:tcBorders>
            <w:shd w:val="clear" w:color="auto" w:fill="C0C0C0"/>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Delivery</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860" w:type="dxa"/>
            <w:vAlign w:val="bottom"/>
            <w:tcBorders>
              <w:right w:val="single" w:sz="8" w:color="auto"/>
            </w:tcBorders>
            <w:shd w:val="clear" w:color="auto" w:fill="C0C0C0"/>
          </w:tcPr>
          <w:p>
            <w:pPr>
              <w:spacing w:after="0"/>
              <w:rPr>
                <w:sz w:val="14"/>
                <w:szCs w:val="14"/>
                <w:color w:val="auto"/>
              </w:rPr>
            </w:pPr>
          </w:p>
        </w:tc>
        <w:tc>
          <w:tcPr>
            <w:tcW w:w="11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1020" w:type="dxa"/>
            <w:vAlign w:val="bottom"/>
            <w:tcBorders>
              <w:right w:val="single" w:sz="8" w:color="auto"/>
            </w:tcBorders>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1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120" w:type="dxa"/>
            <w:vAlign w:val="bottom"/>
            <w:tcBorders>
              <w:bottom w:val="single" w:sz="8" w:color="auto"/>
              <w:right w:val="single" w:sz="8" w:color="auto"/>
            </w:tcBorders>
            <w:vMerge w:val="continue"/>
          </w:tcPr>
          <w:p>
            <w:pPr>
              <w:spacing w:after="0"/>
              <w:rPr>
                <w:sz w:val="5"/>
                <w:szCs w:val="5"/>
                <w:color w:val="auto"/>
              </w:rPr>
            </w:pPr>
          </w:p>
        </w:tc>
        <w:tc>
          <w:tcPr>
            <w:tcW w:w="1360" w:type="dxa"/>
            <w:vAlign w:val="bottom"/>
            <w:tcBorders>
              <w:bottom w:val="single" w:sz="8" w:color="auto"/>
              <w:right w:val="single" w:sz="8" w:color="auto"/>
            </w:tcBorders>
            <w:vMerge w:val="continue"/>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vMerge w:val="continue"/>
            <w:shd w:val="clear" w:color="auto" w:fill="C0C0C0"/>
          </w:tcPr>
          <w:p>
            <w:pPr>
              <w:spacing w:after="0"/>
              <w:rPr>
                <w:sz w:val="5"/>
                <w:szCs w:val="5"/>
                <w:color w:val="auto"/>
              </w:rPr>
            </w:pPr>
          </w:p>
        </w:tc>
        <w:tc>
          <w:tcPr>
            <w:tcW w:w="1380" w:type="dxa"/>
            <w:vAlign w:val="bottom"/>
            <w:tcBorders>
              <w:bottom w:val="single" w:sz="8" w:color="auto"/>
              <w:right w:val="single" w:sz="8" w:color="auto"/>
            </w:tcBorders>
            <w:vMerge w:val="continue"/>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-2024</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9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20"/>
                <w:szCs w:val="20"/>
                <w:color w:val="auto"/>
              </w:rPr>
            </w:pPr>
            <w:r>
              <w:rPr>
                <w:rFonts w:ascii="Arial" w:cs="Arial" w:eastAsia="Arial" w:hAnsi="Arial"/>
                <w:sz w:val="18"/>
                <w:szCs w:val="18"/>
                <w:color w:val="auto"/>
              </w:rPr>
              <w:t>AAL-PA-03735 118070-1F.txt  Boeing Proprietary</w:t>
            </w:r>
          </w:p>
        </w:tc>
        <w:tc>
          <w:tcPr>
            <w:tcW w:w="700" w:type="dxa"/>
            <w:vAlign w:val="bottom"/>
          </w:tcPr>
          <w:p>
            <w:pPr>
              <w:ind w:left="200"/>
              <w:spacing w:after="0"/>
              <w:rPr>
                <w:sz w:val="20"/>
                <w:szCs w:val="20"/>
                <w:color w:val="auto"/>
              </w:rPr>
            </w:pPr>
            <w:r>
              <w:rPr>
                <w:rFonts w:ascii="Arial" w:cs="Arial" w:eastAsia="Arial" w:hAnsi="Arial"/>
                <w:sz w:val="18"/>
                <w:szCs w:val="18"/>
                <w:color w:val="auto"/>
                <w:w w:val="95"/>
              </w:rPr>
              <w:t>SA-21</w:t>
            </w:r>
          </w:p>
        </w:tc>
      </w:tr>
      <w:tr>
        <w:trPr>
          <w:trHeight w:val="239"/>
        </w:trPr>
        <w:tc>
          <w:tcPr>
            <w:tcW w:w="4220" w:type="dxa"/>
            <w:vAlign w:val="bottom"/>
          </w:tcPr>
          <w:p>
            <w:pPr>
              <w:ind w:left="600"/>
              <w:spacing w:after="0"/>
              <w:rPr>
                <w:sz w:val="20"/>
                <w:szCs w:val="20"/>
                <w:color w:val="auto"/>
              </w:rPr>
            </w:pPr>
            <w:r>
              <w:rPr>
                <w:rFonts w:ascii="Arial" w:cs="Arial" w:eastAsia="Arial" w:hAnsi="Arial"/>
                <w:sz w:val="18"/>
                <w:szCs w:val="18"/>
                <w:color w:val="auto"/>
              </w:rPr>
              <w:t>Page 2</w:t>
            </w:r>
          </w:p>
        </w:tc>
        <w:tc>
          <w:tcPr>
            <w:tcW w:w="700" w:type="dxa"/>
            <w:vAlign w:val="bottom"/>
          </w:tcPr>
          <w:p>
            <w:pPr>
              <w:spacing w:after="0"/>
              <w:rPr>
                <w:sz w:val="20"/>
                <w:szCs w:val="20"/>
                <w:color w:val="auto"/>
              </w:rPr>
            </w:pPr>
          </w:p>
        </w:tc>
      </w:tr>
    </w:tbl>
    <w:p>
      <w:pPr>
        <w:sectPr>
          <w:pgSz w:w="11900" w:h="16838" w:orient="portrait"/>
          <w:cols w:equalWidth="0" w:num="1">
            <w:col w:w="11260"/>
          </w:cols>
          <w:pgMar w:left="320" w:top="96" w:right="319" w:bottom="1440" w:gutter="0" w:footer="0" w:header="0"/>
          <w:type w:val="continuous"/>
        </w:sectPr>
      </w:pPr>
    </w:p>
    <w:bookmarkStart w:id="131" w:name="page132"/>
    <w:bookmarkEnd w:id="13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Attachment A(R4) To</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Letter Agreement No. AAL-PA-0375-LA-11006651</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737-8 [****] Delivery, Description, Price and Advance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140" w:type="dxa"/>
            <w:vAlign w:val="bottom"/>
            <w:tcBorders>
              <w:top w:val="single" w:sz="8" w:color="auto"/>
              <w:left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shd w:val="clear" w:color="auto" w:fill="C0C0C0"/>
          </w:tcPr>
          <w:p>
            <w:pPr>
              <w:spacing w:after="0"/>
              <w:rPr>
                <w:sz w:val="24"/>
                <w:szCs w:val="24"/>
                <w:color w:val="auto"/>
              </w:rPr>
            </w:pPr>
          </w:p>
        </w:tc>
        <w:tc>
          <w:tcPr>
            <w:tcW w:w="1120" w:type="dxa"/>
            <w:vAlign w:val="bottom"/>
            <w:tcBorders>
              <w:top w:val="single" w:sz="8" w:color="auto"/>
              <w:right w:val="single" w:sz="8" w:color="auto"/>
            </w:tcBorders>
            <w:shd w:val="clear" w:color="auto" w:fill="C0C0C0"/>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4280" w:type="dxa"/>
            <w:vAlign w:val="bottom"/>
            <w:tcBorders>
              <w:top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Advance Payment Per Aircraft (Amts. Due/Mos. Prior</w:t>
            </w:r>
          </w:p>
        </w:tc>
        <w:tc>
          <w:tcPr>
            <w:tcW w:w="0" w:type="dxa"/>
            <w:vAlign w:val="bottom"/>
          </w:tcPr>
          <w:p>
            <w:pPr>
              <w:spacing w:after="0"/>
              <w:rPr>
                <w:sz w:val="1"/>
                <w:szCs w:val="1"/>
                <w:color w:val="auto"/>
              </w:rPr>
            </w:pPr>
          </w:p>
        </w:tc>
      </w:tr>
      <w:tr>
        <w:trPr>
          <w:trHeight w:val="342"/>
        </w:trPr>
        <w:tc>
          <w:tcPr>
            <w:tcW w:w="1140" w:type="dxa"/>
            <w:vAlign w:val="bottom"/>
            <w:tcBorders>
              <w:left w:val="single" w:sz="8" w:color="auto"/>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20" w:type="dxa"/>
            <w:vAlign w:val="bottom"/>
          </w:tcPr>
          <w:p>
            <w:pPr>
              <w:spacing w:after="0"/>
              <w:rPr>
                <w:sz w:val="24"/>
                <w:szCs w:val="24"/>
                <w:color w:val="auto"/>
              </w:rPr>
            </w:pPr>
          </w:p>
        </w:tc>
        <w:tc>
          <w:tcPr>
            <w:tcW w:w="21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 Delivery):</w:t>
            </w: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140" w:type="dxa"/>
            <w:vAlign w:val="bottom"/>
            <w:tcBorders>
              <w:left w:val="single" w:sz="8" w:color="auto"/>
              <w:right w:val="single" w:sz="8" w:color="auto"/>
            </w:tcBorders>
          </w:tcPr>
          <w:p>
            <w:pPr>
              <w:spacing w:after="0"/>
              <w:rPr>
                <w:sz w:val="3"/>
                <w:szCs w:val="3"/>
                <w:color w:val="auto"/>
              </w:rPr>
            </w:pPr>
          </w:p>
        </w:tc>
        <w:tc>
          <w:tcPr>
            <w:tcW w:w="112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860" w:type="dxa"/>
            <w:vAlign w:val="bottom"/>
            <w:tcBorders>
              <w:bottom w:val="single" w:sz="8" w:color="C0C0C0"/>
              <w:right w:val="single" w:sz="8" w:color="auto"/>
            </w:tcBorders>
            <w:shd w:val="clear" w:color="auto" w:fill="C0C0C0"/>
          </w:tcPr>
          <w:p>
            <w:pPr>
              <w:spacing w:after="0"/>
              <w:rPr>
                <w:sz w:val="3"/>
                <w:szCs w:val="3"/>
                <w:color w:val="auto"/>
              </w:rPr>
            </w:pPr>
          </w:p>
        </w:tc>
        <w:tc>
          <w:tcPr>
            <w:tcW w:w="1120" w:type="dxa"/>
            <w:vAlign w:val="bottom"/>
            <w:tcBorders>
              <w:bottom w:val="single" w:sz="8" w:color="C0C0C0"/>
              <w:right w:val="single" w:sz="8" w:color="auto"/>
            </w:tcBorders>
            <w:shd w:val="clear" w:color="auto" w:fill="C0C0C0"/>
          </w:tcPr>
          <w:p>
            <w:pPr>
              <w:spacing w:after="0"/>
              <w:rPr>
                <w:sz w:val="3"/>
                <w:szCs w:val="3"/>
                <w:color w:val="auto"/>
              </w:rPr>
            </w:pPr>
          </w:p>
        </w:tc>
        <w:tc>
          <w:tcPr>
            <w:tcW w:w="1380" w:type="dxa"/>
            <w:vAlign w:val="bottom"/>
            <w:tcBorders>
              <w:right w:val="single" w:sz="8" w:color="auto"/>
            </w:tcBorders>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Estimate</w:t>
            </w:r>
          </w:p>
        </w:tc>
        <w:tc>
          <w:tcPr>
            <w:tcW w:w="10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140" w:type="dxa"/>
            <w:vAlign w:val="bottom"/>
            <w:tcBorders>
              <w:left w:val="single" w:sz="8" w:color="auto"/>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860" w:type="dxa"/>
            <w:vAlign w:val="bottom"/>
            <w:tcBorders>
              <w:right w:val="single" w:sz="8" w:color="auto"/>
            </w:tcBorders>
            <w:shd w:val="clear" w:color="auto" w:fill="C0C0C0"/>
          </w:tcPr>
          <w:p>
            <w:pPr>
              <w:spacing w:after="0"/>
              <w:rPr>
                <w:sz w:val="11"/>
                <w:szCs w:val="11"/>
                <w:color w:val="auto"/>
              </w:rPr>
            </w:pPr>
          </w:p>
        </w:tc>
        <w:tc>
          <w:tcPr>
            <w:tcW w:w="11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138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At Signing</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tcBorders>
              <w:right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tcBorders>
              <w:right w:val="single" w:sz="8" w:color="auto"/>
            </w:tcBorders>
            <w:vMerge w:val="continue"/>
          </w:tcPr>
          <w:p>
            <w:pPr>
              <w:spacing w:after="0"/>
              <w:rPr>
                <w:sz w:val="15"/>
                <w:szCs w:val="15"/>
                <w:color w:val="auto"/>
              </w:rPr>
            </w:pPr>
          </w:p>
        </w:tc>
        <w:tc>
          <w:tcPr>
            <w:tcW w:w="860" w:type="dxa"/>
            <w:vAlign w:val="bottom"/>
            <w:tcBorders>
              <w:right w:val="single" w:sz="8" w:color="auto"/>
            </w:tcBorders>
            <w:shd w:val="clear" w:color="auto" w:fill="C0C0C0"/>
          </w:tcPr>
          <w:p>
            <w:pPr>
              <w:spacing w:after="0"/>
              <w:rPr>
                <w:sz w:val="15"/>
                <w:szCs w:val="15"/>
                <w:color w:val="auto"/>
              </w:rPr>
            </w:pPr>
          </w:p>
        </w:tc>
        <w:tc>
          <w:tcPr>
            <w:tcW w:w="1120" w:type="dxa"/>
            <w:vAlign w:val="bottom"/>
            <w:tcBorders>
              <w:right w:val="single" w:sz="8" w:color="auto"/>
            </w:tcBorders>
            <w:vMerge w:val="continue"/>
            <w:shd w:val="clear" w:color="auto" w:fill="C0C0C0"/>
          </w:tcPr>
          <w:p>
            <w:pPr>
              <w:spacing w:after="0"/>
              <w:rPr>
                <w:sz w:val="15"/>
                <w:szCs w:val="15"/>
                <w:color w:val="auto"/>
              </w:rPr>
            </w:pPr>
          </w:p>
        </w:tc>
        <w:tc>
          <w:tcPr>
            <w:tcW w:w="13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Adv Payment</w:t>
            </w:r>
          </w:p>
        </w:tc>
        <w:tc>
          <w:tcPr>
            <w:tcW w:w="1020" w:type="dxa"/>
            <w:vAlign w:val="bottom"/>
            <w:tcBorders>
              <w:right w:val="single" w:sz="8" w:color="auto"/>
            </w:tcBorders>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1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Borders>
              <w:left w:val="single" w:sz="8" w:color="auto"/>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3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Factor</w:t>
            </w:r>
          </w:p>
        </w:tc>
        <w:tc>
          <w:tcPr>
            <w:tcW w:w="860" w:type="dxa"/>
            <w:vAlign w:val="bottom"/>
            <w:tcBorders>
              <w:right w:val="single" w:sz="8" w:color="auto"/>
            </w:tcBorders>
            <w:shd w:val="clear" w:color="auto" w:fill="C0C0C0"/>
          </w:tcPr>
          <w:p>
            <w:pPr>
              <w:spacing w:after="0"/>
              <w:rPr>
                <w:sz w:val="16"/>
                <w:szCs w:val="16"/>
                <w:color w:val="auto"/>
              </w:rPr>
            </w:pPr>
          </w:p>
        </w:tc>
        <w:tc>
          <w:tcPr>
            <w:tcW w:w="1120" w:type="dxa"/>
            <w:vAlign w:val="bottom"/>
            <w:tcBorders>
              <w:right w:val="single" w:sz="8" w:color="auto"/>
            </w:tcBorders>
            <w:shd w:val="clear" w:color="auto" w:fill="C0C0C0"/>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Delivery</w:t>
            </w: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860" w:type="dxa"/>
            <w:vAlign w:val="bottom"/>
            <w:tcBorders>
              <w:right w:val="single" w:sz="8" w:color="auto"/>
            </w:tcBorders>
            <w:shd w:val="clear" w:color="auto" w:fill="C0C0C0"/>
          </w:tcPr>
          <w:p>
            <w:pPr>
              <w:spacing w:after="0"/>
              <w:rPr>
                <w:sz w:val="14"/>
                <w:szCs w:val="14"/>
                <w:color w:val="auto"/>
              </w:rPr>
            </w:pPr>
          </w:p>
        </w:tc>
        <w:tc>
          <w:tcPr>
            <w:tcW w:w="1120" w:type="dxa"/>
            <w:vAlign w:val="bottom"/>
            <w:tcBorders>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1020" w:type="dxa"/>
            <w:vAlign w:val="bottom"/>
            <w:tcBorders>
              <w:right w:val="single" w:sz="8" w:color="auto"/>
            </w:tcBorders>
            <w:vMerge w:val="continue"/>
          </w:tcPr>
          <w:p>
            <w:pPr>
              <w:spacing w:after="0"/>
              <w:rPr>
                <w:sz w:val="14"/>
                <w:szCs w:val="14"/>
                <w:color w:val="auto"/>
              </w:rPr>
            </w:pPr>
          </w:p>
        </w:tc>
        <w:tc>
          <w:tcPr>
            <w:tcW w:w="104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1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120" w:type="dxa"/>
            <w:vAlign w:val="bottom"/>
            <w:tcBorders>
              <w:bottom w:val="single" w:sz="8" w:color="auto"/>
              <w:right w:val="single" w:sz="8" w:color="auto"/>
            </w:tcBorders>
            <w:vMerge w:val="continue"/>
          </w:tcPr>
          <w:p>
            <w:pPr>
              <w:spacing w:after="0"/>
              <w:rPr>
                <w:sz w:val="5"/>
                <w:szCs w:val="5"/>
                <w:color w:val="auto"/>
              </w:rPr>
            </w:pPr>
          </w:p>
        </w:tc>
        <w:tc>
          <w:tcPr>
            <w:tcW w:w="1360" w:type="dxa"/>
            <w:vAlign w:val="bottom"/>
            <w:tcBorders>
              <w:bottom w:val="single" w:sz="8" w:color="auto"/>
              <w:right w:val="single" w:sz="8" w:color="auto"/>
            </w:tcBorders>
            <w:vMerge w:val="continue"/>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vMerge w:val="continue"/>
            <w:shd w:val="clear" w:color="auto" w:fill="C0C0C0"/>
          </w:tcPr>
          <w:p>
            <w:pPr>
              <w:spacing w:after="0"/>
              <w:rPr>
                <w:sz w:val="5"/>
                <w:szCs w:val="5"/>
                <w:color w:val="auto"/>
              </w:rPr>
            </w:pPr>
          </w:p>
        </w:tc>
        <w:tc>
          <w:tcPr>
            <w:tcW w:w="1380" w:type="dxa"/>
            <w:vAlign w:val="bottom"/>
            <w:tcBorders>
              <w:bottom w:val="single" w:sz="8" w:color="auto"/>
              <w:right w:val="single" w:sz="8" w:color="auto"/>
            </w:tcBorders>
            <w:vMerge w:val="continue"/>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-2025</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0"/>
                <w:szCs w:val="20"/>
                <w:color w:val="auto"/>
              </w:rPr>
            </w:pPr>
          </w:p>
        </w:tc>
        <w:tc>
          <w:tcPr>
            <w:tcW w:w="11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
        </w:trPr>
        <w:tc>
          <w:tcPr>
            <w:tcW w:w="1140" w:type="dxa"/>
            <w:vAlign w:val="bottom"/>
            <w:tcBorders>
              <w:left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shd w:val="clear" w:color="auto" w:fill="C0C0C0"/>
          </w:tcPr>
          <w:p>
            <w:pPr>
              <w:spacing w:after="0"/>
              <w:rPr>
                <w:sz w:val="5"/>
                <w:szCs w:val="5"/>
                <w:color w:val="auto"/>
              </w:rPr>
            </w:pPr>
          </w:p>
        </w:tc>
        <w:tc>
          <w:tcPr>
            <w:tcW w:w="1120" w:type="dxa"/>
            <w:vAlign w:val="bottom"/>
            <w:tcBorders>
              <w:right w:val="single" w:sz="8" w:color="auto"/>
            </w:tcBorders>
            <w:vMerge w:val="continue"/>
            <w:shd w:val="clear" w:color="auto" w:fill="C0C0C0"/>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0"/>
                <w:szCs w:val="20"/>
                <w:color w:val="auto"/>
              </w:rPr>
            </w:pPr>
          </w:p>
        </w:tc>
        <w:tc>
          <w:tcPr>
            <w:tcW w:w="11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
        </w:trPr>
        <w:tc>
          <w:tcPr>
            <w:tcW w:w="1140" w:type="dxa"/>
            <w:vAlign w:val="bottom"/>
            <w:tcBorders>
              <w:left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shd w:val="clear" w:color="auto" w:fill="C0C0C0"/>
          </w:tcPr>
          <w:p>
            <w:pPr>
              <w:spacing w:after="0"/>
              <w:rPr>
                <w:sz w:val="5"/>
                <w:szCs w:val="5"/>
                <w:color w:val="auto"/>
              </w:rPr>
            </w:pPr>
          </w:p>
        </w:tc>
        <w:tc>
          <w:tcPr>
            <w:tcW w:w="1120" w:type="dxa"/>
            <w:vAlign w:val="bottom"/>
            <w:tcBorders>
              <w:right w:val="single" w:sz="8" w:color="auto"/>
            </w:tcBorders>
            <w:vMerge w:val="continue"/>
            <w:shd w:val="clear" w:color="auto" w:fill="C0C0C0"/>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0000FF"/>
                <w:w w:val="99"/>
              </w:rPr>
              <w:t>1</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0"/>
                <w:szCs w:val="20"/>
                <w:color w:val="auto"/>
              </w:rPr>
            </w:pPr>
          </w:p>
        </w:tc>
        <w:tc>
          <w:tcPr>
            <w:tcW w:w="11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color w:val="auto"/>
                <w:w w:val="96"/>
              </w:rPr>
              <w:t>Yes</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
        </w:trPr>
        <w:tc>
          <w:tcPr>
            <w:tcW w:w="1140" w:type="dxa"/>
            <w:vAlign w:val="bottom"/>
            <w:tcBorders>
              <w:left w:val="single" w:sz="8" w:color="auto"/>
              <w:right w:val="single" w:sz="8" w:color="auto"/>
            </w:tcBorders>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shd w:val="clear" w:color="auto" w:fill="C0C0C0"/>
          </w:tcPr>
          <w:p>
            <w:pPr>
              <w:spacing w:after="0"/>
              <w:rPr>
                <w:sz w:val="5"/>
                <w:szCs w:val="5"/>
                <w:color w:val="auto"/>
              </w:rPr>
            </w:pPr>
          </w:p>
        </w:tc>
        <w:tc>
          <w:tcPr>
            <w:tcW w:w="1120" w:type="dxa"/>
            <w:vAlign w:val="bottom"/>
            <w:tcBorders>
              <w:right w:val="single" w:sz="8" w:color="auto"/>
            </w:tcBorders>
            <w:vMerge w:val="continue"/>
            <w:shd w:val="clear" w:color="auto" w:fill="C0C0C0"/>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0"/>
                <w:szCs w:val="20"/>
                <w:color w:val="auto"/>
              </w:rPr>
            </w:pPr>
          </w:p>
        </w:tc>
        <w:tc>
          <w:tcPr>
            <w:tcW w:w="11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color w:val="auto"/>
                <w:w w:val="95"/>
              </w:rPr>
              <w:t>No</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
        </w:trPr>
        <w:tc>
          <w:tcPr>
            <w:tcW w:w="1140" w:type="dxa"/>
            <w:vAlign w:val="bottom"/>
            <w:tcBorders>
              <w:left w:val="single" w:sz="8" w:color="auto"/>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shd w:val="clear" w:color="auto" w:fill="C0C0C0"/>
          </w:tcPr>
          <w:p>
            <w:pPr>
              <w:spacing w:after="0"/>
              <w:rPr>
                <w:sz w:val="5"/>
                <w:szCs w:val="5"/>
                <w:color w:val="auto"/>
              </w:rPr>
            </w:pPr>
          </w:p>
        </w:tc>
        <w:tc>
          <w:tcPr>
            <w:tcW w:w="1120" w:type="dxa"/>
            <w:vAlign w:val="bottom"/>
            <w:tcBorders>
              <w:right w:val="single" w:sz="8" w:color="auto"/>
            </w:tcBorders>
            <w:vMerge w:val="continue"/>
            <w:shd w:val="clear" w:color="auto" w:fill="C0C0C0"/>
          </w:tcPr>
          <w:p>
            <w:pPr>
              <w:spacing w:after="0"/>
              <w:rPr>
                <w:sz w:val="5"/>
                <w:szCs w:val="5"/>
                <w:color w:val="auto"/>
              </w:rPr>
            </w:pPr>
          </w:p>
        </w:tc>
        <w:tc>
          <w:tcPr>
            <w:tcW w:w="138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114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86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8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shd w:val="clear" w:color="auto" w:fill="C0C0C0"/>
          </w:tcPr>
          <w:p>
            <w:pPr>
              <w:spacing w:after="0"/>
              <w:rPr>
                <w:sz w:val="20"/>
                <w:szCs w:val="20"/>
                <w:color w:val="auto"/>
              </w:rPr>
            </w:pPr>
          </w:p>
        </w:tc>
        <w:tc>
          <w:tcPr>
            <w:tcW w:w="11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No</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6"/>
        </w:trPr>
        <w:tc>
          <w:tcPr>
            <w:tcW w:w="1140" w:type="dxa"/>
            <w:vAlign w:val="bottom"/>
            <w:tcBorders>
              <w:left w:val="single" w:sz="8" w:color="auto"/>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60" w:type="dxa"/>
            <w:vAlign w:val="bottom"/>
            <w:tcBorders>
              <w:bottom w:val="single" w:sz="8" w:color="C0C0C0"/>
              <w:right w:val="single" w:sz="8" w:color="auto"/>
            </w:tcBorders>
            <w:shd w:val="clear" w:color="auto" w:fill="C0C0C0"/>
          </w:tcPr>
          <w:p>
            <w:pPr>
              <w:spacing w:after="0"/>
              <w:rPr>
                <w:sz w:val="9"/>
                <w:szCs w:val="9"/>
                <w:color w:val="auto"/>
              </w:rPr>
            </w:pPr>
          </w:p>
        </w:tc>
        <w:tc>
          <w:tcPr>
            <w:tcW w:w="1120" w:type="dxa"/>
            <w:vAlign w:val="bottom"/>
            <w:tcBorders>
              <w:bottom w:val="single" w:sz="8" w:color="C0C0C0"/>
              <w:right w:val="single" w:sz="8" w:color="auto"/>
            </w:tcBorders>
            <w:vMerge w:val="continue"/>
            <w:shd w:val="clear" w:color="auto" w:fill="C0C0C0"/>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00FF"/>
                <w:w w:val="99"/>
              </w:rPr>
              <w:t>1</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Yes</w:t>
            </w:r>
          </w:p>
        </w:tc>
        <w:tc>
          <w:tcPr>
            <w:tcW w:w="13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No</w:t>
            </w:r>
          </w:p>
        </w:tc>
        <w:tc>
          <w:tcPr>
            <w:tcW w:w="13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No</w:t>
            </w:r>
          </w:p>
        </w:tc>
        <w:tc>
          <w:tcPr>
            <w:tcW w:w="13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00FF"/>
                <w:w w:val="99"/>
              </w:rPr>
              <w:t>1</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Yes</w:t>
            </w:r>
          </w:p>
        </w:tc>
        <w:tc>
          <w:tcPr>
            <w:tcW w:w="13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No</w:t>
            </w:r>
          </w:p>
        </w:tc>
        <w:tc>
          <w:tcPr>
            <w:tcW w:w="13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No</w:t>
            </w:r>
          </w:p>
        </w:tc>
        <w:tc>
          <w:tcPr>
            <w:tcW w:w="13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00FF"/>
                <w:w w:val="99"/>
              </w:rPr>
              <w:t>1</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Yes</w:t>
            </w:r>
          </w:p>
        </w:tc>
        <w:tc>
          <w:tcPr>
            <w:tcW w:w="13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No</w:t>
            </w:r>
          </w:p>
        </w:tc>
        <w:tc>
          <w:tcPr>
            <w:tcW w:w="13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No</w:t>
            </w:r>
          </w:p>
        </w:tc>
        <w:tc>
          <w:tcPr>
            <w:tcW w:w="13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0000FF"/>
                <w:w w:val="99"/>
              </w:rPr>
              <w:t>1</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Yes</w:t>
            </w:r>
          </w:p>
        </w:tc>
        <w:tc>
          <w:tcPr>
            <w:tcW w:w="13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-2026</w:t>
            </w:r>
          </w:p>
        </w:tc>
        <w:tc>
          <w:tcPr>
            <w:tcW w:w="11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No</w:t>
            </w:r>
          </w:p>
        </w:tc>
        <w:tc>
          <w:tcPr>
            <w:tcW w:w="1380" w:type="dxa"/>
            <w:vAlign w:val="bottom"/>
            <w:tcBorders>
              <w:right w:val="single" w:sz="8" w:color="auto"/>
            </w:tcBorders>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140" w:type="dxa"/>
            <w:vAlign w:val="bottom"/>
            <w:tcBorders>
              <w:left w:val="single" w:sz="8" w:color="auto"/>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40</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20"/>
                <w:szCs w:val="20"/>
                <w:color w:val="auto"/>
              </w:rPr>
            </w:pPr>
            <w:r>
              <w:rPr>
                <w:rFonts w:ascii="Arial" w:cs="Arial" w:eastAsia="Arial" w:hAnsi="Arial"/>
                <w:sz w:val="18"/>
                <w:szCs w:val="18"/>
                <w:color w:val="auto"/>
              </w:rPr>
              <w:t>AAL-PA-03735 118070-1F.txt  Boeing Proprietary</w:t>
            </w:r>
          </w:p>
        </w:tc>
        <w:tc>
          <w:tcPr>
            <w:tcW w:w="700" w:type="dxa"/>
            <w:vAlign w:val="bottom"/>
          </w:tcPr>
          <w:p>
            <w:pPr>
              <w:ind w:left="200"/>
              <w:spacing w:after="0"/>
              <w:rPr>
                <w:sz w:val="20"/>
                <w:szCs w:val="20"/>
                <w:color w:val="auto"/>
              </w:rPr>
            </w:pPr>
            <w:r>
              <w:rPr>
                <w:rFonts w:ascii="Arial" w:cs="Arial" w:eastAsia="Arial" w:hAnsi="Arial"/>
                <w:sz w:val="18"/>
                <w:szCs w:val="18"/>
                <w:color w:val="auto"/>
                <w:w w:val="95"/>
              </w:rPr>
              <w:t>SA-21</w:t>
            </w:r>
          </w:p>
        </w:tc>
      </w:tr>
      <w:tr>
        <w:trPr>
          <w:trHeight w:val="239"/>
        </w:trPr>
        <w:tc>
          <w:tcPr>
            <w:tcW w:w="4220" w:type="dxa"/>
            <w:vAlign w:val="bottom"/>
          </w:tcPr>
          <w:p>
            <w:pPr>
              <w:ind w:left="600"/>
              <w:spacing w:after="0"/>
              <w:rPr>
                <w:sz w:val="20"/>
                <w:szCs w:val="20"/>
                <w:color w:val="auto"/>
              </w:rPr>
            </w:pPr>
            <w:r>
              <w:rPr>
                <w:rFonts w:ascii="Arial" w:cs="Arial" w:eastAsia="Arial" w:hAnsi="Arial"/>
                <w:sz w:val="18"/>
                <w:szCs w:val="18"/>
                <w:color w:val="auto"/>
              </w:rPr>
              <w:t>Page 3</w:t>
            </w:r>
          </w:p>
        </w:tc>
        <w:tc>
          <w:tcPr>
            <w:tcW w:w="700" w:type="dxa"/>
            <w:vAlign w:val="bottom"/>
          </w:tcPr>
          <w:p>
            <w:pPr>
              <w:spacing w:after="0"/>
              <w:rPr>
                <w:sz w:val="20"/>
                <w:szCs w:val="20"/>
                <w:color w:val="auto"/>
              </w:rPr>
            </w:pPr>
          </w:p>
        </w:tc>
      </w:tr>
    </w:tbl>
    <w:p>
      <w:pPr>
        <w:sectPr>
          <w:pgSz w:w="11900" w:h="16838" w:orient="portrait"/>
          <w:cols w:equalWidth="0" w:num="1">
            <w:col w:w="11260"/>
          </w:cols>
          <w:pgMar w:left="320" w:top="96" w:right="319" w:bottom="1440" w:gutter="0" w:footer="0" w:header="0"/>
        </w:sectPr>
      </w:pPr>
    </w:p>
    <w:bookmarkStart w:id="132" w:name="page133"/>
    <w:bookmarkEnd w:id="132"/>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1508760" cy="3429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ind w:left="2400"/>
        <w:spacing w:after="0"/>
        <w:rPr>
          <w:sz w:val="20"/>
          <w:szCs w:val="20"/>
          <w:color w:val="auto"/>
        </w:rPr>
      </w:pPr>
      <w:r>
        <w:rPr>
          <w:rFonts w:ascii="Arial" w:cs="Arial" w:eastAsia="Arial" w:hAnsi="Arial"/>
          <w:sz w:val="13"/>
          <w:szCs w:val="13"/>
          <w:color w:val="808080"/>
        </w:rPr>
        <w:t>The Boeing Company</w:t>
      </w:r>
    </w:p>
    <w:p>
      <w:pPr>
        <w:ind w:left="2400"/>
        <w:spacing w:after="0" w:line="216" w:lineRule="auto"/>
        <w:rPr>
          <w:sz w:val="20"/>
          <w:szCs w:val="20"/>
          <w:color w:val="auto"/>
        </w:rPr>
      </w:pPr>
      <w:r>
        <w:rPr>
          <w:rFonts w:ascii="Arial" w:cs="Arial" w:eastAsia="Arial" w:hAnsi="Arial"/>
          <w:sz w:val="13"/>
          <w:szCs w:val="13"/>
          <w:color w:val="808080"/>
        </w:rPr>
        <w:t>P.O. Box 3707</w:t>
      </w:r>
    </w:p>
    <w:p>
      <w:pPr>
        <w:ind w:left="2400"/>
        <w:spacing w:after="0"/>
        <w:rPr>
          <w:sz w:val="20"/>
          <w:szCs w:val="20"/>
          <w:color w:val="auto"/>
        </w:rPr>
      </w:pPr>
      <w:r>
        <w:rPr>
          <w:rFonts w:ascii="Arial" w:cs="Arial" w:eastAsia="Arial" w:hAnsi="Arial"/>
          <w:sz w:val="13"/>
          <w:szCs w:val="13"/>
          <w:color w:val="808080"/>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58635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AAL-PA-03735-LA-1106659R</w:t>
      </w:r>
      <w:r>
        <w:rPr>
          <w:rFonts w:ascii="Arial" w:cs="Arial" w:eastAsia="Arial" w:hAnsi="Arial"/>
          <w:sz w:val="22"/>
          <w:szCs w:val="22"/>
          <w:b w:val="1"/>
          <w:bCs w:val="1"/>
          <w:color w:val="auto"/>
        </w:rPr>
        <w:t>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186"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06" w:lineRule="exact"/>
        <w:rPr>
          <w:sz w:val="20"/>
          <w:szCs w:val="20"/>
          <w:color w:val="auto"/>
        </w:rPr>
      </w:pPr>
    </w:p>
    <w:p>
      <w:pPr>
        <w:ind w:left="1300" w:hanging="1295"/>
        <w:spacing w:after="0" w:line="245"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3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Boeing and Customer wish to enter into an agreement pursuant to which each party will contribute equally to promotional programs in support of the entry into service of the Aircraft as more specifically provided below.</w:t>
      </w:r>
    </w:p>
    <w:p>
      <w:pPr>
        <w:spacing w:after="0" w:line="151" w:lineRule="exact"/>
        <w:rPr>
          <w:sz w:val="20"/>
          <w:szCs w:val="20"/>
          <w:color w:val="auto"/>
        </w:rPr>
      </w:pPr>
    </w:p>
    <w:p>
      <w:pPr>
        <w:jc w:val="right"/>
        <w:ind w:left="660" w:right="9560" w:hanging="652"/>
        <w:spacing w:after="0" w:line="409" w:lineRule="auto"/>
        <w:tabs>
          <w:tab w:leader="none" w:pos="553"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11.1 [****].</w:t>
      </w:r>
    </w:p>
    <w:p>
      <w:pPr>
        <w:spacing w:after="0" w:line="2" w:lineRule="exact"/>
        <w:rPr>
          <w:sz w:val="20"/>
          <w:szCs w:val="20"/>
          <w:color w:val="auto"/>
        </w:rPr>
      </w:pPr>
    </w:p>
    <w:p>
      <w:pPr>
        <w:jc w:val="both"/>
        <w:ind w:left="1180" w:hanging="517"/>
        <w:spacing w:after="0" w:line="220"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b w:val="1"/>
          <w:bCs w:val="1"/>
          <w:i w:val="1"/>
          <w:iCs w:val="1"/>
          <w:color w:val="auto"/>
        </w:rPr>
        <w:t>Covered Aircraft</w:t>
      </w:r>
      <w:r>
        <w:rPr>
          <w:rFonts w:ascii="Arial" w:cs="Arial" w:eastAsia="Arial" w:hAnsi="Arial"/>
          <w:sz w:val="22"/>
          <w:szCs w:val="22"/>
          <w:color w:val="auto"/>
        </w:rPr>
        <w:t xml:space="preserve"> shall mean those Aircraft identified on Table 1R12, Table 1-2, and Table 1-3R6 to the Purchase Agreement (as may be amended from time to time), any [****] pursuant to terms of Letter Agreement AAL-PA-03735-LA-1106652 entitled “[****]” and any [****] in which Customer exercises its rights pursuant to Letter Agreement AAL-PA-03735-LA-1106651R2 entitled “[****]”.</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b w:val="1"/>
          <w:bCs w:val="1"/>
          <w:i w:val="1"/>
          <w:iCs w:val="1"/>
          <w:color w:val="auto"/>
        </w:rPr>
        <w:t>Performance Period</w:t>
      </w:r>
      <w:r>
        <w:rPr>
          <w:rFonts w:ascii="Arial" w:cs="Arial" w:eastAsia="Arial" w:hAnsi="Arial"/>
          <w:sz w:val="22"/>
          <w:szCs w:val="22"/>
          <w:color w:val="auto"/>
        </w:rPr>
        <w:t xml:space="preserve"> shall mean [****]. The Performance Period [****].</w:t>
      </w:r>
    </w:p>
    <w:p>
      <w:pPr>
        <w:spacing w:after="0" w:line="179" w:lineRule="exact"/>
        <w:rPr>
          <w:sz w:val="20"/>
          <w:szCs w:val="20"/>
          <w:color w:val="auto"/>
        </w:rPr>
      </w:pPr>
    </w:p>
    <w:p>
      <w:pPr>
        <w:jc w:val="both"/>
        <w:ind w:left="1180" w:hanging="517"/>
        <w:spacing w:after="0" w:line="217"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b w:val="1"/>
          <w:bCs w:val="1"/>
          <w:i w:val="1"/>
          <w:iCs w:val="1"/>
          <w:color w:val="auto"/>
        </w:rPr>
        <w:t>Promotional Support</w:t>
      </w:r>
      <w:r>
        <w:rPr>
          <w:rFonts w:ascii="Arial" w:cs="Arial" w:eastAsia="Arial" w:hAnsi="Arial"/>
          <w:sz w:val="22"/>
          <w:szCs w:val="22"/>
          <w:color w:val="auto"/>
        </w:rPr>
        <w:t xml:space="preserve"> shall mean mutually agreed marketing and promotion programs that [****], such as marketing research, tourism development, corporate identity, direct marketing, videotape or still photography, planning, design and production of collateral materials, management of promotion programs, advertising campaigns or such other marketing and promotional activities as the parties may mutually agree.</w:t>
      </w:r>
    </w:p>
    <w:p>
      <w:pPr>
        <w:spacing w:after="0" w:line="152" w:lineRule="exact"/>
        <w:rPr>
          <w:sz w:val="20"/>
          <w:szCs w:val="20"/>
          <w:color w:val="auto"/>
        </w:rPr>
      </w:pPr>
    </w:p>
    <w:p>
      <w:pPr>
        <w:jc w:val="both"/>
        <w:ind w:left="1180" w:hanging="517"/>
        <w:spacing w:after="0" w:line="236"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b w:val="1"/>
          <w:bCs w:val="1"/>
          <w:i w:val="1"/>
          <w:iCs w:val="1"/>
          <w:color w:val="auto"/>
        </w:rPr>
        <w:t>Qualifying Third Party Fees</w:t>
      </w:r>
      <w:r>
        <w:rPr>
          <w:rFonts w:ascii="Arial" w:cs="Arial" w:eastAsia="Arial" w:hAnsi="Arial"/>
          <w:sz w:val="22"/>
          <w:szCs w:val="22"/>
          <w:color w:val="auto"/>
        </w:rPr>
        <w:t xml:space="preserve"> shall mean [****] during the Performance Period to [****] for [****] the Performance Period.</w:t>
      </w:r>
    </w:p>
    <w:p>
      <w:pPr>
        <w:spacing w:after="0" w:line="151" w:lineRule="exact"/>
        <w:rPr>
          <w:sz w:val="20"/>
          <w:szCs w:val="20"/>
          <w:color w:val="auto"/>
        </w:rPr>
      </w:pPr>
    </w:p>
    <w:p>
      <w:pPr>
        <w:ind w:left="660" w:right="9320" w:hanging="652"/>
        <w:spacing w:after="0" w:line="471" w:lineRule="auto"/>
        <w:tabs>
          <w:tab w:leader="none" w:pos="650"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Commitment</w:t>
      </w:r>
      <w:r>
        <w:rPr>
          <w:rFonts w:ascii="Arial" w:cs="Arial" w:eastAsia="Arial" w:hAnsi="Arial"/>
          <w:sz w:val="21"/>
          <w:szCs w:val="21"/>
          <w:color w:val="auto"/>
        </w:rPr>
        <w:t>.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AAL-PA-03735-LA-1106659R3</w:t>
      </w:r>
    </w:p>
    <w:p>
      <w:pPr>
        <w:spacing w:after="0" w:line="204" w:lineRule="auto"/>
        <w:tabs>
          <w:tab w:leader="none" w:pos="740" w:val="left"/>
        </w:tabs>
        <w:rPr>
          <w:sz w:val="20"/>
          <w:szCs w:val="20"/>
          <w:color w:val="auto"/>
        </w:rPr>
      </w:pPr>
      <w:r>
        <w:rPr>
          <w:rFonts w:ascii="Arial" w:cs="Arial" w:eastAsia="Arial" w:hAnsi="Arial"/>
          <w:sz w:val="22"/>
          <w:szCs w:val="22"/>
          <w:color w:val="auto"/>
        </w:rPr>
        <w:t>[****]</w:t>
        <w:tab/>
        <w:t>Page 1 of 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683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right="8160" w:hanging="652"/>
        <w:spacing w:after="0" w:line="409" w:lineRule="auto"/>
        <w:tabs>
          <w:tab w:leader="none" w:pos="65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Methods of Performance</w:t>
      </w:r>
      <w:r>
        <w:rPr>
          <w:rFonts w:ascii="Arial" w:cs="Arial" w:eastAsia="Arial" w:hAnsi="Arial"/>
          <w:sz w:val="22"/>
          <w:szCs w:val="22"/>
          <w:color w:val="auto"/>
        </w:rPr>
        <w:t>. 13.1 [****].</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13.2 [****].</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13.3 [****].</w:t>
      </w:r>
    </w:p>
    <w:p>
      <w:pPr>
        <w:spacing w:after="0" w:line="179" w:lineRule="exact"/>
        <w:rPr>
          <w:rFonts w:ascii="Arial" w:cs="Arial" w:eastAsia="Arial" w:hAnsi="Arial"/>
          <w:sz w:val="22"/>
          <w:szCs w:val="22"/>
          <w:color w:val="auto"/>
        </w:rPr>
      </w:pPr>
    </w:p>
    <w:p>
      <w:pPr>
        <w:ind w:left="640" w:hanging="632"/>
        <w:spacing w:after="0"/>
        <w:tabs>
          <w:tab w:leader="none" w:pos="64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Project Approval</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Following the execution of this Letter Agreement, a Boeing Airline Marketing Services representative will meet with Customer’s designated representative to review and approve the extent, selection, scheduling, and funds disbursement process for the Promotional Support to be provided pursuant to this Letter Agreement.</w:t>
      </w:r>
    </w:p>
    <w:p>
      <w:pPr>
        <w:spacing w:after="0" w:line="149" w:lineRule="exact"/>
        <w:rPr>
          <w:sz w:val="20"/>
          <w:szCs w:val="20"/>
          <w:color w:val="auto"/>
        </w:rPr>
      </w:pPr>
    </w:p>
    <w:p>
      <w:pPr>
        <w:ind w:left="640" w:hanging="632"/>
        <w:spacing w:after="0"/>
        <w:tabs>
          <w:tab w:leader="none" w:pos="64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Supplemental Agreement</w:t>
      </w:r>
      <w:r>
        <w:rPr>
          <w:rFonts w:ascii="Arial" w:cs="Arial" w:eastAsia="Arial" w:hAnsi="Arial"/>
          <w:sz w:val="22"/>
          <w:szCs w:val="22"/>
          <w:color w:val="auto"/>
        </w:rPr>
        <w:t>.</w:t>
      </w:r>
    </w:p>
    <w:p>
      <w:pPr>
        <w:spacing w:after="0" w:line="206" w:lineRule="exact"/>
        <w:rPr>
          <w:sz w:val="20"/>
          <w:szCs w:val="20"/>
          <w:color w:val="auto"/>
        </w:rPr>
      </w:pPr>
    </w:p>
    <w:p>
      <w:pPr>
        <w:ind w:right="140"/>
        <w:spacing w:after="0" w:line="217" w:lineRule="auto"/>
        <w:rPr>
          <w:sz w:val="20"/>
          <w:szCs w:val="20"/>
          <w:color w:val="auto"/>
        </w:rPr>
      </w:pPr>
      <w:r>
        <w:rPr>
          <w:rFonts w:ascii="Arial" w:cs="Arial" w:eastAsia="Arial" w:hAnsi="Arial"/>
          <w:sz w:val="22"/>
          <w:szCs w:val="22"/>
          <w:color w:val="auto"/>
        </w:rPr>
        <w:t>This amended Letter Agreement will be added at the next available supplemental agreement to the Purchase Agreement. For the avoidance of doubt, the parties agree that regardless of when this amended Letter Agreement is incorporated into the Purchase Agreement via a supplemental agreement, this amended Letter Agreement is effective and in full force and effect upon execution by both parties (and such effective date is memorialized on the signature page below).</w:t>
      </w:r>
    </w:p>
    <w:p>
      <w:pPr>
        <w:spacing w:after="0" w:line="152" w:lineRule="exact"/>
        <w:rPr>
          <w:sz w:val="20"/>
          <w:szCs w:val="20"/>
          <w:color w:val="auto"/>
        </w:rPr>
      </w:pPr>
    </w:p>
    <w:p>
      <w:pPr>
        <w:ind w:left="640" w:hanging="632"/>
        <w:spacing w:after="0"/>
        <w:tabs>
          <w:tab w:leader="none" w:pos="64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w:t>
      </w:r>
    </w:p>
    <w:p>
      <w:pPr>
        <w:spacing w:after="0" w:line="149" w:lineRule="exact"/>
        <w:rPr>
          <w:sz w:val="20"/>
          <w:szCs w:val="20"/>
          <w:color w:val="auto"/>
        </w:rPr>
      </w:pPr>
    </w:p>
    <w:p>
      <w:pPr>
        <w:ind w:left="640" w:hanging="632"/>
        <w:spacing w:after="0"/>
        <w:tabs>
          <w:tab w:leader="none" w:pos="64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AAL-PA-03735-LA-1106659R3</w:t>
      </w:r>
      <w:r>
        <w:rPr>
          <w:sz w:val="20"/>
          <w:szCs w:val="20"/>
          <w:color w:val="auto"/>
        </w:rPr>
        <w:tab/>
      </w:r>
      <w:r>
        <w:rPr>
          <w:rFonts w:ascii="Arial" w:cs="Arial" w:eastAsia="Arial" w:hAnsi="Arial"/>
          <w:sz w:val="21"/>
          <w:szCs w:val="21"/>
          <w:color w:val="auto"/>
        </w:rPr>
        <w:t>SA-21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683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3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 The Boeing Company</w:t>
      </w:r>
    </w:p>
    <w:p>
      <w:pPr>
        <w:spacing w:after="0" w:line="99" w:lineRule="exact"/>
        <w:rPr>
          <w:sz w:val="20"/>
          <w:szCs w:val="20"/>
          <w:color w:val="auto"/>
        </w:rPr>
      </w:pPr>
    </w:p>
    <w:p>
      <w:pPr>
        <w:ind w:left="160"/>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70485</wp:posOffset>
            </wp:positionV>
            <wp:extent cx="30600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8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70485</wp:posOffset>
            </wp:positionV>
            <wp:extent cx="30600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1080" w:type="dxa"/>
            <w:vAlign w:val="bottom"/>
          </w:tcPr>
          <w:p>
            <w:pPr>
              <w:spacing w:after="0"/>
              <w:rPr>
                <w:sz w:val="24"/>
                <w:szCs w:val="24"/>
                <w:color w:val="auto"/>
              </w:rPr>
            </w:pPr>
          </w:p>
        </w:tc>
        <w:tc>
          <w:tcPr>
            <w:tcW w:w="3740" w:type="dxa"/>
            <w:vAlign w:val="bottom"/>
          </w:tcPr>
          <w:p>
            <w:pPr>
              <w:ind w:left="60"/>
              <w:spacing w:after="0"/>
              <w:rPr>
                <w:sz w:val="20"/>
                <w:szCs w:val="20"/>
                <w:color w:val="auto"/>
              </w:rPr>
            </w:pPr>
            <w:r>
              <w:rPr>
                <w:rFonts w:ascii="Arial" w:cs="Arial" w:eastAsia="Arial" w:hAnsi="Arial"/>
                <w:sz w:val="22"/>
                <w:szCs w:val="22"/>
                <w:color w:val="auto"/>
              </w:rPr>
              <w:t>December 2, 2021</w:t>
            </w:r>
          </w:p>
        </w:tc>
      </w:tr>
      <w:tr>
        <w:trPr>
          <w:trHeight w:val="80"/>
        </w:trPr>
        <w:tc>
          <w:tcPr>
            <w:tcW w:w="1720" w:type="dxa"/>
            <w:vAlign w:val="bottom"/>
            <w:gridSpan w:val="2"/>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r>
      <w:tr>
        <w:trPr>
          <w:trHeight w:val="588"/>
        </w:trPr>
        <w:tc>
          <w:tcPr>
            <w:tcW w:w="5460" w:type="dxa"/>
            <w:vAlign w:val="bottom"/>
            <w:gridSpan w:val="3"/>
          </w:tcPr>
          <w:p>
            <w:pPr>
              <w:spacing w:after="0"/>
              <w:rPr>
                <w:sz w:val="20"/>
                <w:szCs w:val="20"/>
                <w:color w:val="auto"/>
              </w:rPr>
            </w:pPr>
            <w:r>
              <w:rPr>
                <w:rFonts w:ascii="Arial" w:cs="Arial" w:eastAsia="Arial" w:hAnsi="Arial"/>
                <w:sz w:val="22"/>
                <w:szCs w:val="22"/>
                <w:color w:val="auto"/>
              </w:rPr>
              <w:t>AMERICAN AIRLINES, INC.</w:t>
            </w:r>
          </w:p>
        </w:tc>
      </w:tr>
      <w:tr>
        <w:trPr>
          <w:trHeight w:val="662"/>
        </w:trPr>
        <w:tc>
          <w:tcPr>
            <w:tcW w:w="640" w:type="dxa"/>
            <w:vAlign w:val="bottom"/>
          </w:tcPr>
          <w:p>
            <w:pPr>
              <w:spacing w:after="0"/>
              <w:rPr>
                <w:sz w:val="20"/>
                <w:szCs w:val="20"/>
                <w:color w:val="auto"/>
              </w:rPr>
            </w:pPr>
            <w:r>
              <w:rPr>
                <w:rFonts w:ascii="Arial" w:cs="Arial" w:eastAsia="Arial" w:hAnsi="Arial"/>
                <w:sz w:val="22"/>
                <w:szCs w:val="22"/>
                <w:color w:val="auto"/>
              </w:rPr>
              <w:t>By:</w:t>
            </w:r>
          </w:p>
        </w:tc>
        <w:tc>
          <w:tcPr>
            <w:tcW w:w="4820" w:type="dxa"/>
            <w:vAlign w:val="bottom"/>
            <w:gridSpan w:val="2"/>
          </w:tcPr>
          <w:p>
            <w:pPr>
              <w:ind w:left="60"/>
              <w:spacing w:after="0"/>
              <w:rPr>
                <w:sz w:val="20"/>
                <w:szCs w:val="20"/>
                <w:color w:val="auto"/>
              </w:rPr>
            </w:pPr>
            <w:r>
              <w:rPr>
                <w:rFonts w:ascii="Arial" w:cs="Arial" w:eastAsia="Arial" w:hAnsi="Arial"/>
                <w:sz w:val="22"/>
                <w:szCs w:val="22"/>
                <w:color w:val="auto"/>
              </w:rPr>
              <w:t>/s/ American Airlines, Inc.</w:t>
            </w:r>
          </w:p>
        </w:tc>
      </w:tr>
      <w:tr>
        <w:trPr>
          <w:trHeight w:val="80"/>
        </w:trPr>
        <w:tc>
          <w:tcPr>
            <w:tcW w:w="64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r>
      <w:tr>
        <w:trPr>
          <w:trHeight w:val="588"/>
        </w:trPr>
        <w:tc>
          <w:tcPr>
            <w:tcW w:w="640" w:type="dxa"/>
            <w:vAlign w:val="bottom"/>
          </w:tcPr>
          <w:p>
            <w:pPr>
              <w:spacing w:after="0"/>
              <w:rPr>
                <w:sz w:val="20"/>
                <w:szCs w:val="20"/>
                <w:color w:val="auto"/>
              </w:rPr>
            </w:pPr>
            <w:r>
              <w:rPr>
                <w:rFonts w:ascii="Arial" w:cs="Arial" w:eastAsia="Arial" w:hAnsi="Arial"/>
                <w:sz w:val="22"/>
                <w:szCs w:val="22"/>
                <w:color w:val="auto"/>
              </w:rPr>
              <w:t>Its:</w:t>
            </w:r>
          </w:p>
        </w:tc>
        <w:tc>
          <w:tcPr>
            <w:tcW w:w="4820" w:type="dxa"/>
            <w:vAlign w:val="bottom"/>
            <w:gridSpan w:val="2"/>
          </w:tcPr>
          <w:p>
            <w:pPr>
              <w:ind w:left="60"/>
              <w:spacing w:after="0"/>
              <w:rPr>
                <w:sz w:val="20"/>
                <w:szCs w:val="20"/>
                <w:color w:val="auto"/>
              </w:rPr>
            </w:pPr>
            <w:r>
              <w:rPr>
                <w:rFonts w:ascii="Arial" w:cs="Arial" w:eastAsia="Arial" w:hAnsi="Arial"/>
                <w:sz w:val="22"/>
                <w:szCs w:val="22"/>
                <w:color w:val="auto"/>
              </w:rPr>
              <w:t>VP, Treasurer</w:t>
            </w:r>
          </w:p>
        </w:tc>
      </w:tr>
      <w:tr>
        <w:trPr>
          <w:trHeight w:val="80"/>
        </w:trPr>
        <w:tc>
          <w:tcPr>
            <w:tcW w:w="64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AAL-PA-03735-LA-1106659R3</w:t>
      </w:r>
      <w:r>
        <w:rPr>
          <w:sz w:val="20"/>
          <w:szCs w:val="20"/>
          <w:color w:val="auto"/>
        </w:rPr>
        <w:tab/>
      </w:r>
      <w:r>
        <w:rPr>
          <w:rFonts w:ascii="Arial" w:cs="Arial" w:eastAsia="Arial" w:hAnsi="Arial"/>
          <w:sz w:val="21"/>
          <w:szCs w:val="21"/>
          <w:color w:val="auto"/>
        </w:rPr>
        <w:t>SA-21</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4</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35" w:name="page136"/>
    <w:bookmarkEnd w:id="135"/>
    <w:p>
      <w:pPr>
        <w:ind w:left="10240"/>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0575" cy="2832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42" w:lineRule="exact"/>
        <w:rPr>
          <w:sz w:val="20"/>
          <w:szCs w:val="20"/>
          <w:color w:val="auto"/>
        </w:rPr>
      </w:pPr>
    </w:p>
    <w:p>
      <w:pPr>
        <w:ind w:left="40" w:right="100"/>
        <w:spacing w:after="0" w:line="249" w:lineRule="auto"/>
        <w:rPr>
          <w:sz w:val="20"/>
          <w:szCs w:val="20"/>
          <w:color w:val="auto"/>
        </w:rPr>
      </w:pPr>
      <w:r>
        <w:rPr>
          <w:rFonts w:ascii="Arial" w:cs="Arial" w:eastAsia="Arial" w:hAnsi="Arial"/>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SUPPLEMENTAL AGREEMENT NO. 22</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PURCHASE AGREEMENT NO. 03735</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between</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THE BOEING COMPANY</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AMERICAN AIRLINES, INC.</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Relating to Boeing Model 737 MAX Aircraft</w:t>
      </w:r>
    </w:p>
    <w:p>
      <w:pPr>
        <w:spacing w:after="0" w:line="206" w:lineRule="exact"/>
        <w:rPr>
          <w:sz w:val="20"/>
          <w:szCs w:val="20"/>
          <w:color w:val="auto"/>
        </w:rPr>
      </w:pPr>
    </w:p>
    <w:p>
      <w:pPr>
        <w:jc w:val="both"/>
        <w:ind w:right="20" w:firstLine="648"/>
        <w:spacing w:after="0" w:line="210" w:lineRule="auto"/>
        <w:rPr>
          <w:sz w:val="20"/>
          <w:szCs w:val="20"/>
          <w:color w:val="auto"/>
        </w:rPr>
      </w:pPr>
      <w:r>
        <w:rPr>
          <w:rFonts w:ascii="Arial" w:cs="Arial" w:eastAsia="Arial" w:hAnsi="Arial"/>
          <w:sz w:val="22"/>
          <w:szCs w:val="22"/>
          <w:color w:val="auto"/>
        </w:rPr>
        <w:t>This SUPPLEMENTAL AGREEMENT No. 22 (</w:t>
      </w:r>
      <w:r>
        <w:rPr>
          <w:rFonts w:ascii="Arial" w:cs="Arial" w:eastAsia="Arial" w:hAnsi="Arial"/>
          <w:sz w:val="22"/>
          <w:szCs w:val="22"/>
          <w:b w:val="1"/>
          <w:bCs w:val="1"/>
          <w:i w:val="1"/>
          <w:iCs w:val="1"/>
          <w:color w:val="auto"/>
        </w:rPr>
        <w:t>SA-</w:t>
      </w:r>
      <w:r>
        <w:rPr>
          <w:rFonts w:ascii="Arial" w:cs="Arial" w:eastAsia="Arial" w:hAnsi="Arial"/>
          <w:sz w:val="22"/>
          <w:szCs w:val="22"/>
          <w:b w:val="1"/>
          <w:bCs w:val="1"/>
          <w:color w:val="auto"/>
        </w:rPr>
        <w:t>22</w:t>
      </w:r>
      <w:r>
        <w:rPr>
          <w:rFonts w:ascii="Arial" w:cs="Arial" w:eastAsia="Arial" w:hAnsi="Arial"/>
          <w:sz w:val="22"/>
          <w:szCs w:val="22"/>
          <w:i w:val="1"/>
          <w:iCs w:val="1"/>
          <w:color w:val="auto"/>
        </w:rPr>
        <w:t>)</w:t>
      </w:r>
      <w:r>
        <w:rPr>
          <w:rFonts w:ascii="Arial" w:cs="Arial" w:eastAsia="Arial" w:hAnsi="Arial"/>
          <w:sz w:val="22"/>
          <w:szCs w:val="22"/>
          <w:color w:val="auto"/>
        </w:rPr>
        <w:t xml:space="preserve"> To PURCHASE AGREEMENT NO. 03735, entered into as of January _</w:t>
      </w:r>
      <w:r>
        <w:rPr>
          <w:rFonts w:ascii="Arial" w:cs="Arial" w:eastAsia="Arial" w:hAnsi="Arial"/>
          <w:sz w:val="22"/>
          <w:szCs w:val="22"/>
          <w:u w:val="single" w:color="auto"/>
          <w:color w:val="auto"/>
        </w:rPr>
        <w:t>31</w:t>
      </w:r>
      <w:r>
        <w:rPr>
          <w:rFonts w:ascii="Arial" w:cs="Arial" w:eastAsia="Arial" w:hAnsi="Arial"/>
          <w:sz w:val="22"/>
          <w:szCs w:val="22"/>
          <w:color w:val="auto"/>
        </w:rPr>
        <w:t>__, 2022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THE BOEING COMPANY, a Delaware corporation with offices in Seattle, Washington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a Delaware corporation with offices in Fort Worth, Texas, together with its successors and permitted assigns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w:t>
      </w:r>
    </w:p>
    <w:p>
      <w:pPr>
        <w:spacing w:after="0" w:line="1"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22"/>
          <w:szCs w:val="22"/>
          <w:color w:val="auto"/>
        </w:rPr>
        <w:t>WHEREAS, Boeing and Customer entered into Purchase Agreement No. 03735 dated February 1, 2013 relating to Boeing Model 737 MAX Aircraft, as amended and supplemented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and capitalized terms used herein without definitions shall have the meanings specified therefore in such Purchase Agreement;</w:t>
      </w:r>
    </w:p>
    <w:p>
      <w:pPr>
        <w:spacing w:after="0" w:line="179" w:lineRule="exact"/>
        <w:rPr>
          <w:sz w:val="20"/>
          <w:szCs w:val="20"/>
          <w:color w:val="auto"/>
        </w:rPr>
      </w:pPr>
    </w:p>
    <w:p>
      <w:pPr>
        <w:jc w:val="both"/>
        <w:ind w:right="20" w:firstLine="306"/>
        <w:spacing w:after="0" w:line="220" w:lineRule="auto"/>
        <w:rPr>
          <w:sz w:val="20"/>
          <w:szCs w:val="20"/>
          <w:color w:val="auto"/>
        </w:rPr>
      </w:pPr>
      <w:r>
        <w:rPr>
          <w:rFonts w:ascii="Arial" w:cs="Arial" w:eastAsia="Arial" w:hAnsi="Arial"/>
          <w:sz w:val="22"/>
          <w:szCs w:val="22"/>
          <w:color w:val="auto"/>
        </w:rPr>
        <w:t>WHEREAS, [****] to the [****] Aircraft that Customer had previously [****] as set forth in Table 1R12, 1-2, 1-3R6, and 1-4 to the Purchase Agreement, Customer [****] with the execution of this SA-22, [****] in Attachment A(R4) to Letter Agreement No. AAL-PA-03735-LA-1106651R4 entitled “[****]</w:t>
      </w:r>
      <w:r>
        <w:rPr>
          <w:rFonts w:ascii="Arial" w:cs="Arial" w:eastAsia="Arial" w:hAnsi="Arial"/>
          <w:sz w:val="22"/>
          <w:szCs w:val="22"/>
          <w:u w:val="single" w:color="auto"/>
          <w:color w:val="auto"/>
        </w:rPr>
        <w:t>” (</w:t>
      </w:r>
      <w:r>
        <w:rPr>
          <w:rFonts w:ascii="Arial" w:cs="Arial" w:eastAsia="Arial" w:hAnsi="Arial"/>
          <w:sz w:val="22"/>
          <w:szCs w:val="22"/>
          <w:color w:val="auto"/>
        </w:rPr>
        <w:t xml:space="preserve">[****] </w:t>
      </w:r>
      <w:r>
        <w:rPr>
          <w:rFonts w:ascii="Arial" w:cs="Arial" w:eastAsia="Arial" w:hAnsi="Arial"/>
          <w:sz w:val="22"/>
          <w:szCs w:val="22"/>
          <w:b w:val="1"/>
          <w:bCs w:val="1"/>
          <w:color w:val="auto"/>
        </w:rPr>
        <w:t>Letter Agreement</w:t>
      </w:r>
      <w:r>
        <w:rPr>
          <w:rFonts w:ascii="Arial" w:cs="Arial" w:eastAsia="Arial" w:hAnsi="Arial"/>
          <w:sz w:val="22"/>
          <w:szCs w:val="22"/>
          <w:color w:val="auto"/>
        </w:rPr>
        <w:t>) with [****] as shown in the table below, pursuant to the terms and conditions of the [****] Letter Agreement:</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5640" w:type="dxa"/>
            <w:vAlign w:val="bottom"/>
            <w:tcBorders>
              <w:top w:val="single" w:sz="8" w:color="auto"/>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top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0"/>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r>
        <w:trPr>
          <w:trHeight w:val="345"/>
        </w:trPr>
        <w:tc>
          <w:tcPr>
            <w:tcW w:w="5640" w:type="dxa"/>
            <w:vAlign w:val="bottom"/>
            <w:tcBorders>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0"/>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r>
        <w:trPr>
          <w:trHeight w:val="345"/>
        </w:trPr>
        <w:tc>
          <w:tcPr>
            <w:tcW w:w="5640" w:type="dxa"/>
            <w:vAlign w:val="bottom"/>
            <w:tcBorders>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1"/>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r>
        <w:trPr>
          <w:trHeight w:val="345"/>
        </w:trPr>
        <w:tc>
          <w:tcPr>
            <w:tcW w:w="5640" w:type="dxa"/>
            <w:vAlign w:val="bottom"/>
            <w:tcBorders>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1"/>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r>
        <w:trPr>
          <w:trHeight w:val="345"/>
        </w:trPr>
        <w:tc>
          <w:tcPr>
            <w:tcW w:w="5640" w:type="dxa"/>
            <w:vAlign w:val="bottom"/>
            <w:tcBorders>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1"/>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r>
        <w:trPr>
          <w:trHeight w:val="345"/>
        </w:trPr>
        <w:tc>
          <w:tcPr>
            <w:tcW w:w="5640" w:type="dxa"/>
            <w:vAlign w:val="bottom"/>
            <w:tcBorders>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1"/>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r>
        <w:trPr>
          <w:trHeight w:val="345"/>
        </w:trPr>
        <w:tc>
          <w:tcPr>
            <w:tcW w:w="5640" w:type="dxa"/>
            <w:vAlign w:val="bottom"/>
            <w:tcBorders>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0"/>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r>
        <w:trPr>
          <w:trHeight w:val="345"/>
        </w:trPr>
        <w:tc>
          <w:tcPr>
            <w:tcW w:w="5640" w:type="dxa"/>
            <w:vAlign w:val="bottom"/>
            <w:tcBorders>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0"/>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r>
        <w:trPr>
          <w:trHeight w:val="345"/>
        </w:trPr>
        <w:tc>
          <w:tcPr>
            <w:tcW w:w="5640" w:type="dxa"/>
            <w:vAlign w:val="bottom"/>
            <w:tcBorders>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0"/>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r>
        <w:trPr>
          <w:trHeight w:val="345"/>
        </w:trPr>
        <w:tc>
          <w:tcPr>
            <w:tcW w:w="5640" w:type="dxa"/>
            <w:vAlign w:val="bottom"/>
            <w:tcBorders>
              <w:left w:val="single" w:sz="8" w:color="auto"/>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c>
          <w:tcPr>
            <w:tcW w:w="5620" w:type="dxa"/>
            <w:vAlign w:val="bottom"/>
            <w:tcBorders>
              <w:right w:val="single" w:sz="8" w:color="auto"/>
            </w:tcBorders>
          </w:tcPr>
          <w:p>
            <w:pPr>
              <w:jc w:val="right"/>
              <w:ind w:right="2492"/>
              <w:spacing w:after="0"/>
              <w:rPr>
                <w:sz w:val="20"/>
                <w:szCs w:val="20"/>
                <w:color w:val="auto"/>
              </w:rPr>
            </w:pPr>
            <w:r>
              <w:rPr>
                <w:rFonts w:ascii="Arial" w:cs="Arial" w:eastAsia="Arial" w:hAnsi="Arial"/>
                <w:sz w:val="22"/>
                <w:szCs w:val="22"/>
                <w:color w:val="auto"/>
              </w:rPr>
              <w:t>[****]</w:t>
            </w:r>
          </w:p>
        </w:tc>
      </w:tr>
      <w:tr>
        <w:trPr>
          <w:trHeight w:val="81"/>
        </w:trPr>
        <w:tc>
          <w:tcPr>
            <w:tcW w:w="5640" w:type="dxa"/>
            <w:vAlign w:val="bottom"/>
            <w:tcBorders>
              <w:left w:val="single" w:sz="8" w:color="auto"/>
              <w:bottom w:val="single" w:sz="8" w:color="auto"/>
              <w:right w:val="single" w:sz="8" w:color="auto"/>
            </w:tcBorders>
          </w:tcPr>
          <w:p>
            <w:pPr>
              <w:spacing w:after="0"/>
              <w:rPr>
                <w:sz w:val="7"/>
                <w:szCs w:val="7"/>
                <w:color w:val="auto"/>
              </w:rPr>
            </w:pPr>
          </w:p>
        </w:tc>
        <w:tc>
          <w:tcPr>
            <w:tcW w:w="562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SA-22, Page 1</w:t>
      </w:r>
    </w:p>
    <w:p>
      <w:pPr>
        <w:jc w:val="center"/>
        <w:ind w:right="2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60"/>
          </w:cols>
          <w:pgMar w:left="320" w:top="121" w:right="319" w:bottom="1440" w:gutter="0" w:footer="0" w:header="0"/>
        </w:sectPr>
      </w:pPr>
    </w:p>
    <w:bookmarkStart w:id="136" w:name="page137"/>
    <w:bookmarkEnd w:id="136"/>
    <w:p>
      <w:pPr>
        <w:ind w:left="73" w:firstLine="320"/>
        <w:spacing w:after="0" w:line="236" w:lineRule="auto"/>
        <w:rPr>
          <w:sz w:val="20"/>
          <w:szCs w:val="20"/>
          <w:color w:val="auto"/>
        </w:rPr>
      </w:pPr>
      <w:r>
        <w:rPr>
          <w:rFonts w:ascii="Arial" w:cs="Arial" w:eastAsia="Arial" w:hAnsi="Arial"/>
          <w:sz w:val="22"/>
          <w:szCs w:val="22"/>
          <w:color w:val="auto"/>
        </w:rPr>
        <w:t>WHEREAS, Boeing [****] to [****] Customer the [****] model 737-8 aircraft as [****] with [****] in [****] based on the same terms and conditions as specified in the [****] Letter Agreement;</w:t>
      </w:r>
    </w:p>
    <w:p>
      <w:pPr>
        <w:spacing w:after="0" w:line="178" w:lineRule="exact"/>
        <w:rPr>
          <w:sz w:val="20"/>
          <w:szCs w:val="20"/>
          <w:color w:val="auto"/>
        </w:rPr>
      </w:pPr>
    </w:p>
    <w:p>
      <w:pPr>
        <w:ind w:left="73" w:right="20" w:firstLine="648"/>
        <w:spacing w:after="0" w:line="236" w:lineRule="auto"/>
        <w:rPr>
          <w:sz w:val="20"/>
          <w:szCs w:val="20"/>
          <w:color w:val="auto"/>
        </w:rPr>
      </w:pPr>
      <w:r>
        <w:rPr>
          <w:rFonts w:ascii="Arial" w:cs="Arial" w:eastAsia="Arial" w:hAnsi="Arial"/>
          <w:sz w:val="22"/>
          <w:szCs w:val="22"/>
          <w:color w:val="auto"/>
        </w:rPr>
        <w:t>WHEREAS, Boeing and Customer agree to [****] Letter Agreement No. AAL-PA-03735-LA-1106650R5 entitled “[****]” to [****] with[****]; and</w:t>
      </w:r>
    </w:p>
    <w:p>
      <w:pPr>
        <w:spacing w:after="0" w:line="178" w:lineRule="exact"/>
        <w:rPr>
          <w:sz w:val="20"/>
          <w:szCs w:val="20"/>
          <w:color w:val="auto"/>
        </w:rPr>
      </w:pPr>
    </w:p>
    <w:p>
      <w:pPr>
        <w:ind w:left="73" w:firstLine="648"/>
        <w:spacing w:after="0" w:line="236" w:lineRule="auto"/>
        <w:rPr>
          <w:sz w:val="20"/>
          <w:szCs w:val="20"/>
          <w:color w:val="auto"/>
        </w:rPr>
      </w:pPr>
      <w:r>
        <w:rPr>
          <w:rFonts w:ascii="Arial" w:cs="Arial" w:eastAsia="Arial" w:hAnsi="Arial"/>
          <w:sz w:val="22"/>
          <w:szCs w:val="22"/>
          <w:color w:val="auto"/>
        </w:rPr>
        <w:t>WHEREAS, Boeing and Customer agree to [****] Attachments A and B to Letter Agreement No. AAL-PA-03735-LA-1106652 entitled “[****]” to [****].</w:t>
      </w:r>
    </w:p>
    <w:p>
      <w:pPr>
        <w:spacing w:after="0" w:line="161" w:lineRule="exact"/>
        <w:rPr>
          <w:sz w:val="20"/>
          <w:szCs w:val="20"/>
          <w:color w:val="auto"/>
        </w:rPr>
      </w:pPr>
    </w:p>
    <w:p>
      <w:pPr>
        <w:ind w:left="733"/>
        <w:spacing w:after="0"/>
        <w:rPr>
          <w:sz w:val="20"/>
          <w:szCs w:val="20"/>
          <w:color w:val="auto"/>
        </w:rPr>
      </w:pPr>
      <w:r>
        <w:rPr>
          <w:rFonts w:ascii="Arial" w:cs="Arial" w:eastAsia="Arial" w:hAnsi="Arial"/>
          <w:sz w:val="22"/>
          <w:szCs w:val="22"/>
          <w:color w:val="auto"/>
        </w:rPr>
        <w:t>NOW, THEREFORE, in consideration of the mutual covenants herein contained, the parties agree that the</w:t>
      </w:r>
    </w:p>
    <w:p>
      <w:pPr>
        <w:ind w:left="73"/>
        <w:spacing w:after="0"/>
        <w:rPr>
          <w:sz w:val="20"/>
          <w:szCs w:val="20"/>
          <w:color w:val="auto"/>
        </w:rPr>
      </w:pPr>
      <w:r>
        <w:rPr>
          <w:rFonts w:ascii="Arial" w:cs="Arial" w:eastAsia="Arial" w:hAnsi="Arial"/>
          <w:sz w:val="22"/>
          <w:szCs w:val="22"/>
          <w:color w:val="auto"/>
        </w:rPr>
        <w:t>Purchase Agreement is amended and supplemented as set forth below and otherwise agree as follows:</w:t>
      </w:r>
    </w:p>
    <w:p>
      <w:pPr>
        <w:spacing w:after="0" w:line="169" w:lineRule="exact"/>
        <w:rPr>
          <w:sz w:val="20"/>
          <w:szCs w:val="20"/>
          <w:color w:val="auto"/>
        </w:rPr>
      </w:pPr>
    </w:p>
    <w:p>
      <w:pPr>
        <w:ind w:left="713" w:hanging="632"/>
        <w:spacing w:after="0"/>
        <w:tabs>
          <w:tab w:leader="none" w:pos="713"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Table of Contents</w:t>
      </w:r>
      <w:r>
        <w:rPr>
          <w:rFonts w:ascii="Arial" w:cs="Arial" w:eastAsia="Arial" w:hAnsi="Arial"/>
          <w:sz w:val="22"/>
          <w:szCs w:val="22"/>
          <w:color w:val="auto"/>
        </w:rPr>
        <w:t>.</w:t>
      </w:r>
    </w:p>
    <w:p>
      <w:pPr>
        <w:ind w:left="733"/>
        <w:spacing w:after="0" w:line="204" w:lineRule="auto"/>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Table Of Contents</w:t>
      </w:r>
      <w:r>
        <w:rPr>
          <w:rFonts w:ascii="Arial" w:cs="Arial" w:eastAsia="Arial" w:hAnsi="Arial"/>
          <w:sz w:val="22"/>
          <w:szCs w:val="22"/>
          <w:color w:val="auto"/>
        </w:rPr>
        <w:t>” to the Purchase Agreement referencing SA-21 in the footer is deleted in its entirety</w:t>
      </w:r>
    </w:p>
    <w:p>
      <w:pPr>
        <w:spacing w:after="0" w:line="1" w:lineRule="exact"/>
        <w:rPr>
          <w:sz w:val="20"/>
          <w:szCs w:val="20"/>
          <w:color w:val="auto"/>
        </w:rPr>
      </w:pPr>
    </w:p>
    <w:p>
      <w:pPr>
        <w:jc w:val="both"/>
        <w:ind w:left="73"/>
        <w:spacing w:after="0" w:line="204" w:lineRule="auto"/>
        <w:rPr>
          <w:sz w:val="20"/>
          <w:szCs w:val="20"/>
          <w:color w:val="auto"/>
        </w:rPr>
      </w:pPr>
      <w:r>
        <w:rPr>
          <w:rFonts w:ascii="Arial" w:cs="Arial" w:eastAsia="Arial" w:hAnsi="Arial"/>
          <w:sz w:val="22"/>
          <w:szCs w:val="22"/>
          <w:color w:val="auto"/>
        </w:rPr>
        <w:t>and is replaced with the new “</w:t>
      </w:r>
      <w:r>
        <w:rPr>
          <w:rFonts w:ascii="Arial" w:cs="Arial" w:eastAsia="Arial" w:hAnsi="Arial"/>
          <w:sz w:val="22"/>
          <w:szCs w:val="22"/>
          <w:u w:val="single" w:color="auto"/>
          <w:color w:val="auto"/>
        </w:rPr>
        <w:t>Table Of Contents</w:t>
      </w:r>
      <w:r>
        <w:rPr>
          <w:rFonts w:ascii="Arial" w:cs="Arial" w:eastAsia="Arial" w:hAnsi="Arial"/>
          <w:sz w:val="22"/>
          <w:szCs w:val="22"/>
          <w:color w:val="auto"/>
        </w:rPr>
        <w:t>” (attached hereto) referencing SA-22 in the footer to reflect changes made to the Purchase Agreement by this SA-22. Such new Table of Contents is hereby incorporated into the Purchase Agreement in replacement of its predecessor.</w:t>
      </w:r>
    </w:p>
    <w:p>
      <w:pPr>
        <w:ind w:left="713" w:hanging="632"/>
        <w:spacing w:after="0" w:line="207" w:lineRule="auto"/>
        <w:tabs>
          <w:tab w:leader="none" w:pos="713"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Tables</w:t>
      </w:r>
      <w:r>
        <w:rPr>
          <w:rFonts w:ascii="Arial" w:cs="Arial" w:eastAsia="Arial" w:hAnsi="Arial"/>
          <w:sz w:val="22"/>
          <w:szCs w:val="22"/>
          <w:color w:val="auto"/>
        </w:rPr>
        <w:t>.</w:t>
      </w:r>
    </w:p>
    <w:p>
      <w:pPr>
        <w:ind w:left="733"/>
        <w:spacing w:after="0" w:line="214" w:lineRule="auto"/>
        <w:rPr>
          <w:rFonts w:ascii="Arial" w:cs="Arial" w:eastAsia="Arial" w:hAnsi="Arial"/>
          <w:sz w:val="22"/>
          <w:szCs w:val="22"/>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Table 1-4</w:t>
      </w:r>
      <w:r>
        <w:rPr>
          <w:rFonts w:ascii="Arial" w:cs="Arial" w:eastAsia="Arial" w:hAnsi="Arial"/>
          <w:sz w:val="21"/>
          <w:szCs w:val="21"/>
          <w:color w:val="auto"/>
        </w:rPr>
        <w:t>. Table 1-4 entitled “</w:t>
      </w:r>
      <w:r>
        <w:rPr>
          <w:rFonts w:ascii="Arial" w:cs="Arial" w:eastAsia="Arial" w:hAnsi="Arial"/>
          <w:sz w:val="21"/>
          <w:szCs w:val="21"/>
          <w:u w:val="single" w:color="auto"/>
          <w:color w:val="auto"/>
        </w:rPr>
        <w:t>737-8 [****] Aircraft Delivery, Description, Price and Advance Payments</w:t>
      </w:r>
      <w:r>
        <w:rPr>
          <w:rFonts w:ascii="Arial" w:cs="Arial" w:eastAsia="Arial" w:hAnsi="Arial"/>
          <w:sz w:val="21"/>
          <w:szCs w:val="21"/>
          <w:color w:val="auto"/>
        </w:rPr>
        <w:t>” is</w:t>
      </w:r>
    </w:p>
    <w:p>
      <w:pPr>
        <w:spacing w:after="0" w:line="1" w:lineRule="exact"/>
        <w:rPr>
          <w:sz w:val="20"/>
          <w:szCs w:val="20"/>
          <w:color w:val="auto"/>
        </w:rPr>
      </w:pPr>
    </w:p>
    <w:p>
      <w:pPr>
        <w:jc w:val="both"/>
        <w:ind w:left="73"/>
        <w:spacing w:after="0" w:line="204" w:lineRule="auto"/>
        <w:rPr>
          <w:sz w:val="20"/>
          <w:szCs w:val="20"/>
          <w:color w:val="auto"/>
        </w:rPr>
      </w:pPr>
      <w:r>
        <w:rPr>
          <w:rFonts w:ascii="Arial" w:cs="Arial" w:eastAsia="Arial" w:hAnsi="Arial"/>
          <w:sz w:val="22"/>
          <w:szCs w:val="22"/>
          <w:color w:val="auto"/>
        </w:rPr>
        <w:t>hereby deleted in its entirety and replaced with Table 1-4R1 entitled “</w:t>
      </w:r>
      <w:r>
        <w:rPr>
          <w:rFonts w:ascii="Arial" w:cs="Arial" w:eastAsia="Arial" w:hAnsi="Arial"/>
          <w:sz w:val="22"/>
          <w:szCs w:val="22"/>
          <w:u w:val="single" w:color="auto"/>
          <w:color w:val="auto"/>
        </w:rPr>
        <w:t>737-8 [****] Aircraft Delivery, Description, Price</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 Advance Payments</w:t>
      </w:r>
      <w:r>
        <w:rPr>
          <w:rFonts w:ascii="Arial" w:cs="Arial" w:eastAsia="Arial" w:hAnsi="Arial"/>
          <w:sz w:val="22"/>
          <w:szCs w:val="22"/>
          <w:color w:val="auto"/>
        </w:rPr>
        <w:t>” (attached hereto) referencing SA-22 in the footer is hereby incorporated into the Purchase Agreement in replacement of Table 1-4. For avoidance of doubt, the only difference between Table 1-4 and Table 1-4R1 is the [****] in the Purchase Agreement, resulting in Table 1-4(R1).</w:t>
      </w:r>
    </w:p>
    <w:p>
      <w:pPr>
        <w:ind w:left="773" w:hanging="692"/>
        <w:spacing w:after="0" w:line="208" w:lineRule="auto"/>
        <w:tabs>
          <w:tab w:leader="none" w:pos="773"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Letter Agreements</w:t>
      </w:r>
      <w:r>
        <w:rPr>
          <w:rFonts w:ascii="Arial" w:cs="Arial" w:eastAsia="Arial" w:hAnsi="Arial"/>
          <w:sz w:val="22"/>
          <w:szCs w:val="22"/>
          <w:color w:val="auto"/>
        </w:rPr>
        <w:t>.</w:t>
      </w:r>
    </w:p>
    <w:p>
      <w:pPr>
        <w:spacing w:after="0" w:line="1" w:lineRule="exact"/>
        <w:rPr>
          <w:sz w:val="20"/>
          <w:szCs w:val="20"/>
          <w:color w:val="auto"/>
        </w:rPr>
      </w:pPr>
    </w:p>
    <w:p>
      <w:pPr>
        <w:jc w:val="both"/>
        <w:ind w:left="73" w:firstLine="648"/>
        <w:spacing w:after="0" w:line="204" w:lineRule="auto"/>
        <w:rPr>
          <w:sz w:val="20"/>
          <w:szCs w:val="20"/>
          <w:color w:val="auto"/>
        </w:rPr>
      </w:pPr>
      <w:r>
        <w:rPr>
          <w:rFonts w:ascii="Arial" w:cs="Arial" w:eastAsia="Arial" w:hAnsi="Arial"/>
          <w:sz w:val="22"/>
          <w:szCs w:val="22"/>
          <w:color w:val="auto"/>
        </w:rPr>
        <w:t>3.1 Letter Agreement No. AAL-PA-03735-LA-1106650R5 entitled [****] is hereby deleted in its entirety and replaced with Letter Agreement No. AAL-PA-03735-LA-1106650R6 entitled [****] (attached hereto) ([****]) referencing SA-22 in the footer. The [****] is hereby incorporated into the Purchase Agreement.</w:t>
      </w:r>
    </w:p>
    <w:p>
      <w:pPr>
        <w:spacing w:after="0" w:line="3" w:lineRule="exact"/>
        <w:rPr>
          <w:sz w:val="20"/>
          <w:szCs w:val="20"/>
          <w:color w:val="auto"/>
        </w:rPr>
      </w:pPr>
    </w:p>
    <w:p>
      <w:pPr>
        <w:jc w:val="both"/>
        <w:ind w:left="73" w:firstLine="648"/>
        <w:spacing w:after="0" w:line="216" w:lineRule="auto"/>
        <w:rPr>
          <w:sz w:val="20"/>
          <w:szCs w:val="20"/>
          <w:color w:val="auto"/>
        </w:rPr>
      </w:pPr>
      <w:r>
        <w:rPr>
          <w:rFonts w:ascii="Arial" w:cs="Arial" w:eastAsia="Arial" w:hAnsi="Arial"/>
          <w:sz w:val="22"/>
          <w:szCs w:val="22"/>
          <w:color w:val="auto"/>
        </w:rPr>
        <w:t>3.2 Letter Agreement No. AAL-PA-03735-LA-1106651R4 (including Attachment A(R4) entitled [****] is hereby deleted in its entirety and replaced with Letter Agreement No. AAL-PA-03735-LA-1106651R5 (including Attachment A(R5) (attached hereto) entitled [****] ([****]) referencing SA-22 in the footer. The [****] is hereby incorporated into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-445135</wp:posOffset>
            </wp:positionV>
            <wp:extent cx="381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100" cy="8890"/>
                    </a:xfrm>
                    <a:prstGeom prst="rect">
                      <a:avLst/>
                    </a:prstGeom>
                    <a:noFill/>
                  </pic:spPr>
                </pic:pic>
              </a:graphicData>
            </a:graphic>
          </wp:anchor>
        </w:drawing>
      </w:r>
    </w:p>
    <w:p>
      <w:pPr>
        <w:spacing w:after="0" w:line="156" w:lineRule="exact"/>
        <w:rPr>
          <w:sz w:val="20"/>
          <w:szCs w:val="20"/>
          <w:color w:val="auto"/>
        </w:rPr>
      </w:pPr>
    </w:p>
    <w:p>
      <w:pPr>
        <w:jc w:val="both"/>
        <w:ind w:left="73" w:firstLine="648"/>
        <w:spacing w:after="0" w:line="220" w:lineRule="auto"/>
        <w:rPr>
          <w:sz w:val="20"/>
          <w:szCs w:val="20"/>
          <w:color w:val="auto"/>
        </w:rPr>
      </w:pPr>
      <w:r>
        <w:rPr>
          <w:rFonts w:ascii="Arial" w:cs="Arial" w:eastAsia="Arial" w:hAnsi="Arial"/>
          <w:sz w:val="22"/>
          <w:szCs w:val="22"/>
          <w:color w:val="auto"/>
        </w:rPr>
        <w:t>3.3 Letter Agreement No. AAL-PA-03735-LA-1106652 (including Attachment A and B) entitled [****] is hereby deleted in its entirety and replaced with Letter Agreement No. AAL-PA-03735-LA-1106652R1 (including Attachment AR1 and BR1) (attached hereto) entitled [****] ([****]) referencing SA-22 in the footer. The [****] is hereby incorporated into the Purchase Agreement.</w:t>
      </w:r>
    </w:p>
    <w:p>
      <w:pPr>
        <w:spacing w:after="0" w:line="162" w:lineRule="exact"/>
        <w:rPr>
          <w:sz w:val="20"/>
          <w:szCs w:val="20"/>
          <w:color w:val="auto"/>
        </w:rPr>
      </w:pPr>
    </w:p>
    <w:p>
      <w:pPr>
        <w:ind w:left="713" w:hanging="713"/>
        <w:spacing w:after="0"/>
        <w:tabs>
          <w:tab w:leader="none" w:pos="713"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p>
    <w:p>
      <w:pPr>
        <w:ind w:left="733"/>
        <w:spacing w:after="0" w:line="204" w:lineRule="auto"/>
        <w:rPr>
          <w:rFonts w:ascii="Arial" w:cs="Arial" w:eastAsia="Arial" w:hAnsi="Arial"/>
          <w:sz w:val="22"/>
          <w:szCs w:val="22"/>
          <w:color w:val="auto"/>
        </w:rPr>
      </w:pPr>
      <w:r>
        <w:rPr>
          <w:rFonts w:ascii="Arial" w:cs="Arial" w:eastAsia="Arial" w:hAnsi="Arial"/>
          <w:sz w:val="22"/>
          <w:szCs w:val="22"/>
          <w:color w:val="auto"/>
        </w:rPr>
        <w:t>4.1   [****] for the [****], and[****] for the [****] 737-8 [****] ([****]) are [****] per Section 6 of the [****] and as</w:t>
      </w:r>
    </w:p>
    <w:p>
      <w:pPr>
        <w:ind w:left="73"/>
        <w:spacing w:after="0" w:line="205" w:lineRule="auto"/>
        <w:rPr>
          <w:sz w:val="20"/>
          <w:szCs w:val="20"/>
          <w:color w:val="auto"/>
        </w:rPr>
      </w:pPr>
      <w:r>
        <w:rPr>
          <w:rFonts w:ascii="Arial" w:cs="Arial" w:eastAsia="Arial" w:hAnsi="Arial"/>
          <w:sz w:val="22"/>
          <w:szCs w:val="22"/>
          <w:color w:val="auto"/>
        </w:rPr>
        <w:t>specified in the [****], as summarized below:</w:t>
      </w:r>
    </w:p>
    <w:p>
      <w:pPr>
        <w:spacing w:after="0" w:line="1" w:lineRule="exact"/>
        <w:rPr>
          <w:sz w:val="20"/>
          <w:szCs w:val="20"/>
          <w:color w:val="auto"/>
        </w:rPr>
      </w:pPr>
    </w:p>
    <w:p>
      <w:pPr>
        <w:ind w:left="73" w:firstLine="1296"/>
        <w:spacing w:after="0" w:line="227" w:lineRule="auto"/>
        <w:rPr>
          <w:sz w:val="20"/>
          <w:szCs w:val="20"/>
          <w:color w:val="auto"/>
        </w:rPr>
      </w:pPr>
      <w:r>
        <w:rPr>
          <w:rFonts w:ascii="Arial" w:cs="Arial" w:eastAsia="Arial" w:hAnsi="Arial"/>
          <w:sz w:val="22"/>
          <w:szCs w:val="22"/>
          <w:color w:val="auto"/>
        </w:rPr>
        <w:t>4.1.1 With respect to each [****], the [****] of this SA-22 is [****] specified in Table 1-4R1 to the Purchase Agreement for the respective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3"/>
        <w:spacing w:after="0"/>
        <w:tabs>
          <w:tab w:leader="none" w:pos="123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SA-22, Page 2</w:t>
      </w:r>
    </w:p>
    <w:p>
      <w:pPr>
        <w:spacing w:after="0" w:line="179"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313"/>
          </w:cols>
          <w:pgMar w:left="247" w:top="1314" w:right="339" w:bottom="1440" w:gutter="0" w:footer="0" w:header="0"/>
        </w:sectPr>
      </w:pPr>
    </w:p>
    <w:bookmarkStart w:id="137" w:name="page138"/>
    <w:bookmarkEnd w:id="137"/>
    <w:p>
      <w:pPr>
        <w:ind w:left="1373"/>
        <w:spacing w:after="0"/>
        <w:tabs>
          <w:tab w:leader="none" w:pos="2073"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21"/>
          <w:szCs w:val="21"/>
          <w:color w:val="auto"/>
        </w:rPr>
        <w:t>With respect to [****], [****] in the [****] ([****]) per [****] of this SA-22 as specified in [****].</w:t>
      </w:r>
    </w:p>
    <w:p>
      <w:pPr>
        <w:spacing w:after="0" w:line="206" w:lineRule="exact"/>
        <w:rPr>
          <w:sz w:val="20"/>
          <w:szCs w:val="20"/>
          <w:color w:val="auto"/>
        </w:rPr>
      </w:pPr>
    </w:p>
    <w:p>
      <w:pPr>
        <w:jc w:val="both"/>
        <w:ind w:left="73" w:firstLine="648"/>
        <w:spacing w:after="0" w:line="209" w:lineRule="auto"/>
        <w:rPr>
          <w:sz w:val="20"/>
          <w:szCs w:val="20"/>
          <w:color w:val="auto"/>
        </w:rPr>
      </w:pPr>
      <w:r>
        <w:rPr>
          <w:rFonts w:ascii="Arial" w:cs="Arial" w:eastAsia="Arial" w:hAnsi="Arial"/>
          <w:sz w:val="22"/>
          <w:szCs w:val="22"/>
          <w:color w:val="auto"/>
        </w:rPr>
        <w:t xml:space="preserve">4.2 Boeing [****] (as defined in that certain Letter Agreement No. AAL-LA-2100511 entitled “[****]” (the [****] </w:t>
      </w:r>
      <w:r>
        <w:rPr>
          <w:rFonts w:ascii="Arial" w:cs="Arial" w:eastAsia="Arial" w:hAnsi="Arial"/>
          <w:sz w:val="22"/>
          <w:szCs w:val="22"/>
          <w:b w:val="1"/>
          <w:bCs w:val="1"/>
          <w:color w:val="auto"/>
        </w:rPr>
        <w:t>Letter</w:t>
      </w:r>
      <w:r>
        <w:rPr>
          <w:rFonts w:ascii="Arial" w:cs="Arial" w:eastAsia="Arial" w:hAnsi="Arial"/>
          <w:sz w:val="22"/>
          <w:szCs w:val="22"/>
          <w:color w:val="auto"/>
        </w:rPr>
        <w:t>) in the [****] ([****]) (the [****]). Boeing [****] ([****]) [****] of this SA-22 as described in paragraph 4.1 above</w:t>
      </w:r>
      <w:r>
        <w:rPr>
          <w:rFonts w:ascii="Arial" w:cs="Arial" w:eastAsia="Arial" w:hAnsi="Arial"/>
          <w:sz w:val="22"/>
          <w:szCs w:val="22"/>
          <w:b w:val="1"/>
          <w:bCs w:val="1"/>
          <w:color w:val="auto"/>
        </w:rPr>
        <w:t xml:space="preserve"> </w:t>
      </w:r>
      <w:r>
        <w:rPr>
          <w:rFonts w:ascii="Arial" w:cs="Arial" w:eastAsia="Arial" w:hAnsi="Arial"/>
          <w:sz w:val="22"/>
          <w:szCs w:val="22"/>
          <w:color w:val="auto"/>
        </w:rPr>
        <w:t>from the [****]. This will [****] ([****]). Boeing [****], [****], [****] which the terms of the Purchase Agreement are applicable.</w:t>
      </w:r>
    </w:p>
    <w:p>
      <w:pPr>
        <w:ind w:left="713" w:hanging="713"/>
        <w:spacing w:after="0" w:line="207" w:lineRule="auto"/>
        <w:tabs>
          <w:tab w:leader="none" w:pos="713"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 w:lineRule="exact"/>
        <w:rPr>
          <w:sz w:val="20"/>
          <w:szCs w:val="20"/>
          <w:color w:val="auto"/>
        </w:rPr>
      </w:pPr>
    </w:p>
    <w:p>
      <w:pPr>
        <w:jc w:val="both"/>
        <w:ind w:left="73" w:firstLine="648"/>
        <w:spacing w:after="0" w:line="204" w:lineRule="auto"/>
        <w:rPr>
          <w:sz w:val="20"/>
          <w:szCs w:val="20"/>
          <w:color w:val="auto"/>
        </w:rPr>
      </w:pPr>
      <w:r>
        <w:rPr>
          <w:rFonts w:ascii="Arial" w:cs="Arial" w:eastAsia="Arial" w:hAnsi="Arial"/>
          <w:sz w:val="22"/>
          <w:szCs w:val="22"/>
          <w:color w:val="auto"/>
        </w:rPr>
        <w:t>5.1 The Purchase Agreement is amended and supplemented as set forth above by the revised Table Of Contents, Table 1-4(R1), the [****], the [****], and the [****]. All other terms and conditions of the Purchase Agreement remain unchanged and are in full force and effect.</w:t>
      </w:r>
    </w:p>
    <w:p>
      <w:pPr>
        <w:spacing w:after="0" w:line="3" w:lineRule="exact"/>
        <w:rPr>
          <w:sz w:val="20"/>
          <w:szCs w:val="20"/>
          <w:color w:val="auto"/>
        </w:rPr>
      </w:pPr>
    </w:p>
    <w:p>
      <w:pPr>
        <w:jc w:val="both"/>
        <w:ind w:left="73" w:firstLine="648"/>
        <w:spacing w:after="0" w:line="222" w:lineRule="auto"/>
        <w:rPr>
          <w:sz w:val="20"/>
          <w:szCs w:val="20"/>
          <w:color w:val="auto"/>
        </w:rPr>
      </w:pPr>
      <w:r>
        <w:rPr>
          <w:rFonts w:ascii="Arial" w:cs="Arial" w:eastAsia="Arial" w:hAnsi="Arial"/>
          <w:sz w:val="21"/>
          <w:szCs w:val="21"/>
          <w:color w:val="auto"/>
        </w:rPr>
        <w:t>5.2 References in the Purchase Agreement and any supplemental agreements and associated letter agreements to “Table 1” or “Table 1R2” or “Table 1R3”, or “Table1R4 and Table 1-2” or “Table 1(R4) and Table 1-2”, “Table 1R5 and Table 1-2”, “Table 1R6, Table 1-2, and Table 1-3”, “Table 1R7, Table 1-2, and Table 1-3R1”,“Table 1R8, Table 1-2, and Table 1-3R2”, “Table 1R9, Table 1-2, and Table 1-3R3”, “Table 1R10, Table 1-2, and Table 1-3R4”, “Table 1R11, Table 1-2, and Table 1-3R5”, “Table 1R12, Table 1-2 and Table 1-3R6”, “Table 1R12, Table 1-2, Table 1-3R6, and Table 1-4” are deemed to refer to “Table 1R12, Table 1-2, Table 1-3R6, and Table 1-4R1”.</w:t>
      </w:r>
    </w:p>
    <w:p>
      <w:pPr>
        <w:spacing w:after="0" w:line="187" w:lineRule="exact"/>
        <w:rPr>
          <w:sz w:val="20"/>
          <w:szCs w:val="20"/>
          <w:color w:val="auto"/>
        </w:rPr>
      </w:pPr>
    </w:p>
    <w:p>
      <w:pPr>
        <w:jc w:val="both"/>
        <w:ind w:left="73" w:firstLine="648"/>
        <w:spacing w:after="0" w:line="217" w:lineRule="auto"/>
        <w:rPr>
          <w:sz w:val="20"/>
          <w:szCs w:val="20"/>
          <w:color w:val="auto"/>
        </w:rPr>
      </w:pPr>
      <w:r>
        <w:rPr>
          <w:rFonts w:ascii="Arial" w:cs="Arial" w:eastAsia="Arial" w:hAnsi="Arial"/>
          <w:sz w:val="21"/>
          <w:szCs w:val="21"/>
          <w:color w:val="auto"/>
        </w:rPr>
        <w:t>References in the Purchase Agreement and any supplemental agreements and associated letter agreements to “Table 1R4” or “Table 1R5” (where no corresponding reference to Table 1-2 is made) are deemed to refer to “Table 1R12</w:t>
      </w:r>
    </w:p>
    <w:p>
      <w:pPr>
        <w:ind w:left="73"/>
        <w:spacing w:after="0" w:line="213" w:lineRule="auto"/>
        <w:rPr>
          <w:sz w:val="20"/>
          <w:szCs w:val="20"/>
          <w:color w:val="auto"/>
        </w:rPr>
      </w:pPr>
      <w:r>
        <w:rPr>
          <w:rFonts w:ascii="Arial" w:cs="Arial" w:eastAsia="Arial" w:hAnsi="Arial"/>
          <w:sz w:val="20"/>
          <w:szCs w:val="20"/>
          <w:color w:val="auto"/>
        </w:rPr>
        <w:t>and Table 1-3R6”, (including without limitation, and for the avoidance of doubt, the references to Table 1R4 in Section 3 of</w:t>
      </w:r>
    </w:p>
    <w:p>
      <w:pPr>
        <w:jc w:val="both"/>
        <w:ind w:left="73"/>
        <w:spacing w:after="0" w:line="203" w:lineRule="auto"/>
        <w:rPr>
          <w:sz w:val="20"/>
          <w:szCs w:val="20"/>
          <w:color w:val="auto"/>
        </w:rPr>
      </w:pPr>
      <w:r>
        <w:rPr>
          <w:rFonts w:ascii="Arial" w:cs="Arial" w:eastAsia="Arial" w:hAnsi="Arial"/>
          <w:sz w:val="21"/>
          <w:szCs w:val="21"/>
          <w:color w:val="auto"/>
        </w:rPr>
        <w:t>Supplemental Agreement No. 9 dated April 6, 2018). However, references in the Purchase Agreement to Table 1R5 in Letter Agreement AAL-PA-LA-1106650R4 entitled “[****]” is deemed to only refer to Table 1R12 and the references to</w:t>
      </w:r>
    </w:p>
    <w:p>
      <w:pPr>
        <w:spacing w:after="0" w:line="2" w:lineRule="exact"/>
        <w:rPr>
          <w:sz w:val="20"/>
          <w:szCs w:val="20"/>
          <w:color w:val="auto"/>
        </w:rPr>
      </w:pPr>
    </w:p>
    <w:p>
      <w:pPr>
        <w:ind w:left="73"/>
        <w:spacing w:after="0"/>
        <w:rPr>
          <w:sz w:val="20"/>
          <w:szCs w:val="20"/>
          <w:color w:val="auto"/>
        </w:rPr>
      </w:pPr>
      <w:r>
        <w:rPr>
          <w:rFonts w:ascii="Arial" w:cs="Arial" w:eastAsia="Arial" w:hAnsi="Arial"/>
          <w:sz w:val="21"/>
          <w:szCs w:val="21"/>
          <w:color w:val="auto"/>
        </w:rPr>
        <w:t>Table 1R5 in the [****] Letter Agreement remain references to Table 1R5.</w:t>
      </w:r>
    </w:p>
    <w:p>
      <w:pPr>
        <w:spacing w:after="0" w:line="200" w:lineRule="exact"/>
        <w:rPr>
          <w:sz w:val="20"/>
          <w:szCs w:val="20"/>
          <w:color w:val="auto"/>
        </w:rPr>
      </w:pPr>
    </w:p>
    <w:p>
      <w:pPr>
        <w:ind w:left="733"/>
        <w:spacing w:after="0"/>
        <w:rPr>
          <w:sz w:val="20"/>
          <w:szCs w:val="20"/>
          <w:color w:val="auto"/>
        </w:rPr>
      </w:pPr>
      <w:r>
        <w:rPr>
          <w:rFonts w:ascii="Arial" w:cs="Arial" w:eastAsia="Arial" w:hAnsi="Arial"/>
          <w:sz w:val="21"/>
          <w:szCs w:val="21"/>
          <w:color w:val="auto"/>
        </w:rPr>
        <w:t>References in the Purchase Agreement and any supplemental agreements and associated letter agreements to</w:t>
      </w:r>
    </w:p>
    <w:p>
      <w:pPr>
        <w:jc w:val="both"/>
        <w:ind w:left="73"/>
        <w:spacing w:after="0" w:line="201" w:lineRule="auto"/>
        <w:rPr>
          <w:sz w:val="20"/>
          <w:szCs w:val="20"/>
          <w:color w:val="auto"/>
        </w:rPr>
      </w:pPr>
      <w:r>
        <w:rPr>
          <w:rFonts w:ascii="Arial" w:cs="Arial" w:eastAsia="Arial" w:hAnsi="Arial"/>
          <w:sz w:val="21"/>
          <w:szCs w:val="21"/>
          <w:color w:val="auto"/>
        </w:rPr>
        <w:t>“Table 1R6”, “Table 1R7”, “Table 1R8”, “Table 1R9”, “Table 1R10” or “Table 1R11” (where no corresponding reference to either Table 1-2 or Table 1-3 is made) are deemed to refer to only “Table 1R12”.</w:t>
      </w:r>
    </w:p>
    <w:p>
      <w:pPr>
        <w:ind w:left="733"/>
        <w:spacing w:after="0" w:line="225" w:lineRule="auto"/>
        <w:rPr>
          <w:sz w:val="20"/>
          <w:szCs w:val="20"/>
          <w:color w:val="auto"/>
        </w:rPr>
      </w:pPr>
      <w:r>
        <w:rPr>
          <w:rFonts w:ascii="Arial" w:cs="Arial" w:eastAsia="Arial" w:hAnsi="Arial"/>
          <w:sz w:val="20"/>
          <w:szCs w:val="20"/>
          <w:color w:val="auto"/>
        </w:rPr>
        <w:t>Additionally, for the avoidance of doubt, references in the Purchase Agreement and any supplemental agreements</w:t>
      </w:r>
    </w:p>
    <w:p>
      <w:pPr>
        <w:spacing w:after="0" w:line="1" w:lineRule="exact"/>
        <w:rPr>
          <w:sz w:val="20"/>
          <w:szCs w:val="20"/>
          <w:color w:val="auto"/>
        </w:rPr>
      </w:pPr>
    </w:p>
    <w:p>
      <w:pPr>
        <w:jc w:val="both"/>
        <w:ind w:left="73"/>
        <w:spacing w:after="0" w:line="226" w:lineRule="auto"/>
        <w:rPr>
          <w:sz w:val="20"/>
          <w:szCs w:val="20"/>
          <w:color w:val="auto"/>
        </w:rPr>
      </w:pPr>
      <w:r>
        <w:rPr>
          <w:rFonts w:ascii="Arial" w:cs="Arial" w:eastAsia="Arial" w:hAnsi="Arial"/>
          <w:sz w:val="21"/>
          <w:szCs w:val="21"/>
          <w:color w:val="auto"/>
        </w:rPr>
        <w:t>and associated letter agreements to “Table 1-2” (where no corresponding reference to Table 1R4 or Table 1R5 is made) remain references to “Table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3"/>
        <w:spacing w:after="0"/>
        <w:tabs>
          <w:tab w:leader="none" w:pos="1233"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SA-22, Page 3</w:t>
      </w:r>
    </w:p>
    <w:p>
      <w:pPr>
        <w:spacing w:after="0" w:line="179" w:lineRule="exact"/>
        <w:rPr>
          <w:sz w:val="20"/>
          <w:szCs w:val="20"/>
          <w:color w:val="auto"/>
        </w:rPr>
      </w:pPr>
    </w:p>
    <w:p>
      <w:pPr>
        <w:jc w:val="center"/>
        <w:ind w:right="-72"/>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313"/>
          </w:cols>
          <w:pgMar w:left="247" w:top="1314" w:right="339" w:bottom="1440" w:gutter="0" w:footer="0" w:header="0"/>
        </w:sectPr>
      </w:pPr>
    </w:p>
    <w:bookmarkStart w:id="138" w:name="page139"/>
    <w:bookmarkEnd w:id="138"/>
    <w:p>
      <w:pPr>
        <w:jc w:val="both"/>
        <w:ind w:firstLine="648"/>
        <w:spacing w:after="0" w:line="220" w:lineRule="auto"/>
        <w:rPr>
          <w:sz w:val="20"/>
          <w:szCs w:val="20"/>
          <w:color w:val="auto"/>
        </w:rPr>
      </w:pPr>
      <w:r>
        <w:rPr>
          <w:rFonts w:ascii="Arial" w:cs="Arial" w:eastAsia="Arial" w:hAnsi="Arial"/>
          <w:sz w:val="22"/>
          <w:szCs w:val="22"/>
          <w:color w:val="auto"/>
        </w:rPr>
        <w:t>5.3 References in the Purchase Agreement and any supplemental agreements and associated letter agreements to the tables, exhibits, supplemental exhibits and letter agreements listed in the left column of the below table shall be deemed to refer to the corresponding revised versions of the tables, exhibits, supplemental exhibits and letter agreements listed in the right column of the below table.</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200" w:type="dxa"/>
            <w:vAlign w:val="bottom"/>
            <w:tcBorders>
              <w:top w:val="single" w:sz="8" w:color="auto"/>
              <w:left w:val="single" w:sz="8" w:color="auto"/>
            </w:tcBorders>
            <w:gridSpan w:val="4"/>
          </w:tcPr>
          <w:p>
            <w:pPr>
              <w:ind w:left="40"/>
              <w:spacing w:after="0"/>
              <w:rPr>
                <w:sz w:val="20"/>
                <w:szCs w:val="20"/>
                <w:color w:val="auto"/>
              </w:rPr>
            </w:pPr>
            <w:r>
              <w:rPr>
                <w:rFonts w:ascii="Arial" w:cs="Arial" w:eastAsia="Arial" w:hAnsi="Arial"/>
                <w:sz w:val="22"/>
                <w:szCs w:val="22"/>
                <w:color w:val="auto"/>
              </w:rPr>
              <w:t>Reference</w:t>
            </w:r>
          </w:p>
        </w:tc>
        <w:tc>
          <w:tcPr>
            <w:tcW w:w="2760" w:type="dxa"/>
            <w:vAlign w:val="bottom"/>
            <w:tcBorders>
              <w:top w:val="single" w:sz="8" w:color="auto"/>
              <w:right w:val="single" w:sz="8" w:color="auto"/>
            </w:tcBorders>
          </w:tcPr>
          <w:p>
            <w:pPr>
              <w:spacing w:after="0"/>
              <w:rPr>
                <w:sz w:val="24"/>
                <w:szCs w:val="24"/>
                <w:color w:val="auto"/>
              </w:rPr>
            </w:pPr>
          </w:p>
        </w:tc>
        <w:tc>
          <w:tcPr>
            <w:tcW w:w="49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2"/>
                <w:szCs w:val="22"/>
                <w:color w:val="auto"/>
              </w:rPr>
              <w:t>Replacement Reference</w:t>
            </w:r>
          </w:p>
        </w:tc>
      </w:tr>
      <w:tr>
        <w:trPr>
          <w:trHeight w:val="115"/>
        </w:trPr>
        <w:tc>
          <w:tcPr>
            <w:tcW w:w="40" w:type="dxa"/>
            <w:vAlign w:val="bottom"/>
            <w:tcBorders>
              <w:left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20" w:type="dxa"/>
            <w:vAlign w:val="bottom"/>
            <w:tcBorders>
              <w:top w:val="single" w:sz="8" w:color="auto"/>
              <w:bottom w:val="single" w:sz="8" w:color="auto"/>
            </w:tcBorders>
          </w:tcPr>
          <w:p>
            <w:pPr>
              <w:spacing w:after="0"/>
              <w:rPr>
                <w:sz w:val="10"/>
                <w:szCs w:val="10"/>
                <w:color w:val="auto"/>
              </w:rPr>
            </w:pPr>
          </w:p>
        </w:tc>
        <w:tc>
          <w:tcPr>
            <w:tcW w:w="2640" w:type="dxa"/>
            <w:vAlign w:val="bottom"/>
            <w:tcBorders>
              <w:bottom w:val="single" w:sz="8" w:color="auto"/>
              <w:right w:val="single" w:sz="8" w:color="auto"/>
            </w:tcBorders>
          </w:tcPr>
          <w:p>
            <w:pPr>
              <w:spacing w:after="0"/>
              <w:rPr>
                <w:sz w:val="10"/>
                <w:szCs w:val="10"/>
                <w:color w:val="auto"/>
              </w:rPr>
            </w:pPr>
          </w:p>
        </w:tc>
      </w:tr>
      <w:tr>
        <w:trPr>
          <w:trHeight w:val="345"/>
        </w:trPr>
        <w:tc>
          <w:tcPr>
            <w:tcW w:w="780" w:type="dxa"/>
            <w:vAlign w:val="bottom"/>
            <w:tcBorders>
              <w:left w:val="single" w:sz="8" w:color="auto"/>
            </w:tcBorders>
            <w:gridSpan w:val="2"/>
          </w:tcPr>
          <w:p>
            <w:pPr>
              <w:ind w:left="40"/>
              <w:spacing w:after="0"/>
              <w:rPr>
                <w:sz w:val="20"/>
                <w:szCs w:val="20"/>
                <w:color w:val="auto"/>
              </w:rPr>
            </w:pPr>
            <w:r>
              <w:rPr>
                <w:rFonts w:ascii="Arial" w:cs="Arial" w:eastAsia="Arial" w:hAnsi="Arial"/>
                <w:sz w:val="22"/>
                <w:szCs w:val="22"/>
                <w:color w:val="auto"/>
              </w:rPr>
              <w:t>Letter</w:t>
            </w:r>
          </w:p>
        </w:tc>
        <w:tc>
          <w:tcPr>
            <w:tcW w:w="1420" w:type="dxa"/>
            <w:vAlign w:val="bottom"/>
            <w:gridSpan w:val="2"/>
          </w:tcPr>
          <w:p>
            <w:pPr>
              <w:ind w:left="180"/>
              <w:spacing w:after="0"/>
              <w:rPr>
                <w:sz w:val="20"/>
                <w:szCs w:val="20"/>
                <w:color w:val="auto"/>
              </w:rPr>
            </w:pPr>
            <w:r>
              <w:rPr>
                <w:rFonts w:ascii="Arial" w:cs="Arial" w:eastAsia="Arial" w:hAnsi="Arial"/>
                <w:sz w:val="22"/>
                <w:szCs w:val="22"/>
                <w:color w:val="auto"/>
              </w:rPr>
              <w:t>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378"/>
        </w:trPr>
        <w:tc>
          <w:tcPr>
            <w:tcW w:w="40" w:type="dxa"/>
            <w:vAlign w:val="bottom"/>
            <w:tcBorders>
              <w:left w:val="single" w:sz="8" w:color="auto"/>
            </w:tcBorders>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1106650R5</w:t>
            </w: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1106650R6</w:t>
            </w:r>
          </w:p>
        </w:tc>
      </w:tr>
      <w:tr>
        <w:trPr>
          <w:trHeight w:val="80"/>
        </w:trPr>
        <w:tc>
          <w:tcPr>
            <w:tcW w:w="40" w:type="dxa"/>
            <w:vAlign w:val="bottom"/>
            <w:tcBorders>
              <w:left w:val="single" w:sz="8" w:color="auto"/>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r>
      <w:tr>
        <w:trPr>
          <w:trHeight w:val="345"/>
        </w:trPr>
        <w:tc>
          <w:tcPr>
            <w:tcW w:w="780" w:type="dxa"/>
            <w:vAlign w:val="bottom"/>
            <w:tcBorders>
              <w:left w:val="single" w:sz="8" w:color="auto"/>
            </w:tcBorders>
            <w:gridSpan w:val="2"/>
          </w:tcPr>
          <w:p>
            <w:pPr>
              <w:ind w:left="40"/>
              <w:spacing w:after="0"/>
              <w:rPr>
                <w:sz w:val="20"/>
                <w:szCs w:val="20"/>
                <w:color w:val="auto"/>
              </w:rPr>
            </w:pPr>
            <w:r>
              <w:rPr>
                <w:rFonts w:ascii="Arial" w:cs="Arial" w:eastAsia="Arial" w:hAnsi="Arial"/>
                <w:sz w:val="22"/>
                <w:szCs w:val="22"/>
                <w:color w:val="auto"/>
              </w:rPr>
              <w:t>Letter</w:t>
            </w:r>
          </w:p>
        </w:tc>
        <w:tc>
          <w:tcPr>
            <w:tcW w:w="1420" w:type="dxa"/>
            <w:vAlign w:val="bottom"/>
            <w:gridSpan w:val="2"/>
          </w:tcPr>
          <w:p>
            <w:pPr>
              <w:ind w:left="180"/>
              <w:spacing w:after="0"/>
              <w:rPr>
                <w:sz w:val="20"/>
                <w:szCs w:val="20"/>
                <w:color w:val="auto"/>
              </w:rPr>
            </w:pPr>
            <w:r>
              <w:rPr>
                <w:rFonts w:ascii="Arial" w:cs="Arial" w:eastAsia="Arial" w:hAnsi="Arial"/>
                <w:sz w:val="22"/>
                <w:szCs w:val="22"/>
                <w:color w:val="auto"/>
              </w:rPr>
              <w:t>Agreement</w:t>
            </w:r>
          </w:p>
        </w:tc>
        <w:tc>
          <w:tcPr>
            <w:tcW w:w="2760" w:type="dxa"/>
            <w:vAlign w:val="bottom"/>
            <w:tcBorders>
              <w:right w:val="single" w:sz="8" w:color="auto"/>
            </w:tcBorders>
          </w:tcPr>
          <w:p>
            <w:pPr>
              <w:ind w:left="180"/>
              <w:spacing w:after="0"/>
              <w:rPr>
                <w:sz w:val="20"/>
                <w:szCs w:val="20"/>
                <w:color w:val="auto"/>
              </w:rPr>
            </w:pPr>
            <w:r>
              <w:rPr>
                <w:rFonts w:ascii="Arial" w:cs="Arial" w:eastAsia="Arial" w:hAnsi="Arial"/>
                <w:sz w:val="22"/>
                <w:szCs w:val="22"/>
                <w:color w:val="auto"/>
              </w:rPr>
              <w:t>No.   AAL-PA-03735-LA-</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378"/>
        </w:trPr>
        <w:tc>
          <w:tcPr>
            <w:tcW w:w="40" w:type="dxa"/>
            <w:vAlign w:val="bottom"/>
            <w:tcBorders>
              <w:left w:val="single" w:sz="8" w:color="auto"/>
            </w:tcBorders>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22"/>
                <w:szCs w:val="22"/>
                <w:color w:val="auto"/>
              </w:rPr>
              <w:t>1106651R4</w:t>
            </w: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1106651R5</w:t>
            </w:r>
          </w:p>
        </w:tc>
      </w:tr>
      <w:tr>
        <w:trPr>
          <w:trHeight w:val="80"/>
        </w:trPr>
        <w:tc>
          <w:tcPr>
            <w:tcW w:w="4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gridSpan w:val="2"/>
          </w:tcPr>
          <w:p>
            <w:pPr>
              <w:spacing w:after="0"/>
              <w:rPr>
                <w:sz w:val="7"/>
                <w:szCs w:val="7"/>
                <w:color w:val="auto"/>
              </w:rPr>
            </w:pPr>
          </w:p>
        </w:tc>
        <w:tc>
          <w:tcPr>
            <w:tcW w:w="3920" w:type="dxa"/>
            <w:vAlign w:val="bottom"/>
            <w:tcBorders>
              <w:bottom w:val="single" w:sz="8" w:color="auto"/>
              <w:right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r>
      <w:tr>
        <w:trPr>
          <w:trHeight w:val="345"/>
        </w:trPr>
        <w:tc>
          <w:tcPr>
            <w:tcW w:w="496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22"/>
                <w:szCs w:val="22"/>
                <w:color w:val="auto"/>
                <w:w w:val="99"/>
              </w:rPr>
              <w:t>Letter Agreement No. AAL-PA-03735-LA-1106652</w:t>
            </w:r>
          </w:p>
        </w:tc>
        <w:tc>
          <w:tcPr>
            <w:tcW w:w="49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Letter   Agreement   No.   AAL-PA-03735-LA-</w:t>
            </w:r>
          </w:p>
        </w:tc>
      </w:tr>
      <w:tr>
        <w:trPr>
          <w:trHeight w:val="378"/>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1106652R1</w:t>
            </w:r>
          </w:p>
        </w:tc>
      </w:tr>
      <w:tr>
        <w:trPr>
          <w:trHeight w:val="80"/>
        </w:trPr>
        <w:tc>
          <w:tcPr>
            <w:tcW w:w="40" w:type="dxa"/>
            <w:vAlign w:val="bottom"/>
            <w:tcBorders>
              <w:left w:val="single" w:sz="8" w:color="auto"/>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7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r>
      <w:tr>
        <w:trPr>
          <w:trHeight w:val="818"/>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740" w:type="dxa"/>
            <w:vAlign w:val="bottom"/>
            <w:gridSpan w:val="4"/>
          </w:tcPr>
          <w:p>
            <w:pPr>
              <w:ind w:left="2340"/>
              <w:spacing w:after="0"/>
              <w:rPr>
                <w:sz w:val="20"/>
                <w:szCs w:val="20"/>
                <w:color w:val="auto"/>
              </w:rPr>
            </w:pPr>
            <w:r>
              <w:rPr>
                <w:rFonts w:ascii="Arial" w:cs="Arial" w:eastAsia="Arial" w:hAnsi="Arial"/>
                <w:sz w:val="22"/>
                <w:szCs w:val="22"/>
                <w:color w:val="auto"/>
              </w:rPr>
              <w:t>Intentionally Left Blank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PA 03735</w:t>
      </w:r>
      <w:r>
        <w:rPr>
          <w:sz w:val="20"/>
          <w:szCs w:val="20"/>
          <w:color w:val="auto"/>
        </w:rPr>
        <w:tab/>
      </w:r>
      <w:r>
        <w:rPr>
          <w:rFonts w:ascii="Arial" w:cs="Arial" w:eastAsia="Arial" w:hAnsi="Arial"/>
          <w:sz w:val="21"/>
          <w:szCs w:val="21"/>
          <w:color w:val="auto"/>
        </w:rPr>
        <w:t>SA-22, Page 4</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BOEING PROPRIETARY</w:t>
      </w:r>
    </w:p>
    <w:p>
      <w:pPr>
        <w:sectPr>
          <w:pgSz w:w="11900" w:h="16838" w:orient="portrait"/>
          <w:cols w:equalWidth="0" w:num="1">
            <w:col w:w="11240"/>
          </w:cols>
          <w:pgMar w:left="320" w:top="1314" w:right="339" w:bottom="1440" w:gutter="0" w:footer="0" w:header="0"/>
        </w:sectPr>
      </w:pPr>
    </w:p>
    <w:bookmarkStart w:id="139" w:name="page140"/>
    <w:bookmarkEnd w:id="139"/>
    <w:p>
      <w:pPr>
        <w:spacing w:after="0" w:line="253" w:lineRule="exact"/>
        <w:rPr>
          <w:sz w:val="20"/>
          <w:szCs w:val="20"/>
          <w:color w:val="auto"/>
        </w:rPr>
      </w:pPr>
    </w:p>
    <w:p>
      <w:pPr>
        <w:ind w:left="160"/>
        <w:spacing w:after="0"/>
        <w:rPr>
          <w:sz w:val="20"/>
          <w:szCs w:val="20"/>
          <w:color w:val="auto"/>
        </w:rPr>
      </w:pPr>
      <w:r>
        <w:rPr>
          <w:rFonts w:ascii="Arial" w:cs="Arial" w:eastAsia="Arial" w:hAnsi="Arial"/>
          <w:sz w:val="21"/>
          <w:szCs w:val="21"/>
          <w:color w:val="auto"/>
        </w:rPr>
        <w:t>AGREED AND ACCEPTED this</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70485</wp:posOffset>
            </wp:positionV>
            <wp:extent cx="32575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70485</wp:posOffset>
            </wp:positionV>
            <wp:extent cx="3531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ectPr>
          <w:pgSz w:w="11900" w:h="16838" w:orient="portrait"/>
          <w:cols w:equalWidth="0" w:num="2">
            <w:col w:w="5020" w:space="720"/>
            <w:col w:w="439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PA 03735</w:t>
      </w:r>
    </w:p>
    <w:p>
      <w:pPr>
        <w:spacing w:after="0" w:line="204" w:lineRule="auto"/>
        <w:rPr>
          <w:sz w:val="20"/>
          <w:szCs w:val="20"/>
          <w:color w:val="auto"/>
        </w:rPr>
      </w:pPr>
      <w:r>
        <w:rPr>
          <w:rFonts w:ascii="Arial" w:cs="Arial" w:eastAsia="Arial" w:hAnsi="Arial"/>
          <w:sz w:val="22"/>
          <w:szCs w:val="22"/>
          <w:color w:val="auto"/>
        </w:rPr>
        <w:t>SA-22</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type w:val="continuous"/>
        </w:sectPr>
      </w:pPr>
    </w:p>
    <w:bookmarkStart w:id="140" w:name="page141"/>
    <w:bookmarkEnd w:id="140"/>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TABLE OF CONTENTS</w:t>
      </w:r>
    </w:p>
    <w:p>
      <w:pPr>
        <w:sectPr>
          <w:pgSz w:w="11900" w:h="16838" w:orient="portrait"/>
          <w:cols w:equalWidth="0" w:num="1">
            <w:col w:w="9019"/>
          </w:cols>
          <w:pgMar w:left="1440" w:top="1440" w:right="1440" w:bottom="1440" w:gutter="0" w:footer="0" w:header="0"/>
        </w:sectPr>
      </w:pPr>
    </w:p>
    <w:bookmarkStart w:id="141" w:name="page142"/>
    <w:bookmarkEnd w:id="141"/>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ARTICLES</w:t>
      </w:r>
    </w:p>
    <w:p>
      <w:pPr>
        <w:spacing w:after="0" w:line="100"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1.</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2.</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3.</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4.</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5.</w:t>
      </w:r>
    </w:p>
    <w:p>
      <w:pPr>
        <w:spacing w:after="0" w:line="179" w:lineRule="exact"/>
        <w:rPr>
          <w:sz w:val="20"/>
          <w:szCs w:val="20"/>
          <w:color w:val="auto"/>
        </w:rPr>
      </w:pPr>
    </w:p>
    <w:p>
      <w:pPr>
        <w:jc w:val="right"/>
        <w:ind w:right="140"/>
        <w:spacing w:after="0"/>
        <w:rPr>
          <w:sz w:val="20"/>
          <w:szCs w:val="20"/>
          <w:color w:val="auto"/>
        </w:rPr>
      </w:pPr>
      <w:r>
        <w:rPr>
          <w:rFonts w:ascii="Arial" w:cs="Arial" w:eastAsia="Arial" w:hAnsi="Arial"/>
          <w:sz w:val="22"/>
          <w:szCs w:val="22"/>
          <w:color w:val="auto"/>
        </w:rPr>
        <w:t>Article 6.</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TABLE</w:t>
      </w:r>
    </w:p>
    <w:p>
      <w:pPr>
        <w:spacing w:after="0" w:line="83"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1R12</w:t>
      </w:r>
    </w:p>
    <w:p>
      <w:pPr>
        <w:jc w:val="center"/>
        <w:ind w:left="560"/>
        <w:spacing w:after="0" w:line="204" w:lineRule="auto"/>
        <w:rPr>
          <w:sz w:val="20"/>
          <w:szCs w:val="20"/>
          <w:color w:val="auto"/>
        </w:rPr>
      </w:pPr>
      <w:r>
        <w:rPr>
          <w:rFonts w:ascii="Arial" w:cs="Arial" w:eastAsia="Arial" w:hAnsi="Arial"/>
          <w:sz w:val="22"/>
          <w:szCs w:val="22"/>
          <w:color w:val="auto"/>
        </w:rPr>
        <w:t>1-2</w:t>
      </w:r>
    </w:p>
    <w:p>
      <w:pPr>
        <w:spacing w:after="0" w:line="1" w:lineRule="exact"/>
        <w:rPr>
          <w:sz w:val="20"/>
          <w:szCs w:val="20"/>
          <w:color w:val="auto"/>
        </w:rPr>
      </w:pPr>
    </w:p>
    <w:p>
      <w:pPr>
        <w:jc w:val="center"/>
        <w:ind w:left="560"/>
        <w:spacing w:after="0"/>
        <w:rPr>
          <w:sz w:val="20"/>
          <w:szCs w:val="20"/>
          <w:color w:val="auto"/>
        </w:rPr>
      </w:pPr>
      <w:r>
        <w:rPr>
          <w:rFonts w:ascii="Arial" w:cs="Arial" w:eastAsia="Arial" w:hAnsi="Arial"/>
          <w:sz w:val="22"/>
          <w:szCs w:val="22"/>
          <w:color w:val="auto"/>
        </w:rPr>
        <w:t>1-3R6</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auto"/>
        </w:rPr>
        <w:t>1-4R1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AR1</w:t>
      </w:r>
    </w:p>
    <w:p>
      <w:pPr>
        <w:ind w:left="1000"/>
        <w:spacing w:after="0"/>
        <w:rPr>
          <w:sz w:val="20"/>
          <w:szCs w:val="20"/>
          <w:color w:val="auto"/>
        </w:rPr>
      </w:pPr>
      <w:r>
        <w:rPr>
          <w:rFonts w:ascii="Arial" w:cs="Arial" w:eastAsia="Arial" w:hAnsi="Arial"/>
          <w:sz w:val="22"/>
          <w:szCs w:val="22"/>
          <w:color w:val="auto"/>
        </w:rPr>
        <w:t>A2</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Quantity, Model and Description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Delivery Schedule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Price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Payment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Additional Terms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Confidentiality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Aircraft Information Table</w:t>
      </w:r>
    </w:p>
    <w:p>
      <w:pPr>
        <w:spacing w:after="0" w:line="204" w:lineRule="auto"/>
        <w:rPr>
          <w:sz w:val="20"/>
          <w:szCs w:val="20"/>
          <w:color w:val="auto"/>
        </w:rPr>
      </w:pPr>
      <w:r>
        <w:rPr>
          <w:rFonts w:ascii="Arial" w:cs="Arial" w:eastAsia="Arial" w:hAnsi="Arial"/>
          <w:sz w:val="22"/>
          <w:szCs w:val="22"/>
          <w:color w:val="auto"/>
        </w:rPr>
        <w:t>Revised Delivery Aircraft Information Table</w:t>
      </w:r>
    </w:p>
    <w:p>
      <w:pPr>
        <w:spacing w:after="0" w:line="1" w:lineRule="exact"/>
        <w:rPr>
          <w:sz w:val="20"/>
          <w:szCs w:val="20"/>
          <w:color w:val="auto"/>
        </w:rPr>
      </w:pPr>
    </w:p>
    <w:p>
      <w:pPr>
        <w:jc w:val="both"/>
        <w:ind w:right="640"/>
        <w:spacing w:after="0" w:line="234" w:lineRule="auto"/>
        <w:rPr>
          <w:sz w:val="20"/>
          <w:szCs w:val="20"/>
          <w:color w:val="auto"/>
        </w:rPr>
      </w:pPr>
      <w:r>
        <w:rPr>
          <w:rFonts w:ascii="Arial" w:cs="Arial" w:eastAsia="Arial" w:hAnsi="Arial"/>
          <w:sz w:val="19"/>
          <w:szCs w:val="19"/>
          <w:color w:val="auto"/>
        </w:rPr>
        <w:t xml:space="preserve">[****] </w:t>
      </w:r>
      <w:r>
        <w:rPr>
          <w:rFonts w:ascii="Arial" w:cs="Arial" w:eastAsia="Arial" w:hAnsi="Arial"/>
          <w:sz w:val="21"/>
          <w:szCs w:val="21"/>
          <w:color w:val="auto"/>
        </w:rPr>
        <w:t>Aircraft Delivery, Description, Price, and Advance Payments</w:t>
      </w:r>
      <w:r>
        <w:rPr>
          <w:rFonts w:ascii="Arial" w:cs="Arial" w:eastAsia="Arial" w:hAnsi="Arial"/>
          <w:sz w:val="19"/>
          <w:szCs w:val="19"/>
          <w:color w:val="auto"/>
        </w:rPr>
        <w:t xml:space="preserve"> </w:t>
      </w:r>
      <w:r>
        <w:rPr>
          <w:rFonts w:ascii="Arial" w:cs="Arial" w:eastAsia="Arial" w:hAnsi="Arial"/>
          <w:sz w:val="21"/>
          <w:szCs w:val="21"/>
          <w:b w:val="1"/>
          <w:bCs w:val="1"/>
          <w:color w:val="auto"/>
        </w:rPr>
        <w:t xml:space="preserve">737-8 </w:t>
      </w:r>
      <w:r>
        <w:rPr>
          <w:rFonts w:ascii="Arial" w:cs="Arial" w:eastAsia="Arial" w:hAnsi="Arial"/>
          <w:sz w:val="18"/>
          <w:szCs w:val="18"/>
          <w:color w:val="auto"/>
        </w:rPr>
        <w:t>[****]</w:t>
      </w:r>
      <w:r>
        <w:rPr>
          <w:rFonts w:ascii="Arial" w:cs="Arial" w:eastAsia="Arial" w:hAnsi="Arial"/>
          <w:sz w:val="21"/>
          <w:szCs w:val="21"/>
          <w:b w:val="1"/>
          <w:bCs w:val="1"/>
          <w:color w:val="auto"/>
        </w:rPr>
        <w:t xml:space="preserve"> Aircraft Delivery, Description, Price, and Advance Payments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Aircraft Configuration</w:t>
      </w:r>
    </w:p>
    <w:p>
      <w:pPr>
        <w:spacing w:after="0"/>
        <w:rPr>
          <w:sz w:val="20"/>
          <w:szCs w:val="20"/>
          <w:color w:val="auto"/>
        </w:rPr>
      </w:pPr>
      <w:r>
        <w:rPr>
          <w:rFonts w:ascii="Arial" w:cs="Arial" w:eastAsia="Arial" w:hAnsi="Arial"/>
          <w:sz w:val="22"/>
          <w:szCs w:val="22"/>
          <w:color w:val="auto"/>
        </w:rPr>
        <w:t>Revised Delivery Aircraft Configuration</w:t>
      </w:r>
    </w:p>
    <w:p>
      <w:pPr>
        <w:spacing w:after="0" w:line="78" w:lineRule="exact"/>
        <w:rPr>
          <w:sz w:val="20"/>
          <w:szCs w:val="20"/>
          <w:color w:val="auto"/>
        </w:rPr>
      </w:pPr>
    </w:p>
    <w:p>
      <w:pPr>
        <w:ind w:right="1920"/>
        <w:spacing w:after="0" w:line="408" w:lineRule="auto"/>
        <w:rPr>
          <w:sz w:val="20"/>
          <w:szCs w:val="20"/>
          <w:color w:val="auto"/>
        </w:rPr>
      </w:pPr>
      <w:r>
        <w:rPr>
          <w:rFonts w:ascii="Arial" w:cs="Arial" w:eastAsia="Arial" w:hAnsi="Arial"/>
          <w:sz w:val="22"/>
          <w:szCs w:val="22"/>
          <w:color w:val="auto"/>
        </w:rPr>
        <w:t>Aircraft Delivery Requirements and Responsibilities Definitions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SA</w:t>
      </w:r>
    </w:p>
    <w:p>
      <w:pPr>
        <w:jc w:val="center"/>
        <w:spacing w:after="0"/>
        <w:rPr>
          <w:sz w:val="20"/>
          <w:szCs w:val="20"/>
          <w:color w:val="auto"/>
        </w:rPr>
      </w:pPr>
      <w:r>
        <w:rPr>
          <w:rFonts w:ascii="Arial" w:cs="Arial" w:eastAsia="Arial" w:hAnsi="Arial"/>
          <w:sz w:val="21"/>
          <w:szCs w:val="21"/>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19</w:t>
      </w:r>
    </w:p>
    <w:p>
      <w:pPr>
        <w:ind w:left="420"/>
        <w:spacing w:after="0" w:line="204" w:lineRule="auto"/>
        <w:rPr>
          <w:sz w:val="20"/>
          <w:szCs w:val="20"/>
          <w:color w:val="auto"/>
        </w:rPr>
      </w:pPr>
      <w:r>
        <w:rPr>
          <w:rFonts w:ascii="Arial" w:cs="Arial" w:eastAsia="Arial" w:hAnsi="Arial"/>
          <w:sz w:val="22"/>
          <w:szCs w:val="22"/>
          <w:color w:val="auto"/>
        </w:rPr>
        <w:t>9</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19</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22</w:t>
      </w: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6</w:t>
      </w:r>
    </w:p>
    <w:p>
      <w:pPr>
        <w:ind w:left="420"/>
        <w:spacing w:after="0"/>
        <w:rPr>
          <w:sz w:val="20"/>
          <w:szCs w:val="20"/>
          <w:color w:val="auto"/>
        </w:rPr>
      </w:pPr>
      <w:r>
        <w:rPr>
          <w:rFonts w:ascii="Arial" w:cs="Arial" w:eastAsia="Arial" w:hAnsi="Arial"/>
          <w:sz w:val="22"/>
          <w:szCs w:val="22"/>
          <w:color w:val="auto"/>
        </w:rPr>
        <w:t>9</w:t>
      </w:r>
    </w:p>
    <w:p>
      <w:pPr>
        <w:spacing w:after="0" w:line="940" w:lineRule="exact"/>
        <w:rPr>
          <w:sz w:val="20"/>
          <w:szCs w:val="20"/>
          <w:color w:val="auto"/>
        </w:rPr>
      </w:pPr>
    </w:p>
    <w:p>
      <w:pPr>
        <w:sectPr>
          <w:pgSz w:w="11900" w:h="16838" w:orient="portrait"/>
          <w:cols w:equalWidth="0" w:num="3">
            <w:col w:w="1680" w:space="720"/>
            <w:col w:w="6820" w:space="720"/>
            <w:col w:w="960"/>
          </w:cols>
          <w:pgMar w:left="400" w:top="137" w:right="599" w:bottom="0" w:gutter="0" w:footer="0" w:header="0"/>
        </w:sectPr>
      </w:pPr>
    </w:p>
    <w:p>
      <w:pPr>
        <w:spacing w:after="0"/>
        <w:rPr>
          <w:sz w:val="20"/>
          <w:szCs w:val="20"/>
          <w:color w:val="auto"/>
        </w:rPr>
      </w:pPr>
      <w:r>
        <w:rPr>
          <w:rFonts w:ascii="Arial" w:cs="Arial" w:eastAsia="Arial" w:hAnsi="Arial"/>
          <w:sz w:val="22"/>
          <w:szCs w:val="22"/>
          <w:b w:val="1"/>
          <w:bCs w:val="1"/>
          <w:u w:val="single" w:color="auto"/>
          <w:color w:val="auto"/>
        </w:rPr>
        <w:t>SUPPLEMENTAL EXHIBITS</w:t>
      </w:r>
    </w:p>
    <w:p>
      <w:pPr>
        <w:spacing w:after="0" w:line="100" w:lineRule="exact"/>
        <w:rPr>
          <w:sz w:val="20"/>
          <w:szCs w:val="20"/>
          <w:color w:val="auto"/>
        </w:rPr>
      </w:pPr>
    </w:p>
    <w:tbl>
      <w:tblPr>
        <w:tblLayout w:type="fixed"/>
        <w:tblInd w:w="760" w:type="dxa"/>
        <w:tblCellMar>
          <w:top w:w="0" w:type="dxa"/>
          <w:left w:w="0" w:type="dxa"/>
          <w:bottom w:w="0" w:type="dxa"/>
          <w:right w:w="0" w:type="dxa"/>
        </w:tblCellMar>
      </w:tblPr>
      <w:tr>
        <w:trPr>
          <w:trHeight w:val="329"/>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AE1.</w:t>
            </w:r>
          </w:p>
        </w:tc>
        <w:tc>
          <w:tcPr>
            <w:tcW w:w="3140" w:type="dxa"/>
            <w:vAlign w:val="bottom"/>
          </w:tcPr>
          <w:p>
            <w:pPr>
              <w:ind w:left="4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32"/>
        </w:trPr>
        <w:tc>
          <w:tcPr>
            <w:tcW w:w="1200" w:type="dxa"/>
            <w:vAlign w:val="bottom"/>
          </w:tcPr>
          <w:p>
            <w:pPr>
              <w:jc w:val="center"/>
              <w:ind w:right="372"/>
              <w:spacing w:after="0"/>
              <w:rPr>
                <w:sz w:val="20"/>
                <w:szCs w:val="20"/>
                <w:color w:val="auto"/>
              </w:rPr>
            </w:pPr>
            <w:r>
              <w:rPr>
                <w:rFonts w:ascii="Arial" w:cs="Arial" w:eastAsia="Arial" w:hAnsi="Arial"/>
                <w:sz w:val="22"/>
                <w:szCs w:val="22"/>
                <w:color w:val="auto"/>
                <w:w w:val="98"/>
              </w:rPr>
              <w:t>BFE1.</w:t>
            </w:r>
          </w:p>
        </w:tc>
        <w:tc>
          <w:tcPr>
            <w:tcW w:w="3140" w:type="dxa"/>
            <w:vAlign w:val="bottom"/>
            <w:vMerge w:val="restart"/>
          </w:tcPr>
          <w:p>
            <w:pPr>
              <w:ind w:left="440"/>
              <w:spacing w:after="0"/>
              <w:rPr>
                <w:sz w:val="20"/>
                <w:szCs w:val="20"/>
                <w:color w:val="auto"/>
              </w:rPr>
            </w:pPr>
            <w:r>
              <w:rPr>
                <w:rFonts w:ascii="Arial" w:cs="Arial" w:eastAsia="Arial" w:hAnsi="Arial"/>
                <w:sz w:val="22"/>
                <w:szCs w:val="22"/>
                <w:color w:val="auto"/>
              </w:rPr>
              <w:t>BFE Variables</w:t>
            </w: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CS1R1.</w:t>
            </w:r>
          </w:p>
        </w:tc>
        <w:tc>
          <w:tcPr>
            <w:tcW w:w="3140" w:type="dxa"/>
            <w:vAlign w:val="bottom"/>
            <w:vMerge w:val="restart"/>
          </w:tcPr>
          <w:p>
            <w:pPr>
              <w:ind w:left="440"/>
              <w:spacing w:after="0"/>
              <w:rPr>
                <w:sz w:val="20"/>
                <w:szCs w:val="20"/>
                <w:color w:val="auto"/>
              </w:rPr>
            </w:pPr>
            <w:r>
              <w:rPr>
                <w:rFonts w:ascii="Arial" w:cs="Arial" w:eastAsia="Arial" w:hAnsi="Arial"/>
                <w:sz w:val="22"/>
                <w:szCs w:val="22"/>
                <w:color w:val="auto"/>
                <w:w w:val="96"/>
              </w:rPr>
              <w:t>Customer Support Variables</w:t>
            </w: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7"/>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EE1.</w:t>
            </w:r>
          </w:p>
        </w:tc>
        <w:tc>
          <w:tcPr>
            <w:tcW w:w="3140" w:type="dxa"/>
            <w:vAlign w:val="bottom"/>
          </w:tcPr>
          <w:p>
            <w:pPr>
              <w:ind w:left="4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78"/>
        </w:trPr>
        <w:tc>
          <w:tcPr>
            <w:tcW w:w="1200" w:type="dxa"/>
            <w:vAlign w:val="bottom"/>
          </w:tcPr>
          <w:p>
            <w:pPr>
              <w:jc w:val="center"/>
              <w:ind w:right="352"/>
              <w:spacing w:after="0"/>
              <w:rPr>
                <w:sz w:val="20"/>
                <w:szCs w:val="20"/>
                <w:color w:val="auto"/>
              </w:rPr>
            </w:pPr>
            <w:r>
              <w:rPr>
                <w:rFonts w:ascii="Arial" w:cs="Arial" w:eastAsia="Arial" w:hAnsi="Arial"/>
                <w:sz w:val="22"/>
                <w:szCs w:val="22"/>
                <w:color w:val="auto"/>
                <w:w w:val="96"/>
              </w:rPr>
              <w:t>SLP1.</w:t>
            </w:r>
          </w:p>
        </w:tc>
        <w:tc>
          <w:tcPr>
            <w:tcW w:w="3140" w:type="dxa"/>
            <w:vAlign w:val="bottom"/>
          </w:tcPr>
          <w:p>
            <w:pPr>
              <w:ind w:left="44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LETTER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pacing w:after="0" w:line="1378" w:lineRule="exact"/>
        <w:rPr>
          <w:sz w:val="20"/>
          <w:szCs w:val="20"/>
          <w:color w:val="auto"/>
        </w:rPr>
      </w:pPr>
    </w:p>
    <w:p>
      <w:pPr>
        <w:sectPr>
          <w:pgSz w:w="11900" w:h="16838" w:orient="portrait"/>
          <w:cols w:equalWidth="0" w:num="2">
            <w:col w:w="9640" w:space="720"/>
            <w:col w:w="540"/>
          </w:cols>
          <w:pgMar w:left="400" w:top="137" w:right="599" w:bottom="0" w:gutter="0" w:footer="0" w:header="0"/>
          <w:type w:val="continuous"/>
        </w:sectPr>
      </w:pPr>
    </w:p>
    <w:p>
      <w:pPr>
        <w:spacing w:after="0"/>
        <w:rPr>
          <w:sz w:val="20"/>
          <w:szCs w:val="20"/>
          <w:color w:val="auto"/>
        </w:rPr>
      </w:pPr>
      <w:r>
        <w:rPr>
          <w:rFonts w:ascii="Arial" w:cs="Arial" w:eastAsia="Arial" w:hAnsi="Arial"/>
          <w:sz w:val="21"/>
          <w:szCs w:val="21"/>
          <w:color w:val="auto"/>
        </w:rPr>
        <w:t>LA-1106648R1</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LA-1106649</w:t>
      </w:r>
    </w:p>
    <w:p>
      <w:pPr>
        <w:spacing w:after="0" w:line="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LA</w:t>
      </w:r>
      <w:r>
        <w:rPr>
          <w:rFonts w:ascii="Arial" w:cs="Arial" w:eastAsia="Arial" w:hAnsi="Arial"/>
          <w:sz w:val="21"/>
          <w:szCs w:val="21"/>
          <w:color w:val="auto"/>
        </w:rPr>
        <w:t>-</w:t>
      </w:r>
      <w:r>
        <w:rPr>
          <w:rFonts w:ascii="Arial" w:cs="Arial" w:eastAsia="Arial" w:hAnsi="Arial"/>
          <w:sz w:val="21"/>
          <w:szCs w:val="21"/>
          <w:b w:val="1"/>
          <w:bCs w:val="1"/>
          <w:color w:val="auto"/>
        </w:rPr>
        <w:t>1106650R6</w:t>
      </w:r>
    </w:p>
    <w:p>
      <w:pPr>
        <w:spacing w:after="0" w:line="272" w:lineRule="exact"/>
        <w:rPr>
          <w:sz w:val="20"/>
          <w:szCs w:val="20"/>
          <w:color w:val="auto"/>
        </w:rPr>
      </w:pPr>
    </w:p>
    <w:p>
      <w:pPr>
        <w:ind w:right="200"/>
        <w:spacing w:after="0" w:line="434" w:lineRule="auto"/>
        <w:rPr>
          <w:sz w:val="20"/>
          <w:szCs w:val="20"/>
          <w:color w:val="auto"/>
        </w:rPr>
      </w:pPr>
      <w:r>
        <w:rPr>
          <w:rFonts w:ascii="Arial" w:cs="Arial" w:eastAsia="Arial" w:hAnsi="Arial"/>
          <w:sz w:val="21"/>
          <w:szCs w:val="21"/>
          <w:b w:val="1"/>
          <w:bCs w:val="1"/>
          <w:color w:val="auto"/>
        </w:rPr>
        <w:t xml:space="preserve">LA-1106651R5 LA-1106652R1 </w:t>
      </w:r>
      <w:r>
        <w:rPr>
          <w:rFonts w:ascii="Arial" w:cs="Arial" w:eastAsia="Arial" w:hAnsi="Arial"/>
          <w:sz w:val="21"/>
          <w:szCs w:val="21"/>
          <w:color w:val="auto"/>
        </w:rPr>
        <w:t xml:space="preserve">LA-1106654 </w:t>
      </w:r>
      <w:r>
        <w:rPr>
          <w:rFonts w:ascii="Arial" w:cs="Arial" w:eastAsia="Arial" w:hAnsi="Arial"/>
          <w:sz w:val="21"/>
          <w:szCs w:val="21"/>
          <w:color w:val="auto"/>
          <w:strike w:val="1"/>
        </w:rPr>
        <w:t>LA-1106655 LA-1106656R1 LA-1106657R1 LA-1106663 R1 LA-1106664 R1 LA-1106658 LA-1106659R3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Special Matters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Aircraft Model Substitution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AGTA Terms Revisions for MAX</w:t>
      </w:r>
    </w:p>
    <w:p>
      <w:pPr>
        <w:spacing w:after="0" w:line="98" w:lineRule="exact"/>
        <w:rPr>
          <w:sz w:val="20"/>
          <w:szCs w:val="20"/>
          <w:color w:val="auto"/>
        </w:rPr>
      </w:pPr>
    </w:p>
    <w:p>
      <w:pPr>
        <w:spacing w:after="0"/>
        <w:rPr>
          <w:sz w:val="20"/>
          <w:szCs w:val="20"/>
          <w:color w:val="auto"/>
        </w:rPr>
      </w:pPr>
      <w:r>
        <w:rPr>
          <w:rFonts w:ascii="Arial" w:cs="Arial" w:eastAsia="Arial" w:hAnsi="Arial"/>
          <w:sz w:val="21"/>
          <w:szCs w:val="21"/>
          <w:color w:val="auto"/>
          <w:strike w:val="1"/>
        </w:rPr>
        <w:t>Open Matters – 737 MAX</w:t>
      </w:r>
      <w:r>
        <w:rPr>
          <w:rFonts w:ascii="Arial" w:cs="Arial" w:eastAsia="Arial" w:hAnsi="Arial"/>
          <w:sz w:val="21"/>
          <w:szCs w:val="21"/>
          <w:color w:val="auto"/>
        </w:rPr>
        <w:t xml:space="preserve"> Withdrawn</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Most Favored Customer – 737 MAX</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22</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22</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color w:val="auto"/>
        </w:rPr>
        <w:t>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21</w:t>
      </w:r>
    </w:p>
    <w:p>
      <w:pPr>
        <w:spacing w:after="0" w:line="435" w:lineRule="exact"/>
        <w:rPr>
          <w:sz w:val="20"/>
          <w:szCs w:val="20"/>
          <w:color w:val="auto"/>
        </w:rPr>
      </w:pPr>
    </w:p>
    <w:p>
      <w:pPr>
        <w:sectPr>
          <w:pgSz w:w="11900" w:h="16838" w:orient="portrait"/>
          <w:cols w:equalWidth="0" w:num="3">
            <w:col w:w="1680" w:space="720"/>
            <w:col w:w="7180" w:space="720"/>
            <w:col w:w="600"/>
          </w:cols>
          <w:pgMar w:left="400" w:top="137" w:right="599" w:bottom="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right="-17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1 of 2</w:t>
      </w:r>
      <w:r>
        <w:rPr>
          <w:sz w:val="20"/>
          <w:szCs w:val="20"/>
          <w:color w:val="auto"/>
        </w:rPr>
        <w:tab/>
      </w:r>
      <w:r>
        <w:rPr>
          <w:rFonts w:ascii="Arial" w:cs="Arial" w:eastAsia="Arial" w:hAnsi="Arial"/>
          <w:sz w:val="21"/>
          <w:szCs w:val="21"/>
          <w:color w:val="auto"/>
        </w:rPr>
        <w:t>SA-22</w:t>
      </w:r>
    </w:p>
    <w:p>
      <w:pPr>
        <w:jc w:val="center"/>
        <w:ind w:right="-17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900"/>
          </w:cols>
          <w:pgMar w:left="400" w:top="137" w:right="599" w:bottom="0" w:gutter="0" w:footer="0" w:header="0"/>
          <w:type w:val="continuous"/>
        </w:sectPr>
      </w:pPr>
    </w:p>
    <w:bookmarkStart w:id="142" w:name="page143"/>
    <w:bookmarkEnd w:id="142"/>
    <w:p>
      <w:pPr>
        <w:jc w:val="center"/>
        <w:ind w:right="-239"/>
        <w:spacing w:after="0"/>
        <w:rPr>
          <w:sz w:val="20"/>
          <w:szCs w:val="20"/>
          <w:color w:val="auto"/>
        </w:rPr>
      </w:pPr>
      <w:r>
        <w:rPr>
          <w:rFonts w:ascii="Arial" w:cs="Arial" w:eastAsia="Arial" w:hAnsi="Arial"/>
          <w:sz w:val="21"/>
          <w:szCs w:val="21"/>
          <w:b w:val="1"/>
          <w:bCs w:val="1"/>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
        <w:spacing w:after="0"/>
        <w:tabs>
          <w:tab w:leader="none" w:pos="2460" w:val="left"/>
        </w:tabs>
        <w:rPr>
          <w:sz w:val="20"/>
          <w:szCs w:val="20"/>
          <w:color w:val="auto"/>
        </w:rPr>
      </w:pPr>
      <w:r>
        <w:rPr>
          <w:rFonts w:ascii="Arial" w:cs="Arial" w:eastAsia="Arial" w:hAnsi="Arial"/>
          <w:sz w:val="22"/>
          <w:szCs w:val="22"/>
          <w:color w:val="auto"/>
        </w:rPr>
        <w:t>LA-1106660</w:t>
      </w:r>
      <w:r>
        <w:rPr>
          <w:sz w:val="20"/>
          <w:szCs w:val="20"/>
          <w:color w:val="auto"/>
        </w:rPr>
        <w:tab/>
      </w:r>
      <w:r>
        <w:rPr>
          <w:rFonts w:ascii="Arial" w:cs="Arial" w:eastAsia="Arial" w:hAnsi="Arial"/>
          <w:sz w:val="21"/>
          <w:szCs w:val="21"/>
          <w:color w:val="auto"/>
        </w:rPr>
        <w:t>Spare Parts Initial Provisioning</w:t>
      </w:r>
    </w:p>
    <w:p>
      <w:pPr>
        <w:sectPr>
          <w:pgSz w:w="11900" w:h="16838" w:orient="portrait"/>
          <w:cols w:equalWidth="0" w:num="1">
            <w:col w:w="11020"/>
          </w:cols>
          <w:pgMar w:left="320" w:top="961" w:right="5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Arial" w:cs="Arial" w:eastAsia="Arial" w:hAnsi="Arial"/>
          <w:sz w:val="22"/>
          <w:szCs w:val="22"/>
          <w:b w:val="1"/>
          <w:bCs w:val="1"/>
          <w:u w:val="single" w:color="auto"/>
          <w:color w:val="auto"/>
        </w:rPr>
        <w:t>LETTER AGREEMENTS,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200" w:type="dxa"/>
            <w:vAlign w:val="bottom"/>
            <w:gridSpan w:val="2"/>
          </w:tcPr>
          <w:p>
            <w:pPr>
              <w:ind w:left="80"/>
              <w:spacing w:after="0"/>
              <w:rPr>
                <w:sz w:val="20"/>
                <w:szCs w:val="20"/>
                <w:color w:val="auto"/>
              </w:rPr>
            </w:pPr>
            <w:r>
              <w:rPr>
                <w:rFonts w:ascii="Arial" w:cs="Arial" w:eastAsia="Arial" w:hAnsi="Arial"/>
                <w:sz w:val="22"/>
                <w:szCs w:val="22"/>
                <w:color w:val="auto"/>
              </w:rPr>
              <w:t>LA-1106661R2</w:t>
            </w:r>
          </w:p>
        </w:tc>
        <w:tc>
          <w:tcPr>
            <w:tcW w:w="3440" w:type="dxa"/>
            <w:vAlign w:val="bottom"/>
          </w:tcPr>
          <w:p>
            <w:pPr>
              <w:ind w:left="280"/>
              <w:spacing w:after="0"/>
              <w:rPr>
                <w:sz w:val="20"/>
                <w:szCs w:val="20"/>
                <w:color w:val="auto"/>
              </w:rPr>
            </w:pPr>
            <w:r>
              <w:rPr>
                <w:rFonts w:ascii="Arial" w:cs="Arial" w:eastAsia="Arial" w:hAnsi="Arial"/>
                <w:sz w:val="19"/>
                <w:szCs w:val="19"/>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LA-1106667</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19"/>
                <w:szCs w:val="19"/>
                <w:color w:val="auto"/>
              </w:rPr>
              <w:t>[****]</w:t>
            </w:r>
          </w:p>
        </w:tc>
      </w:tr>
      <w:tr>
        <w:trPr>
          <w:trHeight w:val="432"/>
        </w:trPr>
        <w:tc>
          <w:tcPr>
            <w:tcW w:w="2200" w:type="dxa"/>
            <w:vAlign w:val="bottom"/>
            <w:gridSpan w:val="2"/>
          </w:tcPr>
          <w:p>
            <w:pPr>
              <w:ind w:left="80"/>
              <w:spacing w:after="0"/>
              <w:rPr>
                <w:sz w:val="20"/>
                <w:szCs w:val="20"/>
                <w:color w:val="auto"/>
              </w:rPr>
            </w:pPr>
            <w:r>
              <w:rPr>
                <w:rFonts w:ascii="Arial" w:cs="Arial" w:eastAsia="Arial" w:hAnsi="Arial"/>
                <w:sz w:val="22"/>
                <w:szCs w:val="22"/>
                <w:color w:val="auto"/>
              </w:rPr>
              <w:t>LA-1106668R1</w:t>
            </w:r>
          </w:p>
        </w:tc>
        <w:tc>
          <w:tcPr>
            <w:tcW w:w="3440" w:type="dxa"/>
            <w:vAlign w:val="bottom"/>
          </w:tcPr>
          <w:p>
            <w:pPr>
              <w:ind w:left="280"/>
              <w:spacing w:after="0"/>
              <w:rPr>
                <w:sz w:val="20"/>
                <w:szCs w:val="20"/>
                <w:color w:val="auto"/>
              </w:rPr>
            </w:pPr>
            <w:r>
              <w:rPr>
                <w:rFonts w:ascii="Arial" w:cs="Arial" w:eastAsia="Arial" w:hAnsi="Arial"/>
                <w:sz w:val="19"/>
                <w:szCs w:val="19"/>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LA-1106669</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19"/>
                <w:szCs w:val="19"/>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LA-1106670</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22"/>
                <w:szCs w:val="22"/>
                <w:color w:val="auto"/>
              </w:rPr>
              <w:t>Confidentiality</w:t>
            </w:r>
          </w:p>
        </w:tc>
      </w:tr>
      <w:tr>
        <w:trPr>
          <w:trHeight w:val="432"/>
        </w:trPr>
        <w:tc>
          <w:tcPr>
            <w:tcW w:w="2200" w:type="dxa"/>
            <w:vAlign w:val="bottom"/>
            <w:gridSpan w:val="2"/>
          </w:tcPr>
          <w:p>
            <w:pPr>
              <w:ind w:left="80"/>
              <w:spacing w:after="0"/>
              <w:rPr>
                <w:sz w:val="20"/>
                <w:szCs w:val="20"/>
                <w:color w:val="auto"/>
              </w:rPr>
            </w:pPr>
            <w:r>
              <w:rPr>
                <w:rFonts w:ascii="Arial" w:cs="Arial" w:eastAsia="Arial" w:hAnsi="Arial"/>
                <w:sz w:val="22"/>
                <w:szCs w:val="22"/>
                <w:color w:val="auto"/>
              </w:rPr>
              <w:t>LA-1106671R1</w:t>
            </w:r>
          </w:p>
        </w:tc>
        <w:tc>
          <w:tcPr>
            <w:tcW w:w="3440" w:type="dxa"/>
            <w:vAlign w:val="bottom"/>
          </w:tcPr>
          <w:p>
            <w:pPr>
              <w:ind w:left="280"/>
              <w:spacing w:after="0"/>
              <w:rPr>
                <w:sz w:val="20"/>
                <w:szCs w:val="20"/>
                <w:color w:val="auto"/>
              </w:rPr>
            </w:pPr>
            <w:r>
              <w:rPr>
                <w:rFonts w:ascii="Arial" w:cs="Arial" w:eastAsia="Arial" w:hAnsi="Arial"/>
                <w:sz w:val="22"/>
                <w:szCs w:val="22"/>
                <w:color w:val="auto"/>
              </w:rPr>
              <w:t>Miscellaneous Commitments</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LA-1106672</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22"/>
                <w:szCs w:val="22"/>
                <w:color w:val="auto"/>
              </w:rPr>
              <w:t>Extended Warranty Option</w:t>
            </w:r>
          </w:p>
        </w:tc>
      </w:tr>
      <w:tr>
        <w:trPr>
          <w:trHeight w:val="432"/>
        </w:trPr>
        <w:tc>
          <w:tcPr>
            <w:tcW w:w="2200" w:type="dxa"/>
            <w:vAlign w:val="bottom"/>
            <w:gridSpan w:val="2"/>
          </w:tcPr>
          <w:p>
            <w:pPr>
              <w:ind w:left="80"/>
              <w:spacing w:after="0"/>
              <w:rPr>
                <w:sz w:val="20"/>
                <w:szCs w:val="20"/>
                <w:color w:val="auto"/>
              </w:rPr>
            </w:pPr>
            <w:r>
              <w:rPr>
                <w:rFonts w:ascii="Arial" w:cs="Arial" w:eastAsia="Arial" w:hAnsi="Arial"/>
                <w:sz w:val="22"/>
                <w:szCs w:val="22"/>
                <w:color w:val="auto"/>
              </w:rPr>
              <w:t>LA-1106673R1*</w:t>
            </w:r>
          </w:p>
        </w:tc>
        <w:tc>
          <w:tcPr>
            <w:tcW w:w="3440" w:type="dxa"/>
            <w:vAlign w:val="bottom"/>
          </w:tcPr>
          <w:p>
            <w:pPr>
              <w:ind w:left="280"/>
              <w:spacing w:after="0"/>
              <w:rPr>
                <w:sz w:val="20"/>
                <w:szCs w:val="20"/>
                <w:color w:val="auto"/>
              </w:rPr>
            </w:pPr>
            <w:r>
              <w:rPr>
                <w:rFonts w:ascii="Arial" w:cs="Arial" w:eastAsia="Arial" w:hAnsi="Arial"/>
                <w:sz w:val="19"/>
                <w:szCs w:val="19"/>
                <w:color w:val="auto"/>
              </w:rPr>
              <w:t>[****]</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LA-1106677</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22"/>
                <w:szCs w:val="22"/>
                <w:color w:val="auto"/>
                <w:w w:val="97"/>
              </w:rPr>
              <w:t>Optional Features Comfort Letter</w:t>
            </w:r>
          </w:p>
        </w:tc>
      </w:tr>
      <w:tr>
        <w:trPr>
          <w:trHeight w:val="432"/>
        </w:trPr>
        <w:tc>
          <w:tcPr>
            <w:tcW w:w="1360" w:type="dxa"/>
            <w:vAlign w:val="bottom"/>
          </w:tcPr>
          <w:p>
            <w:pPr>
              <w:ind w:left="80"/>
              <w:spacing w:after="0"/>
              <w:rPr>
                <w:sz w:val="20"/>
                <w:szCs w:val="20"/>
                <w:color w:val="auto"/>
              </w:rPr>
            </w:pPr>
            <w:r>
              <w:rPr>
                <w:rFonts w:ascii="Arial" w:cs="Arial" w:eastAsia="Arial" w:hAnsi="Arial"/>
                <w:sz w:val="22"/>
                <w:szCs w:val="22"/>
                <w:color w:val="auto"/>
              </w:rPr>
              <w:t>LA-1600073</w:t>
            </w:r>
          </w:p>
        </w:tc>
        <w:tc>
          <w:tcPr>
            <w:tcW w:w="840" w:type="dxa"/>
            <w:vAlign w:val="bottom"/>
          </w:tcPr>
          <w:p>
            <w:pPr>
              <w:spacing w:after="0"/>
              <w:rPr>
                <w:sz w:val="24"/>
                <w:szCs w:val="24"/>
                <w:color w:val="auto"/>
              </w:rPr>
            </w:pPr>
          </w:p>
        </w:tc>
        <w:tc>
          <w:tcPr>
            <w:tcW w:w="3440" w:type="dxa"/>
            <w:vAlign w:val="bottom"/>
          </w:tcPr>
          <w:p>
            <w:pPr>
              <w:ind w:left="280"/>
              <w:spacing w:after="0"/>
              <w:rPr>
                <w:sz w:val="20"/>
                <w:szCs w:val="20"/>
                <w:color w:val="auto"/>
              </w:rPr>
            </w:pPr>
            <w:r>
              <w:rPr>
                <w:rFonts w:ascii="Arial" w:cs="Arial" w:eastAsia="Arial" w:hAnsi="Arial"/>
                <w:sz w:val="19"/>
                <w:szCs w:val="19"/>
                <w:color w:val="auto"/>
              </w:rPr>
              <w:t>[****]</w:t>
            </w:r>
          </w:p>
        </w:tc>
      </w:tr>
      <w:tr>
        <w:trPr>
          <w:trHeight w:val="351"/>
        </w:trPr>
        <w:tc>
          <w:tcPr>
            <w:tcW w:w="1360" w:type="dxa"/>
            <w:vAlign w:val="bottom"/>
          </w:tcPr>
          <w:p>
            <w:pPr>
              <w:spacing w:after="0"/>
              <w:rPr>
                <w:sz w:val="20"/>
                <w:szCs w:val="20"/>
                <w:color w:val="auto"/>
              </w:rPr>
            </w:pPr>
            <w:r>
              <w:rPr>
                <w:rFonts w:ascii="Arial" w:cs="Arial" w:eastAsia="Arial" w:hAnsi="Arial"/>
                <w:sz w:val="22"/>
                <w:szCs w:val="22"/>
                <w:color w:val="auto"/>
              </w:rPr>
              <w:t>LA-1600852</w:t>
            </w:r>
          </w:p>
        </w:tc>
        <w:tc>
          <w:tcPr>
            <w:tcW w:w="840" w:type="dxa"/>
            <w:vAlign w:val="bottom"/>
          </w:tcPr>
          <w:p>
            <w:pPr>
              <w:ind w:left="120"/>
              <w:spacing w:after="0"/>
              <w:rPr>
                <w:sz w:val="20"/>
                <w:szCs w:val="20"/>
                <w:color w:val="auto"/>
              </w:rPr>
            </w:pPr>
            <w:r>
              <w:rPr>
                <w:rFonts w:ascii="Arial" w:cs="Arial" w:eastAsia="Arial" w:hAnsi="Arial"/>
                <w:sz w:val="19"/>
                <w:szCs w:val="19"/>
                <w:color w:val="auto"/>
              </w:rPr>
              <w:t>[****]</w:t>
            </w:r>
          </w:p>
        </w:tc>
        <w:tc>
          <w:tcPr>
            <w:tcW w:w="3440" w:type="dxa"/>
            <w:vAlign w:val="bottom"/>
          </w:tcPr>
          <w:p>
            <w:pPr>
              <w:ind w:left="1660"/>
              <w:spacing w:after="0"/>
              <w:rPr>
                <w:sz w:val="20"/>
                <w:szCs w:val="20"/>
                <w:color w:val="auto"/>
              </w:rPr>
            </w:pPr>
            <w:r>
              <w:rPr>
                <w:rFonts w:ascii="Arial" w:cs="Arial" w:eastAsia="Arial" w:hAnsi="Arial"/>
                <w:sz w:val="22"/>
                <w:szCs w:val="22"/>
                <w:color w:val="auto"/>
              </w:rPr>
              <w:t>5</w:t>
            </w:r>
          </w:p>
        </w:tc>
      </w:tr>
      <w:tr>
        <w:trPr>
          <w:trHeight w:val="216"/>
        </w:trPr>
        <w:tc>
          <w:tcPr>
            <w:tcW w:w="2200" w:type="dxa"/>
            <w:vAlign w:val="bottom"/>
            <w:gridSpan w:val="2"/>
          </w:tcPr>
          <w:p>
            <w:pPr>
              <w:spacing w:after="0" w:line="216" w:lineRule="exact"/>
              <w:rPr>
                <w:sz w:val="20"/>
                <w:szCs w:val="20"/>
                <w:color w:val="auto"/>
              </w:rPr>
            </w:pPr>
            <w:r>
              <w:rPr>
                <w:rFonts w:ascii="Arial" w:cs="Arial" w:eastAsia="Arial" w:hAnsi="Arial"/>
                <w:sz w:val="22"/>
                <w:szCs w:val="22"/>
                <w:color w:val="auto"/>
              </w:rPr>
              <w:t>LA-1603773 [****]</w:t>
            </w:r>
          </w:p>
        </w:tc>
        <w:tc>
          <w:tcPr>
            <w:tcW w:w="3440" w:type="dxa"/>
            <w:vAlign w:val="bottom"/>
          </w:tcPr>
          <w:p>
            <w:pPr>
              <w:ind w:left="1000"/>
              <w:spacing w:after="0" w:line="216" w:lineRule="exact"/>
              <w:rPr>
                <w:sz w:val="20"/>
                <w:szCs w:val="20"/>
                <w:color w:val="auto"/>
              </w:rPr>
            </w:pPr>
            <w:r>
              <w:rPr>
                <w:rFonts w:ascii="Arial" w:cs="Arial" w:eastAsia="Arial" w:hAnsi="Arial"/>
                <w:sz w:val="22"/>
                <w:szCs w:val="22"/>
                <w:color w:val="auto"/>
              </w:rPr>
              <w:t>5</w:t>
            </w:r>
          </w:p>
        </w:tc>
      </w:tr>
      <w:tr>
        <w:trPr>
          <w:trHeight w:val="216"/>
        </w:trPr>
        <w:tc>
          <w:tcPr>
            <w:tcW w:w="2200" w:type="dxa"/>
            <w:vAlign w:val="bottom"/>
            <w:gridSpan w:val="2"/>
          </w:tcPr>
          <w:p>
            <w:pPr>
              <w:spacing w:after="0" w:line="216" w:lineRule="exact"/>
              <w:rPr>
                <w:sz w:val="20"/>
                <w:szCs w:val="20"/>
                <w:color w:val="auto"/>
              </w:rPr>
            </w:pPr>
            <w:r>
              <w:rPr>
                <w:rFonts w:ascii="Arial" w:cs="Arial" w:eastAsia="Arial" w:hAnsi="Arial"/>
                <w:sz w:val="22"/>
                <w:szCs w:val="22"/>
                <w:color w:val="auto"/>
              </w:rPr>
              <w:t>LA-1605402 [****]</w:t>
            </w:r>
          </w:p>
        </w:tc>
        <w:tc>
          <w:tcPr>
            <w:tcW w:w="3440" w:type="dxa"/>
            <w:vAlign w:val="bottom"/>
          </w:tcPr>
          <w:p>
            <w:pPr>
              <w:ind w:left="1480"/>
              <w:spacing w:after="0" w:line="216" w:lineRule="exact"/>
              <w:rPr>
                <w:sz w:val="20"/>
                <w:szCs w:val="20"/>
                <w:color w:val="auto"/>
              </w:rPr>
            </w:pPr>
            <w:r>
              <w:rPr>
                <w:rFonts w:ascii="Arial" w:cs="Arial" w:eastAsia="Arial" w:hAnsi="Arial"/>
                <w:sz w:val="22"/>
                <w:szCs w:val="22"/>
                <w:color w:val="auto"/>
              </w:rPr>
              <w:t>6</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LA-1700919</w:t>
            </w:r>
          </w:p>
        </w:tc>
        <w:tc>
          <w:tcPr>
            <w:tcW w:w="84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440" w:type="dxa"/>
            <w:vAlign w:val="bottom"/>
          </w:tcPr>
          <w:p>
            <w:pPr>
              <w:ind w:left="1960"/>
              <w:spacing w:after="0" w:line="216" w:lineRule="exact"/>
              <w:rPr>
                <w:sz w:val="20"/>
                <w:szCs w:val="20"/>
                <w:color w:val="auto"/>
              </w:rPr>
            </w:pPr>
            <w:r>
              <w:rPr>
                <w:rFonts w:ascii="Arial" w:cs="Arial" w:eastAsia="Arial" w:hAnsi="Arial"/>
                <w:sz w:val="22"/>
                <w:szCs w:val="22"/>
                <w:color w:val="auto"/>
              </w:rPr>
              <w:t>7</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LA-1801206</w:t>
            </w:r>
          </w:p>
        </w:tc>
        <w:tc>
          <w:tcPr>
            <w:tcW w:w="84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440" w:type="dxa"/>
            <w:vAlign w:val="bottom"/>
          </w:tcPr>
          <w:p>
            <w:pPr>
              <w:ind w:left="1480"/>
              <w:spacing w:after="0" w:line="216" w:lineRule="exact"/>
              <w:rPr>
                <w:sz w:val="20"/>
                <w:szCs w:val="20"/>
                <w:color w:val="auto"/>
              </w:rPr>
            </w:pPr>
            <w:r>
              <w:rPr>
                <w:rFonts w:ascii="Arial" w:cs="Arial" w:eastAsia="Arial" w:hAnsi="Arial"/>
                <w:sz w:val="22"/>
                <w:szCs w:val="22"/>
                <w:color w:val="auto"/>
              </w:rPr>
              <w:t>9</w:t>
            </w:r>
          </w:p>
        </w:tc>
      </w:tr>
      <w:tr>
        <w:trPr>
          <w:trHeight w:val="216"/>
        </w:trPr>
        <w:tc>
          <w:tcPr>
            <w:tcW w:w="2200" w:type="dxa"/>
            <w:vAlign w:val="bottom"/>
            <w:gridSpan w:val="2"/>
          </w:tcPr>
          <w:p>
            <w:pPr>
              <w:spacing w:after="0" w:line="216" w:lineRule="exact"/>
              <w:rPr>
                <w:sz w:val="20"/>
                <w:szCs w:val="20"/>
                <w:color w:val="auto"/>
              </w:rPr>
            </w:pPr>
            <w:r>
              <w:rPr>
                <w:rFonts w:ascii="Arial" w:cs="Arial" w:eastAsia="Arial" w:hAnsi="Arial"/>
                <w:sz w:val="22"/>
                <w:szCs w:val="22"/>
                <w:color w:val="auto"/>
              </w:rPr>
              <w:t>LA-2002704 [****]</w:t>
            </w:r>
          </w:p>
        </w:tc>
        <w:tc>
          <w:tcPr>
            <w:tcW w:w="3440" w:type="dxa"/>
            <w:vAlign w:val="bottom"/>
          </w:tcPr>
          <w:p>
            <w:pPr>
              <w:ind w:left="1480"/>
              <w:spacing w:after="0" w:line="216" w:lineRule="exact"/>
              <w:rPr>
                <w:sz w:val="20"/>
                <w:szCs w:val="20"/>
                <w:color w:val="auto"/>
              </w:rPr>
            </w:pPr>
            <w:r>
              <w:rPr>
                <w:rFonts w:ascii="Arial" w:cs="Arial" w:eastAsia="Arial" w:hAnsi="Arial"/>
                <w:sz w:val="22"/>
                <w:szCs w:val="22"/>
                <w:color w:val="auto"/>
              </w:rPr>
              <w:t>11</w:t>
            </w:r>
          </w:p>
        </w:tc>
      </w:tr>
      <w:tr>
        <w:trPr>
          <w:trHeight w:val="216"/>
        </w:trPr>
        <w:tc>
          <w:tcPr>
            <w:tcW w:w="2200" w:type="dxa"/>
            <w:vAlign w:val="bottom"/>
            <w:gridSpan w:val="2"/>
          </w:tcPr>
          <w:p>
            <w:pPr>
              <w:spacing w:after="0" w:line="216" w:lineRule="exact"/>
              <w:rPr>
                <w:sz w:val="20"/>
                <w:szCs w:val="20"/>
                <w:color w:val="auto"/>
              </w:rPr>
            </w:pPr>
            <w:r>
              <w:rPr>
                <w:rFonts w:ascii="Arial" w:cs="Arial" w:eastAsia="Arial" w:hAnsi="Arial"/>
                <w:sz w:val="22"/>
                <w:szCs w:val="22"/>
                <w:color w:val="auto"/>
              </w:rPr>
              <w:t>LA-2002743 [****]</w:t>
            </w:r>
          </w:p>
        </w:tc>
        <w:tc>
          <w:tcPr>
            <w:tcW w:w="3440" w:type="dxa"/>
            <w:vAlign w:val="bottom"/>
          </w:tcPr>
          <w:p>
            <w:pPr>
              <w:ind w:left="1480"/>
              <w:spacing w:after="0" w:line="216" w:lineRule="exact"/>
              <w:rPr>
                <w:sz w:val="20"/>
                <w:szCs w:val="20"/>
                <w:color w:val="auto"/>
              </w:rPr>
            </w:pPr>
            <w:r>
              <w:rPr>
                <w:rFonts w:ascii="Arial" w:cs="Arial" w:eastAsia="Arial" w:hAnsi="Arial"/>
                <w:sz w:val="22"/>
                <w:szCs w:val="22"/>
                <w:color w:val="auto"/>
              </w:rPr>
              <w:t>11</w:t>
            </w:r>
          </w:p>
        </w:tc>
      </w:tr>
      <w:tr>
        <w:trPr>
          <w:trHeight w:val="216"/>
        </w:trPr>
        <w:tc>
          <w:tcPr>
            <w:tcW w:w="1360" w:type="dxa"/>
            <w:vAlign w:val="bottom"/>
          </w:tcPr>
          <w:p>
            <w:pPr>
              <w:spacing w:after="0" w:line="216" w:lineRule="exact"/>
              <w:rPr>
                <w:sz w:val="20"/>
                <w:szCs w:val="20"/>
                <w:color w:val="auto"/>
              </w:rPr>
            </w:pPr>
            <w:r>
              <w:rPr>
                <w:rFonts w:ascii="Arial" w:cs="Arial" w:eastAsia="Arial" w:hAnsi="Arial"/>
                <w:sz w:val="22"/>
                <w:szCs w:val="22"/>
                <w:color w:val="auto"/>
              </w:rPr>
              <w:t>LA-2003342</w:t>
            </w:r>
          </w:p>
        </w:tc>
        <w:tc>
          <w:tcPr>
            <w:tcW w:w="840" w:type="dxa"/>
            <w:vAlign w:val="bottom"/>
          </w:tcPr>
          <w:p>
            <w:pPr>
              <w:ind w:left="120"/>
              <w:spacing w:after="0" w:line="216" w:lineRule="exact"/>
              <w:rPr>
                <w:sz w:val="20"/>
                <w:szCs w:val="20"/>
                <w:color w:val="auto"/>
              </w:rPr>
            </w:pPr>
            <w:r>
              <w:rPr>
                <w:rFonts w:ascii="Arial" w:cs="Arial" w:eastAsia="Arial" w:hAnsi="Arial"/>
                <w:sz w:val="22"/>
                <w:szCs w:val="22"/>
                <w:color w:val="auto"/>
              </w:rPr>
              <w:t>[****]</w:t>
            </w:r>
          </w:p>
        </w:tc>
        <w:tc>
          <w:tcPr>
            <w:tcW w:w="3440" w:type="dxa"/>
            <w:vAlign w:val="bottom"/>
          </w:tcPr>
          <w:p>
            <w:pPr>
              <w:ind w:left="1960"/>
              <w:spacing w:after="0" w:line="216" w:lineRule="exact"/>
              <w:rPr>
                <w:sz w:val="20"/>
                <w:szCs w:val="20"/>
                <w:color w:val="auto"/>
              </w:rPr>
            </w:pPr>
            <w:r>
              <w:rPr>
                <w:rFonts w:ascii="Arial" w:cs="Arial" w:eastAsia="Arial" w:hAnsi="Arial"/>
                <w:sz w:val="22"/>
                <w:szCs w:val="22"/>
                <w:color w:val="auto"/>
              </w:rPr>
              <w:t>11</w:t>
            </w:r>
          </w:p>
        </w:tc>
      </w:tr>
      <w:tr>
        <w:trPr>
          <w:trHeight w:val="283"/>
        </w:trPr>
        <w:tc>
          <w:tcPr>
            <w:tcW w:w="1360" w:type="dxa"/>
            <w:vAlign w:val="bottom"/>
          </w:tcPr>
          <w:p>
            <w:pPr>
              <w:spacing w:after="0"/>
              <w:rPr>
                <w:sz w:val="20"/>
                <w:szCs w:val="20"/>
                <w:color w:val="auto"/>
              </w:rPr>
            </w:pPr>
            <w:r>
              <w:rPr>
                <w:rFonts w:ascii="Arial" w:cs="Arial" w:eastAsia="Arial" w:hAnsi="Arial"/>
                <w:sz w:val="22"/>
                <w:szCs w:val="22"/>
                <w:color w:val="auto"/>
              </w:rPr>
              <w:t>LA-2003486</w:t>
            </w:r>
          </w:p>
        </w:tc>
        <w:tc>
          <w:tcPr>
            <w:tcW w:w="840" w:type="dxa"/>
            <w:vAlign w:val="bottom"/>
          </w:tcPr>
          <w:p>
            <w:pPr>
              <w:ind w:left="120"/>
              <w:spacing w:after="0"/>
              <w:rPr>
                <w:sz w:val="20"/>
                <w:szCs w:val="20"/>
                <w:color w:val="auto"/>
              </w:rPr>
            </w:pPr>
            <w:r>
              <w:rPr>
                <w:rFonts w:ascii="Arial" w:cs="Arial" w:eastAsia="Arial" w:hAnsi="Arial"/>
                <w:sz w:val="22"/>
                <w:szCs w:val="22"/>
                <w:color w:val="auto"/>
              </w:rPr>
              <w:t>[****]</w:t>
            </w:r>
          </w:p>
        </w:tc>
        <w:tc>
          <w:tcPr>
            <w:tcW w:w="3440" w:type="dxa"/>
            <w:vAlign w:val="bottom"/>
          </w:tcPr>
          <w:p>
            <w:pPr>
              <w:ind w:left="1960"/>
              <w:spacing w:after="0"/>
              <w:rPr>
                <w:sz w:val="20"/>
                <w:szCs w:val="20"/>
                <w:color w:val="auto"/>
              </w:rPr>
            </w:pPr>
            <w:r>
              <w:rPr>
                <w:rFonts w:ascii="Arial" w:cs="Arial" w:eastAsia="Arial" w:hAnsi="Arial"/>
                <w:sz w:val="22"/>
                <w:szCs w:val="22"/>
                <w:color w:val="auto"/>
              </w:rPr>
              <w:t>14</w:t>
            </w:r>
          </w:p>
        </w:tc>
      </w:tr>
    </w:tbl>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SA</w:t>
      </w:r>
    </w:p>
    <w:p>
      <w:pPr>
        <w:jc w:val="center"/>
        <w:ind w:right="40"/>
        <w:spacing w:after="0"/>
        <w:rPr>
          <w:sz w:val="20"/>
          <w:szCs w:val="20"/>
          <w:color w:val="auto"/>
        </w:rPr>
      </w:pPr>
      <w:r>
        <w:rPr>
          <w:rFonts w:ascii="Arial" w:cs="Arial" w:eastAsia="Arial" w:hAnsi="Arial"/>
          <w:sz w:val="21"/>
          <w:szCs w:val="21"/>
          <w:b w:val="1"/>
          <w:bCs w:val="1"/>
          <w:u w:val="single" w:color="auto"/>
          <w:color w:val="auto"/>
        </w:rPr>
        <w:t>NUMBER</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4</w:t>
      </w:r>
    </w:p>
    <w:p>
      <w:pPr>
        <w:spacing w:after="0" w:line="2353" w:lineRule="exact"/>
        <w:rPr>
          <w:sz w:val="20"/>
          <w:szCs w:val="20"/>
          <w:color w:val="auto"/>
        </w:rPr>
      </w:pPr>
    </w:p>
    <w:p>
      <w:pPr>
        <w:sectPr>
          <w:pgSz w:w="11900" w:h="16838" w:orient="portrait"/>
          <w:cols w:equalWidth="0" w:num="2">
            <w:col w:w="9300" w:space="720"/>
            <w:col w:w="1000"/>
          </w:cols>
          <w:pgMar w:left="320" w:top="961" w:right="559" w:bottom="1440" w:gutter="0" w:footer="0" w:header="0"/>
          <w:type w:val="continuous"/>
        </w:sectPr>
      </w:pPr>
    </w:p>
    <w:p>
      <w:pPr>
        <w:ind w:firstLine="8"/>
        <w:spacing w:after="0" w:line="236" w:lineRule="auto"/>
        <w:tabs>
          <w:tab w:leader="none" w:pos="144" w:val="left"/>
        </w:tabs>
        <w:numPr>
          <w:ilvl w:val="0"/>
          <w:numId w:val="90"/>
        </w:numPr>
        <w:rPr>
          <w:rFonts w:ascii="Arial" w:cs="Arial" w:eastAsia="Arial" w:hAnsi="Arial"/>
          <w:sz w:val="22"/>
          <w:szCs w:val="22"/>
          <w:color w:val="auto"/>
        </w:rPr>
      </w:pPr>
      <w:r>
        <w:rPr>
          <w:rFonts w:ascii="Arial" w:cs="Arial" w:eastAsia="Arial" w:hAnsi="Arial"/>
          <w:sz w:val="22"/>
          <w:szCs w:val="22"/>
          <w:color w:val="auto"/>
        </w:rPr>
        <w:t>- This is an intended gap as there are no Letter Agreements LA-1106674 through LA-1106676 incorporated by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tabs>
          <w:tab w:leader="none" w:pos="220" w:val="left"/>
          <w:tab w:leader="none" w:pos="220" w:val="left"/>
        </w:tabs>
        <w:rPr>
          <w:sz w:val="20"/>
          <w:szCs w:val="20"/>
          <w:color w:val="auto"/>
        </w:rPr>
      </w:pPr>
      <w:r>
        <w:rPr>
          <w:rFonts w:ascii="Arial" w:cs="Arial" w:eastAsia="Arial" w:hAnsi="Arial"/>
          <w:sz w:val="22"/>
          <w:szCs w:val="22"/>
          <w:color w:val="auto"/>
        </w:rPr>
        <w:t>PA-03735</w:t>
        <w:tab/>
        <w:t>TABLE OF CONTENTS, Page 2 of 2</w:t>
      </w:r>
      <w:r>
        <w:rPr>
          <w:sz w:val="20"/>
          <w:szCs w:val="20"/>
          <w:color w:val="auto"/>
        </w:rPr>
        <w:tab/>
      </w:r>
      <w:r>
        <w:rPr>
          <w:rFonts w:ascii="Arial" w:cs="Arial" w:eastAsia="Arial" w:hAnsi="Arial"/>
          <w:sz w:val="21"/>
          <w:szCs w:val="21"/>
          <w:color w:val="auto"/>
        </w:rPr>
        <w:t>SA-22</w:t>
      </w:r>
    </w:p>
    <w:p>
      <w:pPr>
        <w:jc w:val="center"/>
        <w:ind w:right="-23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020"/>
          </w:cols>
          <w:pgMar w:left="320" w:top="961" w:right="559" w:bottom="1440" w:gutter="0" w:footer="0" w:header="0"/>
          <w:type w:val="continuous"/>
        </w:sectPr>
      </w:pPr>
    </w:p>
    <w:bookmarkStart w:id="143" w:name="page144"/>
    <w:bookmarkEnd w:id="14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3771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77190"/>
                    </a:xfrm>
                    <a:prstGeom prst="rect">
                      <a:avLst/>
                    </a:prstGeom>
                    <a:noFill/>
                  </pic:spPr>
                </pic:pic>
              </a:graphicData>
            </a:graphic>
          </wp:anchor>
        </w:drawing>
        <w:t>Table 1-4R1 To</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Purchase Agreement No. PA-03735</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737-8 [****] Aircraft Delivery, Description, Price and Advance Payments</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Airframe</w:t>
            </w: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Model/MTOW:</w:t>
            </w: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737-8</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Detail Specification:</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CFMLEAP-</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Airframe Price Base Year/Escalation</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Engine Model/Thrust: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1B25</w:t>
            </w:r>
          </w:p>
        </w:tc>
        <w:tc>
          <w:tcPr>
            <w:tcW w:w="22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pounds</w:t>
            </w: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Engine Price Base Year/Escalation</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Airframe Price:</w:t>
            </w: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Formula:</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Optional Features:</w:t>
            </w: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Sub-Total of Airframe and Features:</w:t>
            </w:r>
          </w:p>
        </w:tc>
        <w:tc>
          <w:tcPr>
            <w:tcW w:w="1020" w:type="dxa"/>
            <w:vAlign w:val="bottom"/>
            <w:tcBorders>
              <w:bottom w:val="single" w:sz="8" w:color="auto"/>
            </w:tcBorders>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Airframe Escalation Data:</w:t>
            </w:r>
          </w:p>
        </w:tc>
        <w:tc>
          <w:tcPr>
            <w:tcW w:w="28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3140" w:type="dxa"/>
            <w:vAlign w:val="bottom"/>
            <w:gridSpan w:val="3"/>
            <w:vMerge w:val="continue"/>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40" w:type="dxa"/>
            <w:vAlign w:val="bottom"/>
            <w:tcBorders>
              <w:bottom w:val="single" w:sz="8" w:color="auto"/>
            </w:tcBorders>
            <w:gridSpan w:val="3"/>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Engine Price (Per Aircraft):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(ECI):</w:t>
            </w:r>
          </w:p>
        </w:tc>
        <w:tc>
          <w:tcPr>
            <w:tcW w:w="8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Aircraft Basic Price (Excluding</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BFE/SPE):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Base Year Index (CPI):</w:t>
            </w:r>
          </w:p>
        </w:tc>
        <w:tc>
          <w:tcPr>
            <w:tcW w:w="8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Buyer Furnished Equipment (BFE)</w:t>
            </w:r>
          </w:p>
        </w:tc>
        <w:tc>
          <w:tcPr>
            <w:tcW w:w="1020" w:type="dxa"/>
            <w:vAlign w:val="bottom"/>
            <w:tcBorders>
              <w:bottom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140" w:type="dxa"/>
            <w:vAlign w:val="bottom"/>
            <w:gridSpan w:val="3"/>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40" w:type="dxa"/>
            <w:vAlign w:val="bottom"/>
            <w:gridSpan w:val="3"/>
            <w:vMerge w:val="continue"/>
          </w:tcPr>
          <w:p>
            <w:pPr>
              <w:spacing w:after="0"/>
              <w:rPr>
                <w:sz w:val="21"/>
                <w:szCs w:val="21"/>
                <w:color w:val="auto"/>
              </w:rPr>
            </w:pPr>
          </w:p>
        </w:tc>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Seller Purchased Equipment (SPE)</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LIFT Seats Provided by Boeing</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(Estimate):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Deposit per Aircraft:</w:t>
            </w:r>
          </w:p>
        </w:tc>
        <w:tc>
          <w:tcPr>
            <w:tcW w:w="1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80" w:type="dxa"/>
            <w:vAlign w:val="bottom"/>
          </w:tcPr>
          <w:p>
            <w:pPr>
              <w:spacing w:after="0"/>
              <w:rPr>
                <w:sz w:val="24"/>
                <w:szCs w:val="24"/>
                <w:color w:val="auto"/>
              </w:rPr>
            </w:pPr>
          </w:p>
        </w:tc>
        <w:tc>
          <w:tcPr>
            <w:tcW w:w="4280" w:type="dxa"/>
            <w:vAlign w:val="bottom"/>
            <w:tcBorders>
              <w:right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Advance Payment Per Aircraft (Amts. Due/Mos. Prior</w:t>
            </w:r>
          </w:p>
        </w:tc>
        <w:tc>
          <w:tcPr>
            <w:tcW w:w="0" w:type="dxa"/>
            <w:vAlign w:val="bottom"/>
          </w:tcPr>
          <w:p>
            <w:pPr>
              <w:spacing w:after="0"/>
              <w:rPr>
                <w:sz w:val="1"/>
                <w:szCs w:val="1"/>
                <w:color w:val="auto"/>
              </w:rPr>
            </w:pPr>
          </w:p>
        </w:tc>
      </w:tr>
      <w:tr>
        <w:trPr>
          <w:trHeight w:val="310"/>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Escalation</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 Delivery):</w:t>
            </w: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040" w:type="dxa"/>
            <w:vAlign w:val="bottom"/>
            <w:tcBorders>
              <w:left w:val="single" w:sz="8" w:color="auto"/>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020" w:type="dxa"/>
            <w:vAlign w:val="bottom"/>
            <w:tcBorders>
              <w:bottom w:val="single" w:sz="8" w:color="C0C0C0"/>
              <w:right w:val="single" w:sz="8" w:color="auto"/>
            </w:tcBorders>
            <w:shd w:val="clear" w:color="auto" w:fill="C0C0C0"/>
          </w:tcPr>
          <w:p>
            <w:pPr>
              <w:spacing w:after="0"/>
              <w:rPr>
                <w:sz w:val="5"/>
                <w:szCs w:val="5"/>
                <w:color w:val="auto"/>
              </w:rPr>
            </w:pPr>
          </w:p>
        </w:tc>
        <w:tc>
          <w:tcPr>
            <w:tcW w:w="1220" w:type="dxa"/>
            <w:vAlign w:val="bottom"/>
            <w:tcBorders>
              <w:bottom w:val="single" w:sz="8" w:color="C0C0C0"/>
              <w:right w:val="single" w:sz="8" w:color="auto"/>
            </w:tcBorders>
            <w:shd w:val="clear" w:color="auto" w:fill="C0C0C0"/>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Nominal</w:t>
            </w:r>
          </w:p>
        </w:tc>
        <w:tc>
          <w:tcPr>
            <w:tcW w:w="4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At</w:t>
            </w:r>
          </w:p>
        </w:tc>
        <w:tc>
          <w:tcPr>
            <w:tcW w:w="8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rPr>
              <w:t>Delivery</w:t>
            </w: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Adv Payment Base</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Signing</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65"/>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Aircraft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(Airframe)</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40" w:type="dxa"/>
            <w:vAlign w:val="bottom"/>
          </w:tcPr>
          <w:p>
            <w:pPr>
              <w:spacing w:after="0"/>
              <w:rPr>
                <w:sz w:val="24"/>
                <w:szCs w:val="24"/>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Per A/P</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4</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[****]-2030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1</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[****]-2031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[****]-2032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rPr>
              <w:t>2</w:t>
            </w:r>
          </w:p>
        </w:tc>
        <w:tc>
          <w:tcPr>
            <w:tcW w:w="116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auto"/>
            </w:tcBorders>
            <w:shd w:val="clear" w:color="auto" w:fill="C0C0C0"/>
          </w:tcPr>
          <w:p>
            <w:pPr>
              <w:spacing w:after="0"/>
              <w:rPr>
                <w:sz w:val="24"/>
                <w:szCs w:val="24"/>
                <w:color w:val="auto"/>
              </w:rPr>
            </w:pPr>
          </w:p>
        </w:tc>
        <w:tc>
          <w:tcPr>
            <w:tcW w:w="1220" w:type="dxa"/>
            <w:vAlign w:val="bottom"/>
            <w:tcBorders>
              <w:right w:val="single" w:sz="8" w:color="auto"/>
            </w:tcBorders>
            <w:shd w:val="clear" w:color="auto" w:fill="C0C0C0"/>
          </w:tcPr>
          <w:p>
            <w:pPr>
              <w:spacing w:after="0"/>
              <w:rPr>
                <w:sz w:val="24"/>
                <w:szCs w:val="24"/>
                <w:color w:val="auto"/>
              </w:rPr>
            </w:pPr>
          </w:p>
        </w:tc>
        <w:tc>
          <w:tcPr>
            <w:tcW w:w="15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80" w:type="dxa"/>
            <w:vAlign w:val="bottom"/>
          </w:tcPr>
          <w:p>
            <w:pPr>
              <w:spacing w:after="0"/>
              <w:rPr>
                <w:sz w:val="24"/>
                <w:szCs w:val="24"/>
                <w:color w:val="auto"/>
              </w:rPr>
            </w:pPr>
          </w:p>
        </w:tc>
        <w:tc>
          <w:tcPr>
            <w:tcW w:w="7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020" w:type="dxa"/>
            <w:vAlign w:val="bottom"/>
            <w:tcBorders>
              <w:bottom w:val="single" w:sz="8" w:color="auto"/>
              <w:right w:val="single" w:sz="8" w:color="auto"/>
            </w:tcBorders>
            <w:shd w:val="clear" w:color="auto" w:fill="C0C0C0"/>
          </w:tcPr>
          <w:p>
            <w:pPr>
              <w:spacing w:after="0"/>
              <w:rPr>
                <w:sz w:val="5"/>
                <w:szCs w:val="5"/>
                <w:color w:val="auto"/>
              </w:rPr>
            </w:pPr>
          </w:p>
        </w:tc>
        <w:tc>
          <w:tcPr>
            <w:tcW w:w="1220" w:type="dxa"/>
            <w:vAlign w:val="bottom"/>
            <w:tcBorders>
              <w:bottom w:val="single" w:sz="8" w:color="auto"/>
              <w:right w:val="single" w:sz="8" w:color="auto"/>
            </w:tcBorders>
            <w:shd w:val="clear" w:color="auto" w:fill="C0C0C0"/>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2160" w:val="left"/>
        </w:tabs>
        <w:rPr>
          <w:sz w:val="20"/>
          <w:szCs w:val="20"/>
          <w:color w:val="auto"/>
        </w:rPr>
      </w:pPr>
      <w:r>
        <w:rPr>
          <w:rFonts w:ascii="Arial" w:cs="Arial" w:eastAsia="Arial" w:hAnsi="Arial"/>
          <w:sz w:val="15"/>
          <w:szCs w:val="15"/>
          <w:color w:val="auto"/>
        </w:rPr>
        <w:t>AAL-PA-03735 118070-1F.txt</w:t>
        <w:tab/>
        <w:t>SA-22</w:t>
      </w:r>
    </w:p>
    <w:p>
      <w:pPr>
        <w:ind w:left="180"/>
        <w:spacing w:after="0" w:line="206" w:lineRule="auto"/>
        <w:rPr>
          <w:sz w:val="20"/>
          <w:szCs w:val="20"/>
          <w:color w:val="auto"/>
        </w:rPr>
      </w:pPr>
      <w:r>
        <w:rPr>
          <w:rFonts w:ascii="Arial" w:cs="Arial" w:eastAsia="Arial" w:hAnsi="Arial"/>
          <w:sz w:val="15"/>
          <w:szCs w:val="15"/>
          <w:color w:val="auto"/>
        </w:rPr>
        <w:t>Page 1</w:t>
      </w:r>
    </w:p>
    <w:p>
      <w:pPr>
        <w:jc w:val="center"/>
        <w:ind w:right="20"/>
        <w:spacing w:after="0"/>
        <w:rPr>
          <w:sz w:val="20"/>
          <w:szCs w:val="20"/>
          <w:color w:val="auto"/>
        </w:rPr>
      </w:pPr>
      <w:r>
        <w:rPr>
          <w:rFonts w:ascii="Arial" w:cs="Arial" w:eastAsia="Arial" w:hAnsi="Arial"/>
          <w:sz w:val="15"/>
          <w:szCs w:val="15"/>
          <w:b w:val="1"/>
          <w:bCs w:val="1"/>
          <w:color w:val="auto"/>
        </w:rPr>
        <w:t>BOEING PROPRIETARY</w:t>
      </w:r>
    </w:p>
    <w:p>
      <w:pPr>
        <w:sectPr>
          <w:pgSz w:w="11900" w:h="16838" w:orient="portrait"/>
          <w:cols w:equalWidth="0" w:num="1">
            <w:col w:w="11260"/>
          </w:cols>
          <w:pgMar w:left="320" w:top="1382" w:right="319" w:bottom="62" w:gutter="0" w:footer="0" w:header="0"/>
        </w:sectPr>
      </w:pPr>
    </w:p>
    <w:bookmarkStart w:id="144" w:name="page145"/>
    <w:bookmarkEnd w:id="144"/>
    <w:p>
      <w:pPr>
        <w:ind w:left="874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182880</wp:posOffset>
            </wp:positionV>
            <wp:extent cx="1508760" cy="3429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drawing>
          <wp:anchor simplePos="0" relativeHeight="251657728" behindDoc="1" locked="0" layoutInCell="0" allowOverlap="1">
            <wp:simplePos x="0" y="0"/>
            <wp:positionH relativeFrom="page">
              <wp:posOffset>1477010</wp:posOffset>
            </wp:positionH>
            <wp:positionV relativeFrom="page">
              <wp:posOffset>577215</wp:posOffset>
            </wp:positionV>
            <wp:extent cx="58635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5863590" cy="8890"/>
                    </a:xfrm>
                    <a:prstGeom prst="rect">
                      <a:avLst/>
                    </a:prstGeom>
                    <a:noFill/>
                  </pic:spPr>
                </pic:pic>
              </a:graphicData>
            </a:graphic>
          </wp:anchor>
        </w:drawing>
        <w:t>The Boeing Company</w:t>
      </w:r>
    </w:p>
    <w:p>
      <w:pPr>
        <w:ind w:left="8740"/>
        <w:spacing w:after="0" w:line="216" w:lineRule="auto"/>
        <w:rPr>
          <w:sz w:val="20"/>
          <w:szCs w:val="20"/>
          <w:color w:val="auto"/>
        </w:rPr>
      </w:pPr>
      <w:r>
        <w:rPr>
          <w:rFonts w:ascii="Arial" w:cs="Arial" w:eastAsia="Arial" w:hAnsi="Arial"/>
          <w:sz w:val="13"/>
          <w:szCs w:val="13"/>
          <w:color w:val="808080"/>
        </w:rPr>
        <w:t>P.O. Box 3707</w:t>
      </w:r>
    </w:p>
    <w:p>
      <w:pPr>
        <w:ind w:left="874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AL-PA-03735-LA-1106650R6</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00" w:lineRule="exact"/>
        <w:rPr>
          <w:sz w:val="20"/>
          <w:szCs w:val="20"/>
          <w:color w:val="auto"/>
        </w:rPr>
      </w:pPr>
    </w:p>
    <w:p>
      <w:pPr>
        <w:spacing w:after="0" w:line="20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06" w:lineRule="exact"/>
        <w:rPr>
          <w:sz w:val="20"/>
          <w:szCs w:val="20"/>
          <w:color w:val="auto"/>
        </w:rPr>
      </w:pPr>
    </w:p>
    <w:p>
      <w:pPr>
        <w:ind w:left="1300" w:right="20" w:hanging="1295"/>
        <w:spacing w:after="0" w:line="245"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The Purchase Agreement incorporates the terms and conditions of the AGTA. This Letter Agreement modifies certain terms and conditions of the AGTA and the Purchase Agreement with respect to the Aircraft.</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940" w:type="dxa"/>
            <w:vAlign w:val="bottom"/>
          </w:tcPr>
          <w:p>
            <w:pPr>
              <w:ind w:left="660"/>
              <w:spacing w:after="0"/>
              <w:rPr>
                <w:sz w:val="20"/>
                <w:szCs w:val="20"/>
                <w:color w:val="auto"/>
              </w:rPr>
            </w:pPr>
            <w:r>
              <w:rPr>
                <w:rFonts w:ascii="Arial" w:cs="Arial" w:eastAsia="Arial" w:hAnsi="Arial"/>
                <w:sz w:val="22"/>
                <w:szCs w:val="22"/>
                <w:color w:val="auto"/>
              </w:rPr>
              <w:t>1.</w:t>
            </w:r>
          </w:p>
        </w:tc>
        <w:tc>
          <w:tcPr>
            <w:tcW w:w="4160" w:type="dxa"/>
            <w:vAlign w:val="bottom"/>
          </w:tcPr>
          <w:p>
            <w:pPr>
              <w:ind w:left="100"/>
              <w:spacing w:after="0"/>
              <w:rPr>
                <w:sz w:val="20"/>
                <w:szCs w:val="20"/>
                <w:color w:val="auto"/>
              </w:rPr>
            </w:pPr>
            <w:r>
              <w:rPr>
                <w:rFonts w:ascii="Arial" w:cs="Arial" w:eastAsia="Arial" w:hAnsi="Arial"/>
                <w:sz w:val="22"/>
                <w:szCs w:val="22"/>
                <w:color w:val="auto"/>
              </w:rPr>
              <w:t>[****]</w:t>
            </w:r>
          </w:p>
        </w:tc>
        <w:tc>
          <w:tcPr>
            <w:tcW w:w="29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32"/>
        </w:trPr>
        <w:tc>
          <w:tcPr>
            <w:tcW w:w="5100" w:type="dxa"/>
            <w:vAlign w:val="bottom"/>
            <w:gridSpan w:val="2"/>
          </w:tcPr>
          <w:p>
            <w:pPr>
              <w:ind w:left="660"/>
              <w:spacing w:after="0"/>
              <w:rPr>
                <w:sz w:val="20"/>
                <w:szCs w:val="20"/>
                <w:color w:val="auto"/>
              </w:rPr>
            </w:pPr>
            <w:r>
              <w:rPr>
                <w:rFonts w:ascii="Arial" w:cs="Arial" w:eastAsia="Arial" w:hAnsi="Arial"/>
                <w:sz w:val="22"/>
                <w:szCs w:val="22"/>
                <w:color w:val="auto"/>
              </w:rPr>
              <w:t>[****]:</w:t>
            </w:r>
          </w:p>
        </w:tc>
        <w:tc>
          <w:tcPr>
            <w:tcW w:w="29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43"/>
        </w:trPr>
        <w:tc>
          <w:tcPr>
            <w:tcW w:w="940" w:type="dxa"/>
            <w:vAlign w:val="bottom"/>
            <w:tcBorders>
              <w:bottom w:val="single" w:sz="8" w:color="auto"/>
            </w:tcBorders>
          </w:tcPr>
          <w:p>
            <w:pPr>
              <w:spacing w:after="0"/>
              <w:rPr>
                <w:sz w:val="21"/>
                <w:szCs w:val="21"/>
                <w:color w:val="auto"/>
              </w:rPr>
            </w:pPr>
          </w:p>
        </w:tc>
        <w:tc>
          <w:tcPr>
            <w:tcW w:w="41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spacing w:after="0"/>
              <w:rPr>
                <w:sz w:val="21"/>
                <w:szCs w:val="21"/>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4160" w:type="dxa"/>
            <w:vAlign w:val="bottom"/>
            <w:tcBorders>
              <w:right w:val="single" w:sz="8" w:color="auto"/>
            </w:tcBorders>
          </w:tcPr>
          <w:p>
            <w:pPr>
              <w:jc w:val="right"/>
              <w:ind w:right="2212"/>
              <w:spacing w:after="0"/>
              <w:rPr>
                <w:sz w:val="20"/>
                <w:szCs w:val="20"/>
                <w:color w:val="auto"/>
              </w:rPr>
            </w:pPr>
            <w:r>
              <w:rPr>
                <w:rFonts w:ascii="Arial" w:cs="Arial" w:eastAsia="Arial" w:hAnsi="Arial"/>
                <w:sz w:val="22"/>
                <w:szCs w:val="22"/>
                <w:color w:val="auto"/>
              </w:rPr>
              <w:t>[****]</w:t>
            </w: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1"/>
        </w:trPr>
        <w:tc>
          <w:tcPr>
            <w:tcW w:w="940" w:type="dxa"/>
            <w:vAlign w:val="bottom"/>
            <w:tcBorders>
              <w:left w:val="single" w:sz="8" w:color="auto"/>
              <w:bottom w:val="single" w:sz="8" w:color="auto"/>
            </w:tcBorders>
          </w:tcPr>
          <w:p>
            <w:pPr>
              <w:spacing w:after="0"/>
              <w:rPr>
                <w:sz w:val="7"/>
                <w:szCs w:val="7"/>
                <w:color w:val="auto"/>
              </w:rPr>
            </w:pPr>
          </w:p>
        </w:tc>
        <w:tc>
          <w:tcPr>
            <w:tcW w:w="416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4160" w:type="dxa"/>
            <w:vAlign w:val="bottom"/>
            <w:tcBorders>
              <w:right w:val="single" w:sz="8" w:color="auto"/>
            </w:tcBorders>
          </w:tcPr>
          <w:p>
            <w:pPr>
              <w:jc w:val="right"/>
              <w:ind w:right="2212"/>
              <w:spacing w:after="0"/>
              <w:rPr>
                <w:sz w:val="20"/>
                <w:szCs w:val="20"/>
                <w:color w:val="auto"/>
              </w:rPr>
            </w:pPr>
            <w:r>
              <w:rPr>
                <w:rFonts w:ascii="Arial" w:cs="Arial" w:eastAsia="Arial" w:hAnsi="Arial"/>
                <w:sz w:val="22"/>
                <w:szCs w:val="22"/>
                <w:color w:val="auto"/>
              </w:rPr>
              <w:t>[****]</w:t>
            </w: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1"/>
        </w:trPr>
        <w:tc>
          <w:tcPr>
            <w:tcW w:w="940" w:type="dxa"/>
            <w:vAlign w:val="bottom"/>
            <w:tcBorders>
              <w:left w:val="single" w:sz="8" w:color="auto"/>
              <w:bottom w:val="single" w:sz="8" w:color="auto"/>
            </w:tcBorders>
          </w:tcPr>
          <w:p>
            <w:pPr>
              <w:spacing w:after="0"/>
              <w:rPr>
                <w:sz w:val="7"/>
                <w:szCs w:val="7"/>
                <w:color w:val="auto"/>
              </w:rPr>
            </w:pPr>
          </w:p>
        </w:tc>
        <w:tc>
          <w:tcPr>
            <w:tcW w:w="416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4160" w:type="dxa"/>
            <w:vAlign w:val="bottom"/>
            <w:tcBorders>
              <w:right w:val="single" w:sz="8" w:color="auto"/>
            </w:tcBorders>
          </w:tcPr>
          <w:p>
            <w:pPr>
              <w:jc w:val="right"/>
              <w:ind w:right="2212"/>
              <w:spacing w:after="0"/>
              <w:rPr>
                <w:sz w:val="20"/>
                <w:szCs w:val="20"/>
                <w:color w:val="auto"/>
              </w:rPr>
            </w:pPr>
            <w:r>
              <w:rPr>
                <w:rFonts w:ascii="Arial" w:cs="Arial" w:eastAsia="Arial" w:hAnsi="Arial"/>
                <w:sz w:val="22"/>
                <w:szCs w:val="22"/>
                <w:color w:val="auto"/>
              </w:rPr>
              <w:t>[****]</w:t>
            </w: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1"/>
        </w:trPr>
        <w:tc>
          <w:tcPr>
            <w:tcW w:w="940" w:type="dxa"/>
            <w:vAlign w:val="bottom"/>
            <w:tcBorders>
              <w:left w:val="single" w:sz="8" w:color="auto"/>
              <w:bottom w:val="single" w:sz="8" w:color="auto"/>
            </w:tcBorders>
          </w:tcPr>
          <w:p>
            <w:pPr>
              <w:spacing w:after="0"/>
              <w:rPr>
                <w:sz w:val="7"/>
                <w:szCs w:val="7"/>
                <w:color w:val="auto"/>
              </w:rPr>
            </w:pPr>
          </w:p>
        </w:tc>
        <w:tc>
          <w:tcPr>
            <w:tcW w:w="416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4160" w:type="dxa"/>
            <w:vAlign w:val="bottom"/>
            <w:tcBorders>
              <w:right w:val="single" w:sz="8" w:color="auto"/>
            </w:tcBorders>
          </w:tcPr>
          <w:p>
            <w:pPr>
              <w:jc w:val="right"/>
              <w:ind w:right="2212"/>
              <w:spacing w:after="0"/>
              <w:rPr>
                <w:sz w:val="20"/>
                <w:szCs w:val="20"/>
                <w:color w:val="auto"/>
              </w:rPr>
            </w:pPr>
            <w:r>
              <w:rPr>
                <w:rFonts w:ascii="Arial" w:cs="Arial" w:eastAsia="Arial" w:hAnsi="Arial"/>
                <w:sz w:val="22"/>
                <w:szCs w:val="22"/>
                <w:color w:val="auto"/>
              </w:rPr>
              <w:t>[****]</w:t>
            </w: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0"/>
        </w:trPr>
        <w:tc>
          <w:tcPr>
            <w:tcW w:w="940" w:type="dxa"/>
            <w:vAlign w:val="bottom"/>
            <w:tcBorders>
              <w:left w:val="single" w:sz="8" w:color="auto"/>
              <w:bottom w:val="single" w:sz="8" w:color="auto"/>
            </w:tcBorders>
          </w:tcPr>
          <w:p>
            <w:pPr>
              <w:spacing w:after="0"/>
              <w:rPr>
                <w:sz w:val="7"/>
                <w:szCs w:val="7"/>
                <w:color w:val="auto"/>
              </w:rPr>
            </w:pPr>
          </w:p>
        </w:tc>
        <w:tc>
          <w:tcPr>
            <w:tcW w:w="416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4160" w:type="dxa"/>
            <w:vAlign w:val="bottom"/>
            <w:tcBorders>
              <w:right w:val="single" w:sz="8" w:color="auto"/>
            </w:tcBorders>
          </w:tcPr>
          <w:p>
            <w:pPr>
              <w:jc w:val="right"/>
              <w:ind w:right="2212"/>
              <w:spacing w:after="0"/>
              <w:rPr>
                <w:sz w:val="20"/>
                <w:szCs w:val="20"/>
                <w:color w:val="auto"/>
              </w:rPr>
            </w:pPr>
            <w:r>
              <w:rPr>
                <w:rFonts w:ascii="Arial" w:cs="Arial" w:eastAsia="Arial" w:hAnsi="Arial"/>
                <w:sz w:val="22"/>
                <w:szCs w:val="22"/>
                <w:color w:val="auto"/>
              </w:rPr>
              <w:t>[****]</w:t>
            </w: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0"/>
        </w:trPr>
        <w:tc>
          <w:tcPr>
            <w:tcW w:w="940" w:type="dxa"/>
            <w:vAlign w:val="bottom"/>
            <w:tcBorders>
              <w:left w:val="single" w:sz="8" w:color="auto"/>
              <w:bottom w:val="single" w:sz="8" w:color="auto"/>
            </w:tcBorders>
          </w:tcPr>
          <w:p>
            <w:pPr>
              <w:spacing w:after="0"/>
              <w:rPr>
                <w:sz w:val="7"/>
                <w:szCs w:val="7"/>
                <w:color w:val="auto"/>
              </w:rPr>
            </w:pPr>
          </w:p>
        </w:tc>
        <w:tc>
          <w:tcPr>
            <w:tcW w:w="416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345"/>
        </w:trPr>
        <w:tc>
          <w:tcPr>
            <w:tcW w:w="940" w:type="dxa"/>
            <w:vAlign w:val="bottom"/>
            <w:tcBorders>
              <w:left w:val="single" w:sz="8" w:color="auto"/>
            </w:tcBorders>
          </w:tcPr>
          <w:p>
            <w:pPr>
              <w:spacing w:after="0"/>
              <w:rPr>
                <w:sz w:val="24"/>
                <w:szCs w:val="24"/>
                <w:color w:val="auto"/>
              </w:rPr>
            </w:pPr>
          </w:p>
        </w:tc>
        <w:tc>
          <w:tcPr>
            <w:tcW w:w="4160" w:type="dxa"/>
            <w:vAlign w:val="bottom"/>
            <w:tcBorders>
              <w:right w:val="single" w:sz="8" w:color="auto"/>
            </w:tcBorders>
          </w:tcPr>
          <w:p>
            <w:pPr>
              <w:jc w:val="right"/>
              <w:ind w:right="2212"/>
              <w:spacing w:after="0"/>
              <w:rPr>
                <w:sz w:val="20"/>
                <w:szCs w:val="20"/>
                <w:color w:val="auto"/>
              </w:rPr>
            </w:pPr>
            <w:r>
              <w:rPr>
                <w:rFonts w:ascii="Arial" w:cs="Arial" w:eastAsia="Arial" w:hAnsi="Arial"/>
                <w:sz w:val="22"/>
                <w:szCs w:val="22"/>
                <w:color w:val="auto"/>
              </w:rPr>
              <w:t>[****]</w:t>
            </w:r>
          </w:p>
        </w:tc>
        <w:tc>
          <w:tcPr>
            <w:tcW w:w="2940" w:type="dxa"/>
            <w:vAlign w:val="bottom"/>
            <w:tcBorders>
              <w:right w:val="single" w:sz="8" w:color="auto"/>
            </w:tcBorders>
          </w:tcPr>
          <w:p>
            <w:pPr>
              <w:jc w:val="right"/>
              <w:ind w:right="1152"/>
              <w:spacing w:after="0"/>
              <w:rPr>
                <w:sz w:val="20"/>
                <w:szCs w:val="20"/>
                <w:color w:val="auto"/>
              </w:rPr>
            </w:pPr>
            <w:r>
              <w:rPr>
                <w:rFonts w:ascii="Arial" w:cs="Arial" w:eastAsia="Arial" w:hAnsi="Arial"/>
                <w:sz w:val="22"/>
                <w:szCs w:val="22"/>
                <w:color w:val="auto"/>
              </w:rPr>
              <w:t>[****]</w:t>
            </w:r>
          </w:p>
        </w:tc>
        <w:tc>
          <w:tcPr>
            <w:tcW w:w="3220" w:type="dxa"/>
            <w:vAlign w:val="bottom"/>
            <w:tcBorders>
              <w:right w:val="single" w:sz="8" w:color="auto"/>
            </w:tcBorders>
          </w:tcPr>
          <w:p>
            <w:pPr>
              <w:jc w:val="right"/>
              <w:ind w:right="1292"/>
              <w:spacing w:after="0"/>
              <w:rPr>
                <w:sz w:val="20"/>
                <w:szCs w:val="20"/>
                <w:color w:val="auto"/>
              </w:rPr>
            </w:pPr>
            <w:r>
              <w:rPr>
                <w:rFonts w:ascii="Arial" w:cs="Arial" w:eastAsia="Arial" w:hAnsi="Arial"/>
                <w:sz w:val="22"/>
                <w:szCs w:val="22"/>
                <w:color w:val="auto"/>
              </w:rPr>
              <w:t>[****]</w:t>
            </w:r>
          </w:p>
        </w:tc>
      </w:tr>
      <w:tr>
        <w:trPr>
          <w:trHeight w:val="80"/>
        </w:trPr>
        <w:tc>
          <w:tcPr>
            <w:tcW w:w="940" w:type="dxa"/>
            <w:vAlign w:val="bottom"/>
            <w:tcBorders>
              <w:left w:val="single" w:sz="8" w:color="auto"/>
              <w:bottom w:val="single" w:sz="8" w:color="auto"/>
            </w:tcBorders>
          </w:tcPr>
          <w:p>
            <w:pPr>
              <w:spacing w:after="0"/>
              <w:rPr>
                <w:sz w:val="7"/>
                <w:szCs w:val="7"/>
                <w:color w:val="auto"/>
              </w:rPr>
            </w:pPr>
          </w:p>
        </w:tc>
        <w:tc>
          <w:tcPr>
            <w:tcW w:w="4160" w:type="dxa"/>
            <w:vAlign w:val="bottom"/>
            <w:tcBorders>
              <w:bottom w:val="single" w:sz="8" w:color="auto"/>
              <w:right w:val="single" w:sz="8" w:color="auto"/>
            </w:tcBorders>
          </w:tcPr>
          <w:p>
            <w:pPr>
              <w:spacing w:after="0"/>
              <w:rPr>
                <w:sz w:val="7"/>
                <w:szCs w:val="7"/>
                <w:color w:val="auto"/>
              </w:rPr>
            </w:pPr>
          </w:p>
        </w:tc>
        <w:tc>
          <w:tcPr>
            <w:tcW w:w="2940" w:type="dxa"/>
            <w:vAlign w:val="bottom"/>
            <w:tcBorders>
              <w:bottom w:val="single" w:sz="8" w:color="auto"/>
              <w:right w:val="single" w:sz="8" w:color="auto"/>
            </w:tcBorders>
          </w:tcPr>
          <w:p>
            <w:pPr>
              <w:spacing w:after="0"/>
              <w:rPr>
                <w:sz w:val="7"/>
                <w:szCs w:val="7"/>
                <w:color w:val="auto"/>
              </w:rPr>
            </w:pPr>
          </w:p>
        </w:tc>
        <w:tc>
          <w:tcPr>
            <w:tcW w:w="3220" w:type="dxa"/>
            <w:vAlign w:val="bottom"/>
            <w:tcBorders>
              <w:bottom w:val="single" w:sz="8" w:color="auto"/>
              <w:right w:val="single" w:sz="8" w:color="auto"/>
            </w:tcBorders>
          </w:tcPr>
          <w:p>
            <w:pPr>
              <w:spacing w:after="0"/>
              <w:rPr>
                <w:sz w:val="7"/>
                <w:szCs w:val="7"/>
                <w:color w:val="auto"/>
              </w:rPr>
            </w:pPr>
          </w:p>
        </w:tc>
      </w:tr>
      <w:tr>
        <w:trPr>
          <w:trHeight w:val="655"/>
        </w:trPr>
        <w:tc>
          <w:tcPr>
            <w:tcW w:w="940" w:type="dxa"/>
            <w:vAlign w:val="bottom"/>
          </w:tcPr>
          <w:p>
            <w:pPr>
              <w:ind w:left="660"/>
              <w:spacing w:after="0"/>
              <w:rPr>
                <w:sz w:val="20"/>
                <w:szCs w:val="20"/>
                <w:color w:val="auto"/>
              </w:rPr>
            </w:pPr>
            <w:r>
              <w:rPr>
                <w:rFonts w:ascii="Arial" w:cs="Arial" w:eastAsia="Arial" w:hAnsi="Arial"/>
                <w:sz w:val="22"/>
                <w:szCs w:val="22"/>
                <w:color w:val="auto"/>
              </w:rPr>
              <w:t>2.</w:t>
            </w:r>
          </w:p>
        </w:tc>
        <w:tc>
          <w:tcPr>
            <w:tcW w:w="4160" w:type="dxa"/>
            <w:vAlign w:val="bottom"/>
          </w:tcPr>
          <w:p>
            <w:pPr>
              <w:ind w:left="100"/>
              <w:spacing w:after="0"/>
              <w:rPr>
                <w:sz w:val="20"/>
                <w:szCs w:val="20"/>
                <w:color w:val="auto"/>
              </w:rPr>
            </w:pPr>
            <w:r>
              <w:rPr>
                <w:rFonts w:ascii="Arial" w:cs="Arial" w:eastAsia="Arial" w:hAnsi="Arial"/>
                <w:sz w:val="22"/>
                <w:szCs w:val="22"/>
                <w:color w:val="auto"/>
              </w:rPr>
              <w:t>[****].</w:t>
            </w:r>
          </w:p>
        </w:tc>
        <w:tc>
          <w:tcPr>
            <w:tcW w:w="2940" w:type="dxa"/>
            <w:vAlign w:val="bottom"/>
          </w:tcPr>
          <w:p>
            <w:pPr>
              <w:spacing w:after="0"/>
              <w:rPr>
                <w:sz w:val="24"/>
                <w:szCs w:val="24"/>
                <w:color w:val="auto"/>
              </w:rPr>
            </w:pPr>
          </w:p>
        </w:tc>
        <w:tc>
          <w:tcPr>
            <w:tcW w:w="3220" w:type="dxa"/>
            <w:vAlign w:val="bottom"/>
          </w:tcPr>
          <w:p>
            <w:pPr>
              <w:spacing w:after="0"/>
              <w:rPr>
                <w:sz w:val="24"/>
                <w:szCs w:val="24"/>
                <w:color w:val="auto"/>
              </w:rPr>
            </w:pPr>
          </w:p>
        </w:tc>
      </w:tr>
    </w:tbl>
    <w:p>
      <w:pPr>
        <w:spacing w:after="0" w:line="149" w:lineRule="exact"/>
        <w:rPr>
          <w:sz w:val="20"/>
          <w:szCs w:val="20"/>
          <w:color w:val="auto"/>
        </w:rPr>
      </w:pPr>
    </w:p>
    <w:p>
      <w:pPr>
        <w:ind w:left="2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AAL-PA-03735-LA-1106650R6</w:t>
      </w:r>
      <w:r>
        <w:rPr>
          <w:sz w:val="20"/>
          <w:szCs w:val="20"/>
          <w:color w:val="auto"/>
        </w:rPr>
        <w:tab/>
      </w:r>
      <w:r>
        <w:rPr>
          <w:rFonts w:ascii="Arial" w:cs="Arial" w:eastAsia="Arial" w:hAnsi="Arial"/>
          <w:sz w:val="21"/>
          <w:szCs w:val="21"/>
          <w:color w:val="auto"/>
        </w:rPr>
        <w:t>SA-22</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Page 1 of 6</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60"/>
          </w:cols>
          <w:pgMar w:left="320" w:top="1042" w:right="31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left="660" w:right="9620" w:hanging="4"/>
        <w:spacing w:after="0" w:line="307" w:lineRule="auto"/>
        <w:tabs>
          <w:tab w:leader="none" w:pos="1043"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t>
      </w:r>
      <w:r>
        <w:rPr>
          <w:rFonts w:ascii="Arial" w:cs="Arial" w:eastAsia="Arial" w:hAnsi="Arial"/>
          <w:sz w:val="22"/>
          <w:szCs w:val="22"/>
          <w:color w:val="auto"/>
        </w:rPr>
        <w:t xml:space="preserve"> 3.1  [****]</w:t>
      </w:r>
    </w:p>
    <w:p>
      <w:pPr>
        <w:ind w:left="660"/>
        <w:spacing w:after="0"/>
        <w:rPr>
          <w:rFonts w:ascii="Arial" w:cs="Arial" w:eastAsia="Arial" w:hAnsi="Arial"/>
          <w:sz w:val="22"/>
          <w:szCs w:val="22"/>
          <w:color w:val="auto"/>
        </w:rPr>
      </w:pPr>
      <w:r>
        <w:rPr>
          <w:rFonts w:ascii="Arial" w:cs="Arial" w:eastAsia="Arial" w:hAnsi="Arial"/>
          <w:sz w:val="22"/>
          <w:szCs w:val="22"/>
          <w:color w:val="auto"/>
        </w:rPr>
        <w:t>3.1.1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3.2  For the avoidance of doubt, the [****] shall apply;</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3.2.1  For Aircraft in Table 1R12, the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3.2.2  For Aircraft in Table 1-2, the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3.2.3  For Aircraft in Table 1-3R6, the [****];</w:t>
      </w:r>
    </w:p>
    <w:p>
      <w:pPr>
        <w:spacing w:after="0" w:line="7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3.2.4  For Aircraft in Table 1-4R1 and [****], the [****].</w:t>
      </w:r>
    </w:p>
    <w:p>
      <w:pPr>
        <w:spacing w:after="0" w:line="179" w:lineRule="exact"/>
        <w:rPr>
          <w:rFonts w:ascii="Arial" w:cs="Arial" w:eastAsia="Arial" w:hAnsi="Arial"/>
          <w:sz w:val="22"/>
          <w:szCs w:val="22"/>
          <w:color w:val="auto"/>
        </w:rPr>
      </w:pPr>
    </w:p>
    <w:p>
      <w:pPr>
        <w:ind w:left="1040" w:hanging="384"/>
        <w:spacing w:after="0"/>
        <w:tabs>
          <w:tab w:leader="none" w:pos="10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sz w:val="20"/>
          <w:szCs w:val="20"/>
          <w:color w:val="auto"/>
        </w:rPr>
      </w:pPr>
    </w:p>
    <w:p>
      <w:pPr>
        <w:jc w:val="both"/>
        <w:ind w:left="1180" w:hanging="517"/>
        <w:spacing w:after="0" w:line="233" w:lineRule="auto"/>
        <w:tabs>
          <w:tab w:leader="none" w:pos="1160" w:val="left"/>
        </w:tabs>
        <w:rPr>
          <w:sz w:val="20"/>
          <w:szCs w:val="20"/>
          <w:color w:val="auto"/>
        </w:rPr>
      </w:pPr>
      <w:r>
        <w:rPr>
          <w:rFonts w:ascii="Arial" w:cs="Arial" w:eastAsia="Arial" w:hAnsi="Arial"/>
          <w:sz w:val="22"/>
          <w:szCs w:val="22"/>
          <w:color w:val="auto"/>
        </w:rPr>
        <w:t>4.1</w:t>
        <w:tab/>
        <w:t>Notwithstanding anything in Sections 1 through 3 above or the [****], Customer will [****] for the [****] of Supplemental Agreement No. 9, and [****]. The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 All [****].</w:t>
      </w:r>
    </w:p>
    <w:p>
      <w:pPr>
        <w:spacing w:after="0" w:line="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Notwithstanding anything to the contrary in this Letter Agreement, [****]</w:t>
      </w:r>
      <w:r>
        <w:rPr>
          <w:rFonts w:ascii="Arial" w:cs="Arial" w:eastAsia="Arial" w:hAnsi="Arial"/>
          <w:sz w:val="21"/>
          <w:szCs w:val="21"/>
          <w:b w:val="1"/>
          <w:bCs w:val="1"/>
          <w:color w:val="auto"/>
        </w:rPr>
        <w:t>.</w:t>
      </w:r>
    </w:p>
    <w:p>
      <w:pPr>
        <w:spacing w:after="0" w:line="186"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1"/>
          <w:szCs w:val="21"/>
          <w:color w:val="auto"/>
        </w:rPr>
        <w:t>[****].</w:t>
      </w:r>
    </w:p>
    <w:p>
      <w:pPr>
        <w:spacing w:after="0" w:line="71" w:lineRule="exact"/>
        <w:rPr>
          <w:sz w:val="20"/>
          <w:szCs w:val="20"/>
          <w:color w:val="auto"/>
        </w:rPr>
      </w:pPr>
    </w:p>
    <w:p>
      <w:pPr>
        <w:jc w:val="both"/>
        <w:ind w:left="1180" w:hanging="517"/>
        <w:spacing w:after="0" w:line="226" w:lineRule="auto"/>
        <w:tabs>
          <w:tab w:leader="none" w:pos="1160" w:val="left"/>
        </w:tabs>
        <w:rPr>
          <w:sz w:val="20"/>
          <w:szCs w:val="20"/>
          <w:color w:val="auto"/>
        </w:rPr>
      </w:pPr>
      <w:r>
        <w:rPr>
          <w:rFonts w:ascii="Arial" w:cs="Arial" w:eastAsia="Arial" w:hAnsi="Arial"/>
          <w:sz w:val="22"/>
          <w:szCs w:val="22"/>
          <w:color w:val="auto"/>
        </w:rPr>
        <w:t>5.1</w:t>
        <w:tab/>
        <w:t xml:space="preserve">[****], as defined in Letter Agreement AAL-PA-03735-LA-2002743, [****] ([****] </w:t>
      </w:r>
      <w:r>
        <w:rPr>
          <w:rFonts w:ascii="Arial" w:cs="Arial" w:eastAsia="Arial" w:hAnsi="Arial"/>
          <w:sz w:val="22"/>
          <w:szCs w:val="22"/>
          <w:b w:val="1"/>
          <w:bCs w:val="1"/>
          <w:i w:val="1"/>
          <w:iCs w:val="1"/>
          <w:color w:val="auto"/>
        </w:rPr>
        <w:t>Letter</w:t>
      </w:r>
      <w:r>
        <w:rPr>
          <w:rFonts w:ascii="Arial" w:cs="Arial" w:eastAsia="Arial" w:hAnsi="Arial"/>
          <w:sz w:val="22"/>
          <w:szCs w:val="22"/>
          <w:color w:val="auto"/>
        </w:rPr>
        <w:t>), and notwithstanding anything in Sections 1 through 3 above, or the [****] ([****]), Customer will [****] as follows:</w:t>
      </w:r>
    </w:p>
    <w:p>
      <w:pPr>
        <w:spacing w:after="0" w:line="149" w:lineRule="exact"/>
        <w:rPr>
          <w:sz w:val="20"/>
          <w:szCs w:val="20"/>
          <w:color w:val="auto"/>
        </w:rPr>
      </w:pPr>
    </w:p>
    <w:p>
      <w:pPr>
        <w:jc w:val="both"/>
        <w:ind w:firstLine="925"/>
        <w:spacing w:after="0" w:line="226" w:lineRule="auto"/>
        <w:rPr>
          <w:sz w:val="20"/>
          <w:szCs w:val="20"/>
          <w:color w:val="auto"/>
        </w:rPr>
      </w:pPr>
      <w:r>
        <w:rPr>
          <w:rFonts w:ascii="Arial" w:cs="Arial" w:eastAsia="Arial" w:hAnsi="Arial"/>
          <w:sz w:val="22"/>
          <w:szCs w:val="22"/>
          <w:color w:val="auto"/>
        </w:rPr>
        <w:t>5.1.2 Boeing acknowledges that Customer has previously [****] and Boeing will [****] (the [****]) per [****] as defined in the following table in accordance with and subject to the terms and conditions of the Purchase Agreement:</w:t>
      </w:r>
    </w:p>
    <w:p>
      <w:pPr>
        <w:spacing w:after="0" w:line="223" w:lineRule="exact"/>
        <w:rPr>
          <w:sz w:val="20"/>
          <w:szCs w:val="20"/>
          <w:color w:val="auto"/>
        </w:rPr>
      </w:pPr>
    </w:p>
    <w:tbl>
      <w:tblPr>
        <w:tblLayout w:type="fixed"/>
        <w:tblInd w:w="270" w:type="dxa"/>
        <w:tblCellMar>
          <w:top w:w="0" w:type="dxa"/>
          <w:left w:w="0" w:type="dxa"/>
          <w:bottom w:w="0" w:type="dxa"/>
          <w:right w:w="0" w:type="dxa"/>
        </w:tblCellMar>
      </w:tblPr>
      <w:tr>
        <w:trPr>
          <w:trHeight w:val="365"/>
        </w:trPr>
        <w:tc>
          <w:tcPr>
            <w:tcW w:w="7180" w:type="dxa"/>
            <w:vAlign w:val="bottom"/>
            <w:tcBorders>
              <w:top w:val="single" w:sz="8" w:color="auto"/>
              <w:left w:val="single" w:sz="8" w:color="auto"/>
              <w:right w:val="single" w:sz="8" w:color="auto"/>
            </w:tcBorders>
            <w:shd w:val="clear" w:color="auto" w:fill="DEEAF6"/>
          </w:tcPr>
          <w:p>
            <w:pPr>
              <w:jc w:val="right"/>
              <w:ind w:right="3252"/>
              <w:spacing w:after="0"/>
              <w:rPr>
                <w:sz w:val="20"/>
                <w:szCs w:val="20"/>
                <w:color w:val="auto"/>
              </w:rPr>
            </w:pPr>
            <w:r>
              <w:rPr>
                <w:rFonts w:ascii="Arial" w:cs="Arial" w:eastAsia="Arial" w:hAnsi="Arial"/>
                <w:sz w:val="22"/>
                <w:szCs w:val="22"/>
                <w:color w:val="auto"/>
              </w:rPr>
              <w:t>[****]</w:t>
            </w:r>
          </w:p>
        </w:tc>
        <w:tc>
          <w:tcPr>
            <w:tcW w:w="3180" w:type="dxa"/>
            <w:vAlign w:val="bottom"/>
            <w:tcBorders>
              <w:top w:val="single" w:sz="8" w:color="auto"/>
              <w:right w:val="single" w:sz="8" w:color="auto"/>
            </w:tcBorders>
            <w:shd w:val="clear" w:color="auto" w:fill="DEEAF6"/>
          </w:tcPr>
          <w:p>
            <w:pPr>
              <w:jc w:val="right"/>
              <w:ind w:right="1272"/>
              <w:spacing w:after="0"/>
              <w:rPr>
                <w:sz w:val="20"/>
                <w:szCs w:val="20"/>
                <w:color w:val="auto"/>
              </w:rPr>
            </w:pPr>
            <w:r>
              <w:rPr>
                <w:rFonts w:ascii="Arial" w:cs="Arial" w:eastAsia="Arial" w:hAnsi="Arial"/>
                <w:sz w:val="22"/>
                <w:szCs w:val="22"/>
                <w:color w:val="auto"/>
              </w:rPr>
              <w:t>[****]</w:t>
            </w:r>
          </w:p>
        </w:tc>
      </w:tr>
      <w:tr>
        <w:trPr>
          <w:trHeight w:val="81"/>
        </w:trPr>
        <w:tc>
          <w:tcPr>
            <w:tcW w:w="7180" w:type="dxa"/>
            <w:vAlign w:val="bottom"/>
            <w:tcBorders>
              <w:left w:val="single" w:sz="8" w:color="auto"/>
              <w:bottom w:val="single" w:sz="8" w:color="auto"/>
              <w:right w:val="single" w:sz="8" w:color="auto"/>
            </w:tcBorders>
            <w:shd w:val="clear" w:color="auto" w:fill="DEEAF6"/>
          </w:tcPr>
          <w:p>
            <w:pPr>
              <w:spacing w:after="0"/>
              <w:rPr>
                <w:sz w:val="7"/>
                <w:szCs w:val="7"/>
                <w:color w:val="auto"/>
              </w:rPr>
            </w:pPr>
          </w:p>
        </w:tc>
        <w:tc>
          <w:tcPr>
            <w:tcW w:w="3180" w:type="dxa"/>
            <w:vAlign w:val="bottom"/>
            <w:tcBorders>
              <w:bottom w:val="single" w:sz="8" w:color="auto"/>
              <w:right w:val="single" w:sz="8" w:color="auto"/>
            </w:tcBorders>
            <w:shd w:val="clear" w:color="auto" w:fill="DEEAF6"/>
          </w:tcPr>
          <w:p>
            <w:pPr>
              <w:spacing w:after="0"/>
              <w:rPr>
                <w:sz w:val="7"/>
                <w:szCs w:val="7"/>
                <w:color w:val="auto"/>
              </w:rPr>
            </w:pPr>
          </w:p>
        </w:tc>
      </w:tr>
      <w:tr>
        <w:trPr>
          <w:trHeight w:val="345"/>
        </w:trPr>
        <w:tc>
          <w:tcPr>
            <w:tcW w:w="7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 (Per Attachment A)</w:t>
            </w:r>
          </w:p>
        </w:tc>
        <w:tc>
          <w:tcPr>
            <w:tcW w:w="3180" w:type="dxa"/>
            <w:vAlign w:val="bottom"/>
            <w:tcBorders>
              <w:right w:val="single" w:sz="8" w:color="auto"/>
            </w:tcBorders>
          </w:tcPr>
          <w:p>
            <w:pPr>
              <w:jc w:val="right"/>
              <w:ind w:right="1272"/>
              <w:spacing w:after="0"/>
              <w:rPr>
                <w:sz w:val="20"/>
                <w:szCs w:val="20"/>
                <w:color w:val="auto"/>
              </w:rPr>
            </w:pPr>
            <w:r>
              <w:rPr>
                <w:rFonts w:ascii="Arial" w:cs="Arial" w:eastAsia="Arial" w:hAnsi="Arial"/>
                <w:sz w:val="22"/>
                <w:szCs w:val="22"/>
                <w:color w:val="auto"/>
              </w:rPr>
              <w:t>[****]</w:t>
            </w:r>
          </w:p>
        </w:tc>
      </w:tr>
      <w:tr>
        <w:trPr>
          <w:trHeight w:val="81"/>
        </w:trPr>
        <w:tc>
          <w:tcPr>
            <w:tcW w:w="7180" w:type="dxa"/>
            <w:vAlign w:val="bottom"/>
            <w:tcBorders>
              <w:left w:val="single" w:sz="8" w:color="auto"/>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tcPr>
          <w:p>
            <w:pPr>
              <w:spacing w:after="0"/>
              <w:rPr>
                <w:sz w:val="7"/>
                <w:szCs w:val="7"/>
                <w:color w:val="auto"/>
              </w:rPr>
            </w:pPr>
          </w:p>
        </w:tc>
      </w:tr>
      <w:tr>
        <w:trPr>
          <w:trHeight w:val="345"/>
        </w:trPr>
        <w:tc>
          <w:tcPr>
            <w:tcW w:w="7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 (Per Attachment A)</w:t>
            </w:r>
          </w:p>
        </w:tc>
        <w:tc>
          <w:tcPr>
            <w:tcW w:w="3180" w:type="dxa"/>
            <w:vAlign w:val="bottom"/>
            <w:tcBorders>
              <w:right w:val="single" w:sz="8" w:color="auto"/>
            </w:tcBorders>
          </w:tcPr>
          <w:p>
            <w:pPr>
              <w:jc w:val="right"/>
              <w:ind w:right="1272"/>
              <w:spacing w:after="0"/>
              <w:rPr>
                <w:sz w:val="20"/>
                <w:szCs w:val="20"/>
                <w:color w:val="auto"/>
              </w:rPr>
            </w:pPr>
            <w:r>
              <w:rPr>
                <w:rFonts w:ascii="Arial" w:cs="Arial" w:eastAsia="Arial" w:hAnsi="Arial"/>
                <w:sz w:val="22"/>
                <w:szCs w:val="22"/>
                <w:color w:val="auto"/>
              </w:rPr>
              <w:t>[****]</w:t>
            </w:r>
          </w:p>
        </w:tc>
      </w:tr>
      <w:tr>
        <w:trPr>
          <w:trHeight w:val="80"/>
        </w:trPr>
        <w:tc>
          <w:tcPr>
            <w:tcW w:w="7180" w:type="dxa"/>
            <w:vAlign w:val="bottom"/>
            <w:tcBorders>
              <w:left w:val="single" w:sz="8" w:color="auto"/>
              <w:bottom w:val="single" w:sz="8" w:color="auto"/>
              <w:right w:val="single" w:sz="8" w:color="auto"/>
            </w:tcBorders>
          </w:tcPr>
          <w:p>
            <w:pPr>
              <w:spacing w:after="0"/>
              <w:rPr>
                <w:sz w:val="7"/>
                <w:szCs w:val="7"/>
                <w:color w:val="auto"/>
              </w:rPr>
            </w:pPr>
          </w:p>
        </w:tc>
        <w:tc>
          <w:tcPr>
            <w:tcW w:w="3180" w:type="dxa"/>
            <w:vAlign w:val="bottom"/>
            <w:tcBorders>
              <w:bottom w:val="single" w:sz="8" w:color="auto"/>
              <w:right w:val="single" w:sz="8" w:color="auto"/>
            </w:tcBorders>
          </w:tcPr>
          <w:p>
            <w:pPr>
              <w:spacing w:after="0"/>
              <w:rPr>
                <w:sz w:val="7"/>
                <w:szCs w:val="7"/>
                <w:color w:val="auto"/>
              </w:rPr>
            </w:pPr>
          </w:p>
        </w:tc>
      </w:tr>
    </w:tbl>
    <w:p>
      <w:pPr>
        <w:spacing w:after="0" w:line="27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5.2 For each [****] for which the [****] (as defined in the [****]) was [****], Customer will [****] a [****] to Boeing, at [****] ([****]) [****] to the [****] (as set forth in Attachment A), in the [****] of the [****] between [****] of the [****] ([****]) and the [****] Aircraft.</w:t>
      </w:r>
    </w:p>
    <w:p>
      <w:pPr>
        <w:spacing w:after="0" w:line="14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5.2.1 The [****] for each of the [****] Aircraft for which the applicable [****] was [****] will be based on the [****] (as defined in the [****]).</w:t>
      </w:r>
    </w:p>
    <w:p>
      <w:pPr>
        <w:spacing w:after="0" w:line="15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5.2.2 [****] will be [****] and not [****] by Boeing or [****] by Customer for the [****] the [****] defined in the Purchase Agreement and the [****] schedule set forth in this paragraph 5 for the [****] Aircraft for which the applicable [****] was [****]</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AAL-PA-03735-LA-1106650R6</w:t>
      </w:r>
      <w:r>
        <w:rPr>
          <w:sz w:val="20"/>
          <w:szCs w:val="20"/>
          <w:color w:val="auto"/>
        </w:rPr>
        <w:tab/>
      </w:r>
      <w:r>
        <w:rPr>
          <w:rFonts w:ascii="Arial" w:cs="Arial" w:eastAsia="Arial" w:hAnsi="Arial"/>
          <w:sz w:val="21"/>
          <w:szCs w:val="21"/>
          <w:color w:val="auto"/>
        </w:rPr>
        <w:t>SA-22</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Page 2 of 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100" w:hanging="444"/>
        <w:spacing w:after="0"/>
        <w:tabs>
          <w:tab w:leader="none" w:pos="110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1180" w:hanging="517"/>
        <w:spacing w:after="0" w:line="247" w:lineRule="auto"/>
        <w:tabs>
          <w:tab w:leader="none" w:pos="1160" w:val="left"/>
        </w:tabs>
        <w:rPr>
          <w:sz w:val="20"/>
          <w:szCs w:val="20"/>
          <w:color w:val="auto"/>
        </w:rPr>
      </w:pPr>
      <w:r>
        <w:rPr>
          <w:rFonts w:ascii="Arial" w:cs="Arial" w:eastAsia="Arial" w:hAnsi="Arial"/>
          <w:sz w:val="22"/>
          <w:szCs w:val="22"/>
          <w:color w:val="auto"/>
        </w:rPr>
        <w:t>6.1</w:t>
        <w:tab/>
        <w:t>Notwithstanding anything in Sections 1 through 3 above or the [****] in Table 1-4R1, Customer will [****] for the [****]. The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w:t>
      </w:r>
    </w:p>
    <w:p>
      <w:pPr>
        <w:spacing w:after="0" w:line="56" w:lineRule="exact"/>
        <w:rPr>
          <w:sz w:val="20"/>
          <w:szCs w:val="20"/>
          <w:color w:val="auto"/>
        </w:rPr>
      </w:pPr>
    </w:p>
    <w:p>
      <w:pPr>
        <w:ind w:left="240"/>
        <w:spacing w:after="0"/>
        <w:tabs>
          <w:tab w:leader="none" w:pos="76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color w:val="auto"/>
        </w:rPr>
        <w:t>Notwithstanding anything to the contrary in this Letter Agreement, [****].</w:t>
      </w:r>
    </w:p>
    <w:p>
      <w:pPr>
        <w:spacing w:after="0" w:line="179" w:lineRule="exact"/>
        <w:rPr>
          <w:sz w:val="20"/>
          <w:szCs w:val="20"/>
          <w:color w:val="auto"/>
        </w:rPr>
      </w:pPr>
    </w:p>
    <w:p>
      <w:pPr>
        <w:ind w:left="680" w:hanging="429"/>
        <w:spacing w:after="0"/>
        <w:tabs>
          <w:tab w:leader="none" w:pos="68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52" w:lineRule="exact"/>
        <w:rPr>
          <w:sz w:val="20"/>
          <w:szCs w:val="20"/>
          <w:color w:val="auto"/>
        </w:rPr>
      </w:pPr>
    </w:p>
    <w:p>
      <w:pPr>
        <w:ind w:left="680" w:hanging="429"/>
        <w:spacing w:after="0"/>
        <w:tabs>
          <w:tab w:leader="none" w:pos="68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8.1 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 except to the extent permissible under the terms of the AGTA.</w:t>
      </w:r>
    </w:p>
    <w:p>
      <w:pPr>
        <w:spacing w:after="0" w:line="152" w:lineRule="exact"/>
        <w:rPr>
          <w:sz w:val="20"/>
          <w:szCs w:val="20"/>
          <w:color w:val="auto"/>
        </w:rPr>
      </w:pPr>
    </w:p>
    <w:p>
      <w:pPr>
        <w:ind w:left="740"/>
        <w:spacing w:after="0"/>
        <w:tabs>
          <w:tab w:leader="none" w:pos="126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If the foregoing correctly sets forth your understanding of our agreement with respect to the matters treated above, please indicate your acceptance and approval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AAL-PA-03735-LA-1106650R6</w:t>
      </w:r>
      <w:r>
        <w:rPr>
          <w:sz w:val="20"/>
          <w:szCs w:val="20"/>
          <w:color w:val="auto"/>
        </w:rPr>
        <w:tab/>
      </w:r>
      <w:r>
        <w:rPr>
          <w:rFonts w:ascii="Arial" w:cs="Arial" w:eastAsia="Arial" w:hAnsi="Arial"/>
          <w:sz w:val="21"/>
          <w:szCs w:val="21"/>
          <w:color w:val="auto"/>
        </w:rPr>
        <w:t>SA-22</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Page 3 of 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211"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680" w:type="dxa"/>
            <w:vAlign w:val="bottom"/>
          </w:tcPr>
          <w:p>
            <w:pPr>
              <w:spacing w:after="0"/>
              <w:rPr>
                <w:sz w:val="20"/>
                <w:szCs w:val="20"/>
                <w:color w:val="auto"/>
              </w:rPr>
            </w:pPr>
            <w:r>
              <w:rPr>
                <w:rFonts w:ascii="Arial" w:cs="Arial" w:eastAsia="Arial" w:hAnsi="Arial"/>
                <w:sz w:val="22"/>
                <w:szCs w:val="22"/>
                <w:color w:val="auto"/>
              </w:rPr>
              <w:t>Date:</w:t>
            </w:r>
          </w:p>
        </w:tc>
        <w:tc>
          <w:tcPr>
            <w:tcW w:w="118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Arial" w:cs="Arial" w:eastAsia="Arial" w:hAnsi="Arial"/>
                <w:sz w:val="22"/>
                <w:szCs w:val="22"/>
                <w:color w:val="auto"/>
              </w:rPr>
              <w:t>January 31, 2022</w:t>
            </w:r>
          </w:p>
        </w:tc>
      </w:tr>
      <w:tr>
        <w:trPr>
          <w:trHeight w:val="80"/>
        </w:trPr>
        <w:tc>
          <w:tcPr>
            <w:tcW w:w="1860" w:type="dxa"/>
            <w:vAlign w:val="bottom"/>
            <w:gridSpan w:val="2"/>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r>
        <w:trPr>
          <w:trHeight w:val="600"/>
        </w:trPr>
        <w:tc>
          <w:tcPr>
            <w:tcW w:w="5940" w:type="dxa"/>
            <w:vAlign w:val="bottom"/>
            <w:gridSpan w:val="3"/>
          </w:tcPr>
          <w:p>
            <w:pPr>
              <w:spacing w:after="0"/>
              <w:rPr>
                <w:sz w:val="20"/>
                <w:szCs w:val="20"/>
                <w:color w:val="auto"/>
              </w:rPr>
            </w:pPr>
            <w:r>
              <w:rPr>
                <w:rFonts w:ascii="Arial" w:cs="Arial" w:eastAsia="Arial" w:hAnsi="Arial"/>
                <w:sz w:val="22"/>
                <w:szCs w:val="22"/>
                <w:b w:val="1"/>
                <w:bCs w:val="1"/>
                <w:color w:val="auto"/>
              </w:rPr>
              <w:t>AMERICAN AIRLINES, INC.</w:t>
            </w:r>
          </w:p>
        </w:tc>
      </w:tr>
      <w:tr>
        <w:trPr>
          <w:trHeight w:val="64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gridSpan w:val="2"/>
          </w:tcPr>
          <w:p>
            <w:pPr>
              <w:ind w:left="80"/>
              <w:spacing w:after="0"/>
              <w:rPr>
                <w:sz w:val="20"/>
                <w:szCs w:val="20"/>
                <w:color w:val="auto"/>
              </w:rPr>
            </w:pPr>
            <w:r>
              <w:rPr>
                <w:rFonts w:ascii="Arial" w:cs="Arial" w:eastAsia="Arial" w:hAnsi="Arial"/>
                <w:sz w:val="22"/>
                <w:szCs w:val="22"/>
                <w:color w:val="auto"/>
              </w:rPr>
              <w:t>/s/ American Airlines, Inc.</w:t>
            </w:r>
          </w:p>
        </w:tc>
      </w:tr>
      <w:tr>
        <w:trPr>
          <w:trHeight w:val="80"/>
        </w:trPr>
        <w:tc>
          <w:tcPr>
            <w:tcW w:w="6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r>
        <w:trPr>
          <w:trHeight w:val="588"/>
        </w:trPr>
        <w:tc>
          <w:tcPr>
            <w:tcW w:w="6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gridSpan w:val="2"/>
          </w:tcPr>
          <w:p>
            <w:pPr>
              <w:ind w:left="80"/>
              <w:spacing w:after="0"/>
              <w:rPr>
                <w:sz w:val="20"/>
                <w:szCs w:val="20"/>
                <w:color w:val="auto"/>
              </w:rPr>
            </w:pPr>
            <w:r>
              <w:rPr>
                <w:rFonts w:ascii="Arial" w:cs="Arial" w:eastAsia="Arial" w:hAnsi="Arial"/>
                <w:sz w:val="22"/>
                <w:szCs w:val="22"/>
                <w:color w:val="auto"/>
              </w:rPr>
              <w:t>VP, Treasurer</w:t>
            </w:r>
          </w:p>
        </w:tc>
      </w:tr>
      <w:tr>
        <w:trPr>
          <w:trHeight w:val="81"/>
        </w:trPr>
        <w:tc>
          <w:tcPr>
            <w:tcW w:w="6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AAL-PA-03735-LA-1106650R6</w:t>
      </w:r>
      <w:r>
        <w:rPr>
          <w:sz w:val="20"/>
          <w:szCs w:val="20"/>
          <w:color w:val="auto"/>
        </w:rPr>
        <w:tab/>
      </w:r>
      <w:r>
        <w:rPr>
          <w:rFonts w:ascii="Arial" w:cs="Arial" w:eastAsia="Arial" w:hAnsi="Arial"/>
          <w:sz w:val="21"/>
          <w:szCs w:val="21"/>
          <w:color w:val="auto"/>
        </w:rPr>
        <w:t>SA-22</w:t>
      </w:r>
    </w:p>
    <w:p>
      <w:pPr>
        <w:spacing w:after="0" w:line="204" w:lineRule="auto"/>
        <w:tabs>
          <w:tab w:leader="none" w:pos="680" w:val="left"/>
        </w:tabs>
        <w:rPr>
          <w:sz w:val="20"/>
          <w:szCs w:val="20"/>
          <w:color w:val="auto"/>
        </w:rPr>
      </w:pPr>
      <w:r>
        <w:rPr>
          <w:rFonts w:ascii="Arial" w:cs="Arial" w:eastAsia="Arial" w:hAnsi="Arial"/>
          <w:sz w:val="22"/>
          <w:szCs w:val="22"/>
          <w:color w:val="auto"/>
        </w:rPr>
        <w:t>[****]</w:t>
        <w:tab/>
        <w:t>LA Page 4 of 6</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48" w:name="page149"/>
    <w:bookmarkEnd w:id="148"/>
    <w:p>
      <w:pPr>
        <w:spacing w:after="0" w:line="3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58635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731520</wp:posOffset>
            </wp:positionV>
            <wp:extent cx="1491615" cy="3429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42900"/>
                    </a:xfrm>
                    <a:prstGeom prst="rect">
                      <a:avLst/>
                    </a:prstGeom>
                    <a:noFill/>
                  </pic:spPr>
                </pic:pic>
              </a:graphicData>
            </a:graphic>
          </wp:anchor>
        </w:drawing>
      </w:r>
    </w:p>
    <w:p>
      <w:pPr>
        <w:ind w:left="8740"/>
        <w:spacing w:after="0"/>
        <w:rPr>
          <w:sz w:val="20"/>
          <w:szCs w:val="20"/>
          <w:color w:val="auto"/>
        </w:rPr>
      </w:pPr>
      <w:r>
        <w:rPr>
          <w:rFonts w:ascii="Arial" w:cs="Arial" w:eastAsia="Arial" w:hAnsi="Arial"/>
          <w:sz w:val="13"/>
          <w:szCs w:val="13"/>
          <w:color w:val="808080"/>
        </w:rPr>
        <w:t>The Boeing Company</w:t>
      </w:r>
    </w:p>
    <w:p>
      <w:pPr>
        <w:ind w:left="8740"/>
        <w:spacing w:after="0" w:line="216" w:lineRule="auto"/>
        <w:rPr>
          <w:sz w:val="20"/>
          <w:szCs w:val="20"/>
          <w:color w:val="auto"/>
        </w:rPr>
      </w:pPr>
      <w:r>
        <w:rPr>
          <w:rFonts w:ascii="Arial" w:cs="Arial" w:eastAsia="Arial" w:hAnsi="Arial"/>
          <w:sz w:val="13"/>
          <w:szCs w:val="13"/>
          <w:color w:val="808080"/>
        </w:rPr>
        <w:t>P.O. Box 3707</w:t>
      </w:r>
    </w:p>
    <w:p>
      <w:pPr>
        <w:ind w:left="874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R5</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4"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67"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179" w:lineRule="exact"/>
        <w:rPr>
          <w:sz w:val="20"/>
          <w:szCs w:val="20"/>
          <w:color w:val="auto"/>
        </w:rPr>
      </w:pPr>
    </w:p>
    <w:p>
      <w:pPr>
        <w:ind w:left="1340" w:hanging="1538"/>
        <w:spacing w:after="0" w:line="245" w:lineRule="auto"/>
        <w:tabs>
          <w:tab w:leader="none" w:pos="132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 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132"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Right to Purchase [****]</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 xml:space="preserve">Subject to the terms and conditions contained in this Letter Agreement, in addition to the Aircraft described in Table 1R12, Table 1-2, Table 1-3R6, and Table 1-4(R1) to the Purchase Agreement as of the date of execution of this Letter Agreement, </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49" w:lineRule="exact"/>
        <w:rPr>
          <w:sz w:val="20"/>
          <w:szCs w:val="20"/>
          <w:color w:val="auto"/>
        </w:rPr>
      </w:pPr>
    </w:p>
    <w:p>
      <w:pPr>
        <w:ind w:left="1040" w:hanging="384"/>
        <w:spacing w:after="0"/>
        <w:tabs>
          <w:tab w:leader="none" w:pos="104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u w:val="single" w:color="auto"/>
          <w:color w:val="auto"/>
        </w:rPr>
        <w:t>[****]</w:t>
      </w:r>
      <w:r>
        <w:rPr>
          <w:rFonts w:ascii="Arial" w:cs="Arial" w:eastAsia="Arial" w:hAnsi="Arial"/>
          <w:sz w:val="21"/>
          <w:szCs w:val="21"/>
          <w:color w:val="auto"/>
        </w:rPr>
        <w:t>. The [****] with [****] in calendar year [****] are listed in Attachment A(R5) to this Letter Agreement.</w:t>
      </w:r>
    </w:p>
    <w:p>
      <w:pPr>
        <w:spacing w:after="0" w:line="71" w:lineRule="exact"/>
        <w:rPr>
          <w:sz w:val="20"/>
          <w:szCs w:val="20"/>
          <w:color w:val="auto"/>
        </w:rPr>
      </w:pPr>
    </w:p>
    <w:p>
      <w:pPr>
        <w:jc w:val="both"/>
        <w:ind w:left="1180" w:hanging="517"/>
        <w:spacing w:after="0" w:line="220" w:lineRule="auto"/>
        <w:tabs>
          <w:tab w:leader="none" w:pos="11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w:t>
      </w:r>
      <w:r>
        <w:rPr>
          <w:rFonts w:ascii="Arial" w:cs="Arial" w:eastAsia="Arial" w:hAnsi="Arial"/>
          <w:sz w:val="22"/>
          <w:szCs w:val="22"/>
          <w:color w:val="auto"/>
        </w:rPr>
        <w:t>.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 with [****] ([****]</w:t>
      </w:r>
      <w:r>
        <w:rPr>
          <w:rFonts w:ascii="Arial" w:cs="Arial" w:eastAsia="Arial" w:hAnsi="Arial"/>
          <w:sz w:val="22"/>
          <w:szCs w:val="22"/>
          <w:i w:val="1"/>
          <w:iCs w:val="1"/>
          <w:color w:val="auto"/>
        </w:rPr>
        <w:t>)</w:t>
      </w:r>
      <w:r>
        <w:rPr>
          <w:rFonts w:ascii="Arial" w:cs="Arial" w:eastAsia="Arial" w:hAnsi="Arial"/>
          <w:sz w:val="22"/>
          <w:szCs w:val="22"/>
          <w:u w:val="single" w:color="auto"/>
          <w:color w:val="auto"/>
        </w:rPr>
        <w:t xml:space="preserve"> </w:t>
      </w:r>
      <w:r>
        <w:rPr>
          <w:rFonts w:ascii="Arial" w:cs="Arial" w:eastAsia="Arial" w:hAnsi="Arial"/>
          <w:sz w:val="22"/>
          <w:szCs w:val="22"/>
          <w:color w:val="auto"/>
        </w:rPr>
        <w:t>in [****] for each [****] are listed in Attachment A(R5) to this Letter</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No later than [****] to the [****] in each of calendar years [****], Boeing will provide written notice setting forth [****] with a [****] in such calendar year. Such notice will constitute an amendment to Attachment A(R5) to this Letter Agreement.</w:t>
      </w:r>
    </w:p>
    <w:p>
      <w:pPr>
        <w:spacing w:after="0" w:line="152" w:lineRule="exact"/>
        <w:rPr>
          <w:sz w:val="20"/>
          <w:szCs w:val="20"/>
          <w:color w:val="auto"/>
        </w:rPr>
      </w:pPr>
    </w:p>
    <w:p>
      <w:pPr>
        <w:ind w:left="1040" w:hanging="384"/>
        <w:spacing w:after="0"/>
        <w:tabs>
          <w:tab w:leader="none" w:pos="104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Configuration</w:t>
      </w:r>
      <w:r>
        <w:rPr>
          <w:rFonts w:ascii="Arial" w:cs="Arial" w:eastAsia="Arial" w:hAnsi="Arial"/>
          <w:sz w:val="22"/>
          <w:szCs w:val="22"/>
          <w:color w:val="auto"/>
        </w:rPr>
        <w:t>.</w:t>
      </w:r>
    </w:p>
    <w:p>
      <w:pPr>
        <w:spacing w:after="0" w:line="179" w:lineRule="exact"/>
        <w:rPr>
          <w:sz w:val="20"/>
          <w:szCs w:val="20"/>
          <w:color w:val="auto"/>
        </w:rPr>
      </w:pPr>
    </w:p>
    <w:p>
      <w:pPr>
        <w:jc w:val="both"/>
        <w:ind w:left="1180" w:hanging="517"/>
        <w:spacing w:after="0" w:line="226" w:lineRule="auto"/>
        <w:tabs>
          <w:tab w:leader="none" w:pos="1160" w:val="left"/>
        </w:tabs>
        <w:rPr>
          <w:sz w:val="20"/>
          <w:szCs w:val="20"/>
          <w:color w:val="auto"/>
        </w:rPr>
      </w:pPr>
      <w:r>
        <w:rPr>
          <w:rFonts w:ascii="Arial" w:cs="Arial" w:eastAsia="Arial" w:hAnsi="Arial"/>
          <w:sz w:val="22"/>
          <w:szCs w:val="22"/>
          <w:color w:val="auto"/>
        </w:rPr>
        <w:t>3.1</w:t>
        <w:tab/>
        <w:t>Subject to the provisions of Section 3.2 below, the configuration for the [****] will be the Detail Specification for the Aircraft at the revision level in effect at the time of [****] (as defined in Section 8 below). Such Detail Specification will be revised to include:</w:t>
      </w:r>
    </w:p>
    <w:p>
      <w:pPr>
        <w:spacing w:after="0" w:line="149" w:lineRule="exact"/>
        <w:rPr>
          <w:sz w:val="20"/>
          <w:szCs w:val="20"/>
          <w:color w:val="auto"/>
        </w:rPr>
      </w:pPr>
    </w:p>
    <w:p>
      <w:pPr>
        <w:ind w:left="1560" w:hanging="904"/>
        <w:spacing w:after="0"/>
        <w:tabs>
          <w:tab w:leader="none" w:pos="15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 and</w:t>
      </w:r>
    </w:p>
    <w:p>
      <w:pPr>
        <w:spacing w:after="0" w:line="179" w:lineRule="exact"/>
        <w:rPr>
          <w:sz w:val="20"/>
          <w:szCs w:val="20"/>
          <w:color w:val="auto"/>
        </w:rPr>
      </w:pPr>
    </w:p>
    <w:p>
      <w:pPr>
        <w:ind w:left="1900" w:hanging="596"/>
        <w:spacing w:after="0"/>
        <w:tabs>
          <w:tab w:leader="none" w:pos="19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1180" w:right="20" w:hanging="517"/>
        <w:spacing w:after="0" w:line="236" w:lineRule="auto"/>
        <w:tabs>
          <w:tab w:leader="none" w:pos="1160" w:val="left"/>
        </w:tabs>
        <w:rPr>
          <w:sz w:val="20"/>
          <w:szCs w:val="20"/>
          <w:color w:val="auto"/>
        </w:rPr>
      </w:pPr>
      <w:r>
        <w:rPr>
          <w:rFonts w:ascii="Arial" w:cs="Arial" w:eastAsia="Arial" w:hAnsi="Arial"/>
          <w:sz w:val="22"/>
          <w:szCs w:val="22"/>
          <w:color w:val="auto"/>
        </w:rPr>
        <w:t>3.2</w:t>
        <w:tab/>
        <w:t xml:space="preserve">Boeing reserves the right to [****] the [****] starting from a [****]; </w:t>
      </w:r>
      <w:r>
        <w:rPr>
          <w:rFonts w:ascii="Arial" w:cs="Arial" w:eastAsia="Arial" w:hAnsi="Arial"/>
          <w:sz w:val="22"/>
          <w:szCs w:val="22"/>
          <w:u w:val="single" w:color="auto"/>
          <w:color w:val="auto"/>
        </w:rPr>
        <w:t>so long as</w:t>
      </w:r>
      <w:r>
        <w:rPr>
          <w:rFonts w:ascii="Arial" w:cs="Arial" w:eastAsia="Arial" w:hAnsi="Arial"/>
          <w:sz w:val="22"/>
          <w:szCs w:val="22"/>
          <w:color w:val="auto"/>
        </w:rPr>
        <w:t xml:space="preserve"> Boeing can achieve the same [****] which would result pursuant to the provisions of Section 3.1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R5</w:t>
      </w:r>
      <w:r>
        <w:rPr>
          <w:sz w:val="20"/>
          <w:szCs w:val="20"/>
          <w:color w:val="auto"/>
        </w:rPr>
        <w:tab/>
      </w:r>
      <w:r>
        <w:rPr>
          <w:rFonts w:ascii="Arial" w:cs="Arial" w:eastAsia="Arial" w:hAnsi="Arial"/>
          <w:sz w:val="21"/>
          <w:szCs w:val="21"/>
          <w:color w:val="auto"/>
        </w:rPr>
        <w:t>SA-22</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1of 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377" w:lineRule="exact"/>
        <w:rPr>
          <w:sz w:val="20"/>
          <w:szCs w:val="20"/>
          <w:color w:val="auto"/>
        </w:rPr>
      </w:pPr>
    </w:p>
    <w:p>
      <w:pPr>
        <w:ind w:left="1040" w:hanging="384"/>
        <w:spacing w:after="0"/>
        <w:tabs>
          <w:tab w:leader="none" w:pos="104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179" w:lineRule="exact"/>
        <w:rPr>
          <w:sz w:val="20"/>
          <w:szCs w:val="20"/>
          <w:color w:val="auto"/>
        </w:rPr>
      </w:pPr>
    </w:p>
    <w:p>
      <w:pPr>
        <w:ind w:left="1220" w:hanging="566"/>
        <w:spacing w:after="0" w:line="236" w:lineRule="auto"/>
        <w:tabs>
          <w:tab w:leader="none" w:pos="1200" w:val="left"/>
        </w:tabs>
        <w:rPr>
          <w:sz w:val="20"/>
          <w:szCs w:val="20"/>
          <w:color w:val="auto"/>
        </w:rPr>
      </w:pPr>
      <w:r>
        <w:rPr>
          <w:rFonts w:ascii="Arial" w:cs="Arial" w:eastAsia="Arial" w:hAnsi="Arial"/>
          <w:sz w:val="22"/>
          <w:szCs w:val="22"/>
          <w:color w:val="auto"/>
        </w:rPr>
        <w:t>4.1</w:t>
        <w:tab/>
        <w:t>The [****] Aircraft Basic Price for each of the [****] are identified in Attachment A(R3) to this Letter Agreement.</w:t>
      </w:r>
    </w:p>
    <w:p>
      <w:pPr>
        <w:spacing w:after="0" w:line="15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The [****] Aircraft Basic Price for each of the [****] shall be [****].</w:t>
      </w:r>
    </w:p>
    <w:p>
      <w:pPr>
        <w:spacing w:after="0" w:line="179" w:lineRule="exact"/>
        <w:rPr>
          <w:sz w:val="20"/>
          <w:szCs w:val="20"/>
          <w:color w:val="auto"/>
        </w:rPr>
      </w:pPr>
    </w:p>
    <w:p>
      <w:pPr>
        <w:ind w:left="1180" w:hanging="517"/>
        <w:spacing w:after="0" w:line="236" w:lineRule="auto"/>
        <w:tabs>
          <w:tab w:leader="none" w:pos="1160" w:val="left"/>
        </w:tabs>
        <w:rPr>
          <w:sz w:val="20"/>
          <w:szCs w:val="20"/>
          <w:color w:val="auto"/>
        </w:rPr>
      </w:pPr>
      <w:r>
        <w:rPr>
          <w:rFonts w:ascii="Arial" w:cs="Arial" w:eastAsia="Arial" w:hAnsi="Arial"/>
          <w:sz w:val="22"/>
          <w:szCs w:val="22"/>
          <w:color w:val="auto"/>
        </w:rPr>
        <w:t>4.3</w:t>
        <w:tab/>
        <w:t>The Advance Payment Base Price shall be developed in accordance with the terms of the Purchase Agreement and determined at the time of [****].</w:t>
      </w:r>
    </w:p>
    <w:p>
      <w:pPr>
        <w:spacing w:after="0" w:line="151" w:lineRule="exact"/>
        <w:rPr>
          <w:sz w:val="20"/>
          <w:szCs w:val="20"/>
          <w:color w:val="auto"/>
        </w:rPr>
      </w:pPr>
    </w:p>
    <w:p>
      <w:pPr>
        <w:ind w:left="1040" w:hanging="384"/>
        <w:spacing w:after="0"/>
        <w:tabs>
          <w:tab w:leader="none" w:pos="104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5.1  [****]</w:t>
      </w:r>
    </w:p>
    <w:p>
      <w:pPr>
        <w:spacing w:after="0" w:line="17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5.2  [****]</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w:t>
      </w:r>
    </w:p>
    <w:p>
      <w:pPr>
        <w:spacing w:after="0" w:line="71" w:lineRule="exact"/>
        <w:rPr>
          <w:sz w:val="20"/>
          <w:szCs w:val="20"/>
          <w:color w:val="auto"/>
        </w:rPr>
      </w:pPr>
    </w:p>
    <w:p>
      <w:pPr>
        <w:ind w:left="1040" w:hanging="384"/>
        <w:spacing w:after="0"/>
        <w:tabs>
          <w:tab w:leader="none" w:pos="104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040" w:hanging="384"/>
        <w:spacing w:after="0"/>
        <w:tabs>
          <w:tab w:leader="none" w:pos="104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Customer may [****] to Boeing [****] ([****]).</w:t>
      </w:r>
    </w:p>
    <w:p>
      <w:pPr>
        <w:spacing w:after="0" w:line="71"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1040" w:hanging="384"/>
        <w:spacing w:after="0"/>
        <w:tabs>
          <w:tab w:leader="none" w:pos="104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8.1  [****].</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  Reserved.</w:t>
      </w:r>
    </w:p>
    <w:p>
      <w:pPr>
        <w:spacing w:after="0" w:line="7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8.2.1  Reserved.</w:t>
      </w:r>
    </w:p>
    <w:p>
      <w:pPr>
        <w:spacing w:after="0" w:line="17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21"/>
          <w:szCs w:val="21"/>
          <w:color w:val="auto"/>
        </w:rPr>
        <w:t>Reserved.</w:t>
      </w:r>
    </w:p>
    <w:p>
      <w:pPr>
        <w:spacing w:after="0" w:line="179" w:lineRule="exact"/>
        <w:rPr>
          <w:sz w:val="20"/>
          <w:szCs w:val="20"/>
          <w:color w:val="auto"/>
        </w:rPr>
      </w:pPr>
    </w:p>
    <w:p>
      <w:pPr>
        <w:ind w:left="1040" w:hanging="384"/>
        <w:spacing w:after="0"/>
        <w:tabs>
          <w:tab w:leader="none" w:pos="104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w:t>
      </w:r>
    </w:p>
    <w:p>
      <w:pPr>
        <w:spacing w:after="0" w:line="149" w:lineRule="exact"/>
        <w:rPr>
          <w:sz w:val="20"/>
          <w:szCs w:val="20"/>
          <w:color w:val="auto"/>
        </w:rPr>
      </w:pPr>
    </w:p>
    <w:p>
      <w:pPr>
        <w:ind w:left="1040" w:hanging="384"/>
        <w:spacing w:after="0"/>
        <w:tabs>
          <w:tab w:leader="none" w:pos="104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R5</w:t>
      </w:r>
      <w:r>
        <w:rPr>
          <w:sz w:val="20"/>
          <w:szCs w:val="20"/>
          <w:color w:val="auto"/>
        </w:rPr>
        <w:tab/>
      </w:r>
      <w:r>
        <w:rPr>
          <w:rFonts w:ascii="Arial" w:cs="Arial" w:eastAsia="Arial" w:hAnsi="Arial"/>
          <w:sz w:val="21"/>
          <w:szCs w:val="21"/>
          <w:color w:val="auto"/>
        </w:rPr>
        <w:t>SA-22</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2 of 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R5</w:t>
      </w:r>
      <w:r>
        <w:rPr>
          <w:sz w:val="20"/>
          <w:szCs w:val="20"/>
          <w:color w:val="auto"/>
        </w:rPr>
        <w:tab/>
      </w:r>
      <w:r>
        <w:rPr>
          <w:rFonts w:ascii="Arial" w:cs="Arial" w:eastAsia="Arial" w:hAnsi="Arial"/>
          <w:sz w:val="21"/>
          <w:szCs w:val="21"/>
          <w:color w:val="auto"/>
        </w:rPr>
        <w:t>SA-22</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3 of 4</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08760" cy="3429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373"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ACCEPTED AND AGREED TO this</w:t>
      </w:r>
    </w:p>
    <w:p>
      <w:pPr>
        <w:spacing w:after="0" w:line="200" w:lineRule="exact"/>
        <w:rPr>
          <w:sz w:val="20"/>
          <w:szCs w:val="20"/>
          <w:color w:val="auto"/>
        </w:rPr>
      </w:pPr>
    </w:p>
    <w:p>
      <w:pPr>
        <w:spacing w:after="0" w:line="209"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70485</wp:posOffset>
            </wp:positionV>
            <wp:extent cx="25888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34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VP,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70485</wp:posOffset>
            </wp:positionV>
            <wp:extent cx="33343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160" w:val="left"/>
        </w:tabs>
        <w:rPr>
          <w:sz w:val="20"/>
          <w:szCs w:val="20"/>
          <w:color w:val="auto"/>
        </w:rPr>
      </w:pPr>
      <w:r>
        <w:rPr>
          <w:rFonts w:ascii="Arial" w:cs="Arial" w:eastAsia="Arial" w:hAnsi="Arial"/>
          <w:sz w:val="22"/>
          <w:szCs w:val="22"/>
          <w:color w:val="auto"/>
        </w:rPr>
        <w:t>AAL-PA-03735-LA-1106651</w:t>
      </w:r>
      <w:r>
        <w:rPr>
          <w:rFonts w:ascii="Arial" w:cs="Arial" w:eastAsia="Arial" w:hAnsi="Arial"/>
          <w:sz w:val="22"/>
          <w:szCs w:val="22"/>
          <w:b w:val="1"/>
          <w:bCs w:val="1"/>
          <w:color w:val="auto"/>
        </w:rPr>
        <w:t>R5</w:t>
      </w:r>
      <w:r>
        <w:rPr>
          <w:sz w:val="20"/>
          <w:szCs w:val="20"/>
          <w:color w:val="auto"/>
        </w:rPr>
        <w:tab/>
      </w:r>
      <w:r>
        <w:rPr>
          <w:rFonts w:ascii="Arial" w:cs="Arial" w:eastAsia="Arial" w:hAnsi="Arial"/>
          <w:sz w:val="21"/>
          <w:szCs w:val="21"/>
          <w:color w:val="auto"/>
        </w:rPr>
        <w:t>SA-22</w:t>
      </w:r>
    </w:p>
    <w:p>
      <w:pPr>
        <w:spacing w:after="0" w:line="204" w:lineRule="auto"/>
        <w:tabs>
          <w:tab w:leader="none" w:pos="680" w:val="left"/>
        </w:tabs>
        <w:rPr>
          <w:sz w:val="20"/>
          <w:szCs w:val="20"/>
          <w:color w:val="auto"/>
        </w:rPr>
      </w:pPr>
      <w:r>
        <w:rPr>
          <w:rFonts w:ascii="Arial" w:cs="Arial" w:eastAsia="Arial" w:hAnsi="Arial"/>
          <w:sz w:val="22"/>
          <w:szCs w:val="22"/>
          <w:color w:val="auto"/>
        </w:rPr>
        <w:t>[****]</w:t>
        <w:tab/>
        <w:t>Page 4 of 4</w:t>
      </w:r>
    </w:p>
    <w:p>
      <w:pPr>
        <w:spacing w:after="0" w:line="1" w:lineRule="exact"/>
        <w:rPr>
          <w:sz w:val="20"/>
          <w:szCs w:val="20"/>
          <w:color w:val="auto"/>
        </w:rPr>
      </w:pPr>
    </w:p>
    <w:p>
      <w:pPr>
        <w:jc w:val="right"/>
        <w:ind w:right="329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152" w:name="page153"/>
    <w:bookmarkEnd w:id="152"/>
    <w:p>
      <w:pPr>
        <w:jc w:val="center"/>
        <w:ind w:right="-159"/>
        <w:spacing w:after="0"/>
        <w:rPr>
          <w:sz w:val="20"/>
          <w:szCs w:val="20"/>
          <w:color w:val="auto"/>
        </w:rPr>
      </w:pPr>
      <w:r>
        <w:rPr>
          <w:rFonts w:ascii="Arial" w:cs="Arial" w:eastAsia="Arial" w:hAnsi="Arial"/>
          <w:sz w:val="22"/>
          <w:szCs w:val="22"/>
          <w:color w:val="auto"/>
        </w:rPr>
        <w:t>Attachment A(R5) To</w:t>
      </w:r>
    </w:p>
    <w:p>
      <w:pPr>
        <w:jc w:val="center"/>
        <w:ind w:right="-159"/>
        <w:spacing w:after="0" w:line="204" w:lineRule="auto"/>
        <w:rPr>
          <w:sz w:val="20"/>
          <w:szCs w:val="20"/>
          <w:color w:val="auto"/>
        </w:rPr>
      </w:pPr>
      <w:r>
        <w:rPr>
          <w:rFonts w:ascii="Arial" w:cs="Arial" w:eastAsia="Arial" w:hAnsi="Arial"/>
          <w:sz w:val="22"/>
          <w:szCs w:val="22"/>
          <w:color w:val="auto"/>
        </w:rPr>
        <w:t>Letter Agreement No. AAL-PA-03735-LA-1106651R5</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737-8 [****] Aircraft Delivery, Description, Price and Advance Payments</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Model/MTOW:</w:t>
            </w:r>
          </w:p>
        </w:tc>
        <w:tc>
          <w:tcPr>
            <w:tcW w:w="9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737-8</w:t>
            </w: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 pounds</w:t>
            </w: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Detail Specification:</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CFMLEAP-</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Airframe Price Base Year/Escalation</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Model/Thrust:</w:t>
            </w: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8"/>
              </w:rPr>
              <w:t>1B25</w:t>
            </w: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 pounds</w:t>
            </w: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Formula:</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Airframe Price:</w:t>
            </w:r>
          </w:p>
        </w:tc>
        <w:tc>
          <w:tcPr>
            <w:tcW w:w="94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Engine Price Base Year/Escalation Formula:</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Optional Features:</w:t>
            </w:r>
          </w:p>
        </w:tc>
        <w:tc>
          <w:tcPr>
            <w:tcW w:w="94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Sub-Total of Airframe and Features:</w:t>
            </w:r>
          </w:p>
        </w:tc>
        <w:tc>
          <w:tcPr>
            <w:tcW w:w="2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7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Airframe Escalation Data:</w:t>
            </w: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600" w:type="dxa"/>
            <w:vAlign w:val="bottom"/>
            <w:gridSpan w:val="3"/>
            <w:vMerge w:val="continue"/>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5"/>
            <w:vMerge w:val="continue"/>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Engine Price (Per</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Base Year Index (ECI):</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Aircraft Basic Price (Excluding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BFE/SPE):</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Base Year Index (CPI):</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
        </w:trPr>
        <w:tc>
          <w:tcPr>
            <w:tcW w:w="2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Buyer Furnished Equipment (BFE)</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00" w:type="dxa"/>
            <w:vAlign w:val="bottom"/>
            <w:gridSpan w:val="3"/>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Seller Purchased Equipment (SPE)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6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LIFT Seats Provided by Boeing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Deposit per Aircraft:</w:t>
            </w:r>
          </w:p>
        </w:tc>
        <w:tc>
          <w:tcPr>
            <w:tcW w:w="94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24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77"/>
        </w:trPr>
        <w:tc>
          <w:tcPr>
            <w:tcW w:w="820" w:type="dxa"/>
            <w:vAlign w:val="bottom"/>
            <w:tcBorders>
              <w:left w:val="single" w:sz="8" w:color="auto"/>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920" w:type="dxa"/>
            <w:vAlign w:val="bottom"/>
            <w:tcBorders>
              <w:bottom w:val="single" w:sz="8" w:color="C0C0C0"/>
              <w:right w:val="single" w:sz="8" w:color="auto"/>
            </w:tcBorders>
            <w:shd w:val="clear" w:color="auto" w:fill="C0C0C0"/>
          </w:tcPr>
          <w:p>
            <w:pPr>
              <w:spacing w:after="0"/>
              <w:rPr>
                <w:sz w:val="6"/>
                <w:szCs w:val="6"/>
                <w:color w:val="auto"/>
              </w:rPr>
            </w:pPr>
          </w:p>
        </w:tc>
        <w:tc>
          <w:tcPr>
            <w:tcW w:w="1120" w:type="dxa"/>
            <w:vAlign w:val="bottom"/>
            <w:tcBorders>
              <w:bottom w:val="single" w:sz="8" w:color="C0C0C0"/>
              <w:right w:val="single" w:sz="8" w:color="auto"/>
            </w:tcBorders>
            <w:vMerge w:val="restart"/>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20" w:type="dxa"/>
            <w:vAlign w:val="bottom"/>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820" w:type="dxa"/>
            <w:vAlign w:val="bottom"/>
            <w:tcBorders>
              <w:left w:val="single" w:sz="8" w:color="auto"/>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shd w:val="clear" w:color="auto" w:fill="C0C0C0"/>
          </w:tcPr>
          <w:p>
            <w:pPr>
              <w:spacing w:after="0"/>
              <w:rPr>
                <w:sz w:val="18"/>
                <w:szCs w:val="18"/>
                <w:color w:val="auto"/>
              </w:rPr>
            </w:pPr>
          </w:p>
        </w:tc>
        <w:tc>
          <w:tcPr>
            <w:tcW w:w="1120" w:type="dxa"/>
            <w:vAlign w:val="bottom"/>
            <w:tcBorders>
              <w:right w:val="single" w:sz="8" w:color="auto"/>
            </w:tcBorders>
            <w:vMerge w:val="continue"/>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240" w:type="dxa"/>
            <w:vAlign w:val="bottom"/>
            <w:tcBorders>
              <w:right w:val="single" w:sz="8" w:color="auto"/>
            </w:tcBorders>
          </w:tcPr>
          <w:p>
            <w:pPr>
              <w:spacing w:after="0"/>
              <w:rPr>
                <w:sz w:val="21"/>
                <w:szCs w:val="21"/>
                <w:color w:val="auto"/>
              </w:rPr>
            </w:pPr>
          </w:p>
        </w:tc>
        <w:tc>
          <w:tcPr>
            <w:tcW w:w="920" w:type="dxa"/>
            <w:vAlign w:val="bottom"/>
            <w:tcBorders>
              <w:right w:val="single" w:sz="8" w:color="auto"/>
            </w:tcBorders>
            <w:shd w:val="clear" w:color="auto" w:fill="C0C0C0"/>
          </w:tcPr>
          <w:p>
            <w:pPr>
              <w:spacing w:after="0"/>
              <w:rPr>
                <w:sz w:val="21"/>
                <w:szCs w:val="21"/>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20" w:type="dxa"/>
            <w:vAlign w:val="bottom"/>
          </w:tcPr>
          <w:p>
            <w:pPr>
              <w:spacing w:after="0"/>
              <w:rPr>
                <w:sz w:val="21"/>
                <w:szCs w:val="21"/>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60" w:type="dxa"/>
            <w:vAlign w:val="bottom"/>
          </w:tcPr>
          <w:p>
            <w:pPr>
              <w:spacing w:after="0"/>
              <w:rPr>
                <w:sz w:val="21"/>
                <w:szCs w:val="21"/>
                <w:color w:val="auto"/>
              </w:rPr>
            </w:pPr>
          </w:p>
        </w:tc>
        <w:tc>
          <w:tcPr>
            <w:tcW w:w="9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340" w:type="dxa"/>
            <w:vAlign w:val="bottom"/>
          </w:tcPr>
          <w:p>
            <w:pPr>
              <w:spacing w:after="0"/>
              <w:rPr>
                <w:sz w:val="21"/>
                <w:szCs w:val="21"/>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1"/>
                <w:szCs w:val="21"/>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1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2</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2</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tcBorders>
              <w:right w:val="single" w:sz="8" w:color="auto"/>
            </w:tcBorders>
          </w:tcPr>
          <w:p>
            <w:pPr>
              <w:spacing w:after="0"/>
              <w:rPr>
                <w:sz w:val="24"/>
                <w:szCs w:val="24"/>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gridSpan w:val="2"/>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20" w:type="dxa"/>
            <w:vAlign w:val="bottom"/>
          </w:tcPr>
          <w:p>
            <w:pPr>
              <w:spacing w:after="0"/>
              <w:rPr>
                <w:sz w:val="24"/>
                <w:szCs w:val="24"/>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Borders>
              <w:right w:val="single" w:sz="8" w:color="auto"/>
            </w:tcBorders>
            <w:gridSpan w:val="2"/>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860" w:type="dxa"/>
            <w:vAlign w:val="bottom"/>
            <w:tcBorders>
              <w:right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100" w:type="dxa"/>
            <w:vAlign w:val="bottom"/>
            <w:tcBorders>
              <w:right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1379" w:right="499" w:bottom="9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2500" w:val="left"/>
          <w:tab w:leader="none" w:pos="4720" w:val="left"/>
        </w:tabs>
        <w:rPr>
          <w:sz w:val="20"/>
          <w:szCs w:val="20"/>
          <w:color w:val="auto"/>
        </w:rPr>
      </w:pPr>
      <w:r>
        <w:rPr>
          <w:rFonts w:ascii="Arial" w:cs="Arial" w:eastAsia="Arial" w:hAnsi="Arial"/>
          <w:sz w:val="18"/>
          <w:szCs w:val="18"/>
          <w:color w:val="auto"/>
        </w:rPr>
        <w:t>AAL-PA-03735 118070-1F.txt</w:t>
        <w:tab/>
        <w:t>BOEING PROPRIETARY</w:t>
      </w:r>
      <w:r>
        <w:rPr>
          <w:sz w:val="20"/>
          <w:szCs w:val="20"/>
          <w:color w:val="auto"/>
        </w:rPr>
        <w:tab/>
      </w:r>
      <w:r>
        <w:rPr>
          <w:rFonts w:ascii="Arial" w:cs="Arial" w:eastAsia="Arial" w:hAnsi="Arial"/>
          <w:sz w:val="17"/>
          <w:szCs w:val="17"/>
          <w:color w:val="auto"/>
        </w:rPr>
        <w:t>SA-22</w:t>
      </w:r>
    </w:p>
    <w:p>
      <w:pPr>
        <w:ind w:left="40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80"/>
          </w:cols>
          <w:pgMar w:left="320" w:top="1379" w:right="499" w:bottom="916" w:gutter="0" w:footer="0" w:header="0"/>
          <w:type w:val="continuous"/>
        </w:sectPr>
      </w:pPr>
    </w:p>
    <w:bookmarkStart w:id="153" w:name="page154"/>
    <w:bookmarkEnd w:id="153"/>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7"/>
        </w:trPr>
        <w:tc>
          <w:tcPr>
            <w:tcW w:w="820" w:type="dxa"/>
            <w:vAlign w:val="bottom"/>
            <w:tcBorders>
              <w:top w:val="single" w:sz="8" w:color="auto"/>
              <w:left w:val="single" w:sz="8" w:color="auto"/>
              <w:right w:val="single" w:sz="8" w:color="auto"/>
            </w:tcBorders>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20" w:type="dxa"/>
            <w:vAlign w:val="bottom"/>
            <w:tcBorders>
              <w:top w:val="single" w:sz="8" w:color="auto"/>
              <w:right w:val="single" w:sz="8" w:color="auto"/>
            </w:tcBorders>
            <w:shd w:val="clear" w:color="auto" w:fill="C0C0C0"/>
          </w:tcPr>
          <w:p>
            <w:pPr>
              <w:spacing w:after="0"/>
              <w:rPr>
                <w:sz w:val="21"/>
                <w:szCs w:val="21"/>
                <w:color w:val="auto"/>
              </w:rPr>
            </w:pPr>
          </w:p>
        </w:tc>
        <w:tc>
          <w:tcPr>
            <w:tcW w:w="1120" w:type="dxa"/>
            <w:vAlign w:val="bottom"/>
            <w:tcBorders>
              <w:top w:val="single" w:sz="8" w:color="auto"/>
              <w:right w:val="single" w:sz="8" w:color="auto"/>
            </w:tcBorders>
            <w:shd w:val="clear" w:color="auto" w:fill="C0C0C0"/>
          </w:tcPr>
          <w:p>
            <w:pPr>
              <w:spacing w:after="0"/>
              <w:rPr>
                <w:sz w:val="21"/>
                <w:szCs w:val="21"/>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860" w:type="dxa"/>
            <w:vAlign w:val="bottom"/>
            <w:tcBorders>
              <w:top w:val="single" w:sz="8" w:color="auto"/>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5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20" w:type="dxa"/>
            <w:vAlign w:val="bottom"/>
            <w:tcBorders>
              <w:right w:val="single" w:sz="8" w:color="auto"/>
            </w:tcBorders>
            <w:shd w:val="clear" w:color="auto" w:fill="C0C0C0"/>
          </w:tcPr>
          <w:p>
            <w:pPr>
              <w:spacing w:after="0"/>
              <w:rPr>
                <w:sz w:val="22"/>
                <w:szCs w:val="22"/>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64"/>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2500" w:val="left"/>
          <w:tab w:leader="none" w:pos="4720" w:val="left"/>
        </w:tabs>
        <w:rPr>
          <w:sz w:val="20"/>
          <w:szCs w:val="20"/>
          <w:color w:val="auto"/>
        </w:rPr>
      </w:pPr>
      <w:r>
        <w:rPr>
          <w:rFonts w:ascii="Arial" w:cs="Arial" w:eastAsia="Arial" w:hAnsi="Arial"/>
          <w:sz w:val="18"/>
          <w:szCs w:val="18"/>
          <w:color w:val="auto"/>
        </w:rPr>
        <w:t>AAL-PA-03735 118070-1F.txt</w:t>
        <w:tab/>
        <w:t>BOEING PROPRIETARY</w:t>
      </w:r>
      <w:r>
        <w:rPr>
          <w:sz w:val="20"/>
          <w:szCs w:val="20"/>
          <w:color w:val="auto"/>
        </w:rPr>
        <w:tab/>
      </w:r>
      <w:r>
        <w:rPr>
          <w:rFonts w:ascii="Arial" w:cs="Arial" w:eastAsia="Arial" w:hAnsi="Arial"/>
          <w:sz w:val="17"/>
          <w:szCs w:val="17"/>
          <w:color w:val="auto"/>
        </w:rPr>
        <w:t>SA-22</w:t>
      </w:r>
    </w:p>
    <w:p>
      <w:pPr>
        <w:ind w:left="40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80"/>
          </w:cols>
          <w:pgMar w:left="320" w:top="1440" w:right="499" w:bottom="1440" w:gutter="0" w:footer="0" w:header="0"/>
          <w:type w:val="continuous"/>
        </w:sectPr>
      </w:pPr>
    </w:p>
    <w:bookmarkStart w:id="154" w:name="page155"/>
    <w:bookmarkEnd w:id="154"/>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20" w:type="dxa"/>
            <w:vAlign w:val="bottom"/>
            <w:tcBorders>
              <w:right w:val="single" w:sz="8" w:color="auto"/>
            </w:tcBorders>
            <w:shd w:val="clear" w:color="auto" w:fill="C0C0C0"/>
          </w:tcPr>
          <w:p>
            <w:pPr>
              <w:spacing w:after="0"/>
              <w:rPr>
                <w:sz w:val="20"/>
                <w:szCs w:val="20"/>
                <w:color w:val="auto"/>
              </w:rPr>
            </w:pPr>
          </w:p>
        </w:tc>
        <w:tc>
          <w:tcPr>
            <w:tcW w:w="1120" w:type="dxa"/>
            <w:vAlign w:val="bottom"/>
            <w:tcBorders>
              <w:right w:val="single" w:sz="8" w:color="auto"/>
            </w:tcBorders>
            <w:shd w:val="clear" w:color="auto" w:fill="C0C0C0"/>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86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5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20" w:type="dxa"/>
            <w:vAlign w:val="bottom"/>
            <w:tcBorders>
              <w:right w:val="single" w:sz="8" w:color="auto"/>
            </w:tcBorders>
            <w:shd w:val="clear" w:color="auto" w:fill="C0C0C0"/>
          </w:tcPr>
          <w:p>
            <w:pPr>
              <w:spacing w:after="0"/>
              <w:rPr>
                <w:sz w:val="22"/>
                <w:szCs w:val="22"/>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64"/>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2500" w:val="left"/>
          <w:tab w:leader="none" w:pos="4720" w:val="left"/>
        </w:tabs>
        <w:rPr>
          <w:sz w:val="20"/>
          <w:szCs w:val="20"/>
          <w:color w:val="auto"/>
        </w:rPr>
      </w:pPr>
      <w:r>
        <w:rPr>
          <w:rFonts w:ascii="Arial" w:cs="Arial" w:eastAsia="Arial" w:hAnsi="Arial"/>
          <w:sz w:val="18"/>
          <w:szCs w:val="18"/>
          <w:color w:val="auto"/>
        </w:rPr>
        <w:t>AAL-PA-03735 118070-1F.txt</w:t>
        <w:tab/>
        <w:t>BOEING PROPRIETARY</w:t>
      </w:r>
      <w:r>
        <w:rPr>
          <w:sz w:val="20"/>
          <w:szCs w:val="20"/>
          <w:color w:val="auto"/>
        </w:rPr>
        <w:tab/>
      </w:r>
      <w:r>
        <w:rPr>
          <w:rFonts w:ascii="Arial" w:cs="Arial" w:eastAsia="Arial" w:hAnsi="Arial"/>
          <w:sz w:val="17"/>
          <w:szCs w:val="17"/>
          <w:color w:val="auto"/>
        </w:rPr>
        <w:t>SA-22</w:t>
      </w:r>
    </w:p>
    <w:p>
      <w:pPr>
        <w:ind w:left="40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80"/>
          </w:cols>
          <w:pgMar w:left="320" w:top="1440" w:right="499" w:bottom="1440" w:gutter="0" w:footer="0" w:header="0"/>
          <w:type w:val="continuous"/>
        </w:sectPr>
      </w:pPr>
    </w:p>
    <w:bookmarkStart w:id="155" w:name="page156"/>
    <w:bookmarkEnd w:id="155"/>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68"/>
        </w:trPr>
        <w:tc>
          <w:tcPr>
            <w:tcW w:w="82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86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5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20" w:type="dxa"/>
            <w:vAlign w:val="bottom"/>
            <w:tcBorders>
              <w:right w:val="single" w:sz="8" w:color="auto"/>
            </w:tcBorders>
            <w:shd w:val="clear" w:color="auto" w:fill="C0C0C0"/>
          </w:tcPr>
          <w:p>
            <w:pPr>
              <w:spacing w:after="0"/>
              <w:rPr>
                <w:sz w:val="22"/>
                <w:szCs w:val="22"/>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64"/>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080"/>
          </w:cols>
          <w:pgMar w:left="3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2500" w:val="left"/>
          <w:tab w:leader="none" w:pos="4720" w:val="left"/>
        </w:tabs>
        <w:rPr>
          <w:sz w:val="20"/>
          <w:szCs w:val="20"/>
          <w:color w:val="auto"/>
        </w:rPr>
      </w:pPr>
      <w:r>
        <w:rPr>
          <w:rFonts w:ascii="Arial" w:cs="Arial" w:eastAsia="Arial" w:hAnsi="Arial"/>
          <w:sz w:val="18"/>
          <w:szCs w:val="18"/>
          <w:color w:val="auto"/>
        </w:rPr>
        <w:t>AAL-PA-03735 118070-1F.txt</w:t>
        <w:tab/>
        <w:t>BOEING PROPRIETARY</w:t>
      </w:r>
      <w:r>
        <w:rPr>
          <w:sz w:val="20"/>
          <w:szCs w:val="20"/>
          <w:color w:val="auto"/>
        </w:rPr>
        <w:tab/>
      </w:r>
      <w:r>
        <w:rPr>
          <w:rFonts w:ascii="Arial" w:cs="Arial" w:eastAsia="Arial" w:hAnsi="Arial"/>
          <w:sz w:val="17"/>
          <w:szCs w:val="17"/>
          <w:color w:val="auto"/>
        </w:rPr>
        <w:t>SA-22</w:t>
      </w:r>
    </w:p>
    <w:p>
      <w:pPr>
        <w:ind w:left="400"/>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080"/>
          </w:cols>
          <w:pgMar w:left="320" w:top="1440" w:right="499" w:bottom="1440" w:gutter="0" w:footer="0" w:header="0"/>
          <w:type w:val="continuous"/>
        </w:sectPr>
      </w:pPr>
    </w:p>
    <w:bookmarkStart w:id="156" w:name="page157"/>
    <w:bookmarkEnd w:id="156"/>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3"/>
        </w:trPr>
        <w:tc>
          <w:tcPr>
            <w:tcW w:w="820" w:type="dxa"/>
            <w:vAlign w:val="bottom"/>
            <w:tcBorders>
              <w:left w:val="single" w:sz="8" w:color="auto"/>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w:t>
            </w:r>
          </w:p>
        </w:tc>
        <w:tc>
          <w:tcPr>
            <w:tcW w:w="920" w:type="dxa"/>
            <w:vAlign w:val="bottom"/>
            <w:tcBorders>
              <w:right w:val="single" w:sz="8" w:color="auto"/>
            </w:tcBorders>
            <w:shd w:val="clear" w:color="auto" w:fill="C0C0C0"/>
          </w:tcPr>
          <w:p>
            <w:pPr>
              <w:spacing w:after="0"/>
              <w:rPr>
                <w:sz w:val="20"/>
                <w:szCs w:val="20"/>
                <w:color w:val="auto"/>
              </w:rPr>
            </w:pPr>
          </w:p>
        </w:tc>
        <w:tc>
          <w:tcPr>
            <w:tcW w:w="1120" w:type="dxa"/>
            <w:vAlign w:val="bottom"/>
            <w:tcBorders>
              <w:right w:val="single" w:sz="8" w:color="auto"/>
            </w:tcBorders>
            <w:shd w:val="clear" w:color="auto" w:fill="C0C0C0"/>
          </w:tcPr>
          <w:p>
            <w:pPr>
              <w:spacing w:after="0"/>
              <w:rPr>
                <w:sz w:val="20"/>
                <w:szCs w:val="20"/>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Escalation Estimate</w:t>
            </w:r>
          </w:p>
        </w:tc>
        <w:tc>
          <w:tcPr>
            <w:tcW w:w="4860" w:type="dxa"/>
            <w:vAlign w:val="bottom"/>
            <w:tcBorders>
              <w:right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Advance Payment Per Aircraft (Amts. Due/Mos. Prior to Delivery):</w:t>
            </w:r>
          </w:p>
        </w:tc>
      </w:tr>
      <w:tr>
        <w:trPr>
          <w:trHeight w:val="77"/>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27"/>
        </w:trPr>
        <w:tc>
          <w:tcPr>
            <w:tcW w:w="820" w:type="dxa"/>
            <w:vAlign w:val="bottom"/>
            <w:tcBorders>
              <w:left w:val="single" w:sz="8" w:color="auto"/>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Nominal</w:t>
            </w:r>
          </w:p>
        </w:tc>
        <w:tc>
          <w:tcPr>
            <w:tcW w:w="1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r>
      <w:tr>
        <w:trPr>
          <w:trHeight w:val="25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20" w:type="dxa"/>
            <w:vAlign w:val="bottom"/>
            <w:tcBorders>
              <w:right w:val="single" w:sz="8" w:color="auto"/>
            </w:tcBorders>
            <w:shd w:val="clear" w:color="auto" w:fill="C0C0C0"/>
          </w:tcPr>
          <w:p>
            <w:pPr>
              <w:spacing w:after="0"/>
              <w:rPr>
                <w:sz w:val="22"/>
                <w:szCs w:val="22"/>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Adv Payment Base</w:t>
            </w:r>
          </w:p>
        </w:tc>
        <w:tc>
          <w:tcPr>
            <w:tcW w:w="1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At Signing</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Factor</w:t>
            </w:r>
          </w:p>
        </w:tc>
      </w:tr>
      <w:tr>
        <w:trPr>
          <w:trHeight w:val="64"/>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c>
          <w:tcPr>
            <w:tcW w:w="920" w:type="dxa"/>
            <w:vAlign w:val="bottom"/>
            <w:tcBorders>
              <w:right w:val="single" w:sz="8" w:color="auto"/>
            </w:tcBorders>
            <w:shd w:val="clear" w:color="auto" w:fill="C0C0C0"/>
          </w:tcPr>
          <w:p>
            <w:pPr>
              <w:spacing w:after="0"/>
              <w:rPr>
                <w:sz w:val="19"/>
                <w:szCs w:val="19"/>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A/P</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Aircraft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(Airframe)</w:t>
            </w:r>
          </w:p>
        </w:tc>
      </w:tr>
      <w:tr>
        <w:trPr>
          <w:trHeight w:val="78"/>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shd w:val="clear" w:color="auto" w:fill="C0C0C0"/>
          </w:tcPr>
          <w:p>
            <w:pPr>
              <w:spacing w:after="0"/>
              <w:rPr>
                <w:sz w:val="6"/>
                <w:szCs w:val="6"/>
                <w:color w:val="auto"/>
              </w:rPr>
            </w:pPr>
          </w:p>
        </w:tc>
        <w:tc>
          <w:tcPr>
            <w:tcW w:w="1120" w:type="dxa"/>
            <w:vAlign w:val="bottom"/>
            <w:tcBorders>
              <w:bottom w:val="single" w:sz="8" w:color="auto"/>
              <w:right w:val="single" w:sz="8" w:color="auto"/>
            </w:tcBorders>
            <w:shd w:val="clear" w:color="auto" w:fill="C0C0C0"/>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40" w:type="dxa"/>
            <w:vAlign w:val="bottom"/>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0000FF"/>
                <w:w w:val="85"/>
              </w:rPr>
              <w:t>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Yes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90"/>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84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auto"/>
            </w:tcBorders>
            <w:shd w:val="clear" w:color="auto" w:fill="C0C0C0"/>
          </w:tcPr>
          <w:p>
            <w:pPr>
              <w:spacing w:after="0"/>
              <w:rPr>
                <w:sz w:val="24"/>
                <w:szCs w:val="24"/>
                <w:color w:val="auto"/>
              </w:rPr>
            </w:pPr>
          </w:p>
        </w:tc>
        <w:tc>
          <w:tcPr>
            <w:tcW w:w="1120" w:type="dxa"/>
            <w:vAlign w:val="bottom"/>
            <w:tcBorders>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8"/>
        </w:trPr>
        <w:tc>
          <w:tcPr>
            <w:tcW w:w="82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shd w:val="clear" w:color="auto" w:fill="C0C0C0"/>
          </w:tcPr>
          <w:p>
            <w:pPr>
              <w:spacing w:after="0"/>
              <w:rPr>
                <w:sz w:val="5"/>
                <w:szCs w:val="5"/>
                <w:color w:val="auto"/>
              </w:rPr>
            </w:pPr>
          </w:p>
        </w:tc>
        <w:tc>
          <w:tcPr>
            <w:tcW w:w="1120" w:type="dxa"/>
            <w:vAlign w:val="bottom"/>
            <w:tcBorders>
              <w:bottom w:val="single" w:sz="8" w:color="auto"/>
              <w:right w:val="single" w:sz="8" w:color="auto"/>
            </w:tcBorders>
            <w:shd w:val="clear" w:color="auto" w:fill="C0C0C0"/>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r>
      <w:tr>
        <w:trPr>
          <w:trHeight w:val="227"/>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2500" w:val="left"/>
          <w:tab w:leader="none" w:pos="4720" w:val="left"/>
        </w:tabs>
        <w:rPr>
          <w:sz w:val="20"/>
          <w:szCs w:val="20"/>
          <w:color w:val="auto"/>
        </w:rPr>
      </w:pPr>
      <w:r>
        <w:rPr>
          <w:rFonts w:ascii="Arial" w:cs="Arial" w:eastAsia="Arial" w:hAnsi="Arial"/>
          <w:sz w:val="18"/>
          <w:szCs w:val="18"/>
          <w:color w:val="auto"/>
        </w:rPr>
        <w:t>AAL-PA-03735 118070-1F.txt</w:t>
        <w:tab/>
        <w:t>BOEING PROPRIETARY</w:t>
      </w:r>
      <w:r>
        <w:rPr>
          <w:sz w:val="20"/>
          <w:szCs w:val="20"/>
          <w:color w:val="auto"/>
        </w:rPr>
        <w:tab/>
      </w:r>
      <w:r>
        <w:rPr>
          <w:rFonts w:ascii="Arial" w:cs="Arial" w:eastAsia="Arial" w:hAnsi="Arial"/>
          <w:sz w:val="17"/>
          <w:szCs w:val="17"/>
          <w:color w:val="auto"/>
        </w:rPr>
        <w:t>SA-22</w:t>
      </w:r>
    </w:p>
    <w:p>
      <w:pPr>
        <w:ind w:left="400"/>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080"/>
          </w:cols>
          <w:pgMar w:left="320" w:top="1440" w:right="499" w:bottom="1440" w:gutter="0" w:footer="0" w:header="0"/>
        </w:sectPr>
      </w:pPr>
    </w:p>
    <w:bookmarkStart w:id="157" w:name="page158"/>
    <w:bookmarkEnd w:id="157"/>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AAL-PA-03735-LA-1106652R1</w:t>
      </w:r>
    </w:p>
    <w:p>
      <w:pPr>
        <w:spacing w:after="0" w:line="204" w:lineRule="auto"/>
        <w:rPr>
          <w:sz w:val="20"/>
          <w:szCs w:val="20"/>
          <w:color w:val="auto"/>
        </w:rPr>
      </w:pPr>
      <w:r>
        <w:rPr>
          <w:rFonts w:ascii="Arial" w:cs="Arial" w:eastAsia="Arial" w:hAnsi="Arial"/>
          <w:sz w:val="22"/>
          <w:szCs w:val="22"/>
          <w:color w:val="auto"/>
        </w:rPr>
        <w:t>American Airlines, Inc.</w:t>
      </w:r>
    </w:p>
    <w:p>
      <w:pPr>
        <w:spacing w:after="0" w:line="205" w:lineRule="auto"/>
        <w:rPr>
          <w:sz w:val="20"/>
          <w:szCs w:val="20"/>
          <w:color w:val="auto"/>
        </w:rPr>
      </w:pPr>
      <w:r>
        <w:rPr>
          <w:rFonts w:ascii="Arial" w:cs="Arial" w:eastAsia="Arial" w:hAnsi="Arial"/>
          <w:sz w:val="22"/>
          <w:szCs w:val="22"/>
          <w:color w:val="auto"/>
        </w:rPr>
        <w:t>P.O. Box 619616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Dallas-Fort Worth Airport, Texas 75261-9616</w:t>
      </w:r>
    </w:p>
    <w:p>
      <w:pPr>
        <w:spacing w:after="0" w:line="200" w:lineRule="exact"/>
        <w:rPr>
          <w:sz w:val="20"/>
          <w:szCs w:val="20"/>
          <w:color w:val="auto"/>
        </w:rPr>
      </w:pPr>
    </w:p>
    <w:p>
      <w:pPr>
        <w:spacing w:after="0" w:line="202"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Subject:</w:t>
        <w:tab/>
        <w:t>[****]</w:t>
      </w:r>
    </w:p>
    <w:p>
      <w:pPr>
        <w:spacing w:after="0" w:line="206" w:lineRule="exact"/>
        <w:rPr>
          <w:sz w:val="20"/>
          <w:szCs w:val="20"/>
          <w:color w:val="auto"/>
        </w:rPr>
      </w:pPr>
    </w:p>
    <w:p>
      <w:pPr>
        <w:ind w:left="1300" w:hanging="1295"/>
        <w:spacing w:after="0" w:line="245" w:lineRule="auto"/>
        <w:tabs>
          <w:tab w:leader="none" w:pos="1280" w:val="left"/>
        </w:tabs>
        <w:rPr>
          <w:sz w:val="20"/>
          <w:szCs w:val="20"/>
          <w:color w:val="auto"/>
        </w:rPr>
      </w:pPr>
      <w:r>
        <w:rPr>
          <w:rFonts w:ascii="Arial" w:cs="Arial" w:eastAsia="Arial" w:hAnsi="Arial"/>
          <w:sz w:val="22"/>
          <w:szCs w:val="22"/>
          <w:color w:val="auto"/>
        </w:rPr>
        <w:t>Reference:</w:t>
        <w:tab/>
        <w:t>Purchase Agreement No. 03735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between The Boeing Company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and American Airlines, Inc.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relating to Model 737MAX aircraft (</w:t>
      </w:r>
      <w:r>
        <w:rPr>
          <w:rFonts w:ascii="Arial" w:cs="Arial" w:eastAsia="Arial" w:hAnsi="Arial"/>
          <w:sz w:val="22"/>
          <w:szCs w:val="22"/>
          <w:b w:val="1"/>
          <w:bCs w:val="1"/>
          <w:i w:val="1"/>
          <w:iCs w:val="1"/>
          <w:color w:val="auto"/>
        </w:rPr>
        <w:t>Aircraft</w:t>
      </w:r>
      <w:r>
        <w:rPr>
          <w:rFonts w:ascii="Arial" w:cs="Arial" w:eastAsia="Arial" w:hAnsi="Arial"/>
          <w:sz w:val="22"/>
          <w:szCs w:val="22"/>
          <w:color w:val="auto"/>
        </w:rPr>
        <w:t>)</w:t>
      </w:r>
    </w:p>
    <w:p>
      <w:pPr>
        <w:spacing w:after="0" w:line="375"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amends and supplements the Purchase Agreement. All terms used but not defined in this Letter Agreement shall have the same meaning as in the Purchase Agreement.</w:t>
      </w:r>
    </w:p>
    <w:p>
      <w:pPr>
        <w:spacing w:after="0" w:line="151"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Customer may [****] the purchase of either [****] (</w:t>
      </w:r>
      <w:r>
        <w:rPr>
          <w:rFonts w:ascii="Arial" w:cs="Arial" w:eastAsia="Arial" w:hAnsi="Arial"/>
          <w:sz w:val="22"/>
          <w:szCs w:val="22"/>
          <w:b w:val="1"/>
          <w:bCs w:val="1"/>
          <w:i w:val="1"/>
          <w:iCs w:val="1"/>
          <w:color w:val="auto"/>
        </w:rPr>
        <w:t>Eligible Models</w:t>
      </w:r>
      <w:r>
        <w:rPr>
          <w:rFonts w:ascii="Arial" w:cs="Arial" w:eastAsia="Arial" w:hAnsi="Arial"/>
          <w:sz w:val="22"/>
          <w:szCs w:val="22"/>
          <w:color w:val="auto"/>
        </w:rPr>
        <w:t>) [****] of any Firm Aircraft, as defined in article 1 below, subject to the following terms and conditions:</w:t>
      </w:r>
    </w:p>
    <w:p>
      <w:pPr>
        <w:spacing w:after="0" w:line="286" w:lineRule="exact"/>
        <w:rPr>
          <w:sz w:val="20"/>
          <w:szCs w:val="20"/>
          <w:color w:val="auto"/>
        </w:rPr>
      </w:pPr>
    </w:p>
    <w:p>
      <w:pPr>
        <w:ind w:left="1040" w:hanging="384"/>
        <w:spacing w:after="0"/>
        <w:tabs>
          <w:tab w:leader="none" w:pos="104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314" w:lineRule="exact"/>
        <w:rPr>
          <w:sz w:val="20"/>
          <w:szCs w:val="20"/>
          <w:color w:val="auto"/>
        </w:rPr>
      </w:pPr>
    </w:p>
    <w:p>
      <w:pPr>
        <w:spacing w:after="0" w:line="236" w:lineRule="auto"/>
        <w:rPr>
          <w:sz w:val="20"/>
          <w:szCs w:val="20"/>
          <w:color w:val="auto"/>
        </w:rPr>
      </w:pP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purposes of this Letter Agreement, means the Boeing model 737-8 aircraft identified on Table 1R12, 1-2, 1-3R6, and 1-4R1 to the Purchase Agreement (as may be amended from time to time) [****].</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means the [****].</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means any [****].</w:t>
      </w:r>
    </w:p>
    <w:p>
      <w:pPr>
        <w:spacing w:after="0" w:line="179" w:lineRule="exact"/>
        <w:rPr>
          <w:sz w:val="20"/>
          <w:szCs w:val="20"/>
          <w:color w:val="auto"/>
        </w:rPr>
      </w:pPr>
    </w:p>
    <w:p>
      <w:pPr>
        <w:ind w:left="1040" w:hanging="384"/>
        <w:spacing w:after="0"/>
        <w:tabs>
          <w:tab w:leader="none" w:pos="104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Customer’s [****]</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Customer shall [****] ([****]) of its [****] ([****]) with the [****]:</w:t>
      </w:r>
    </w:p>
    <w:p>
      <w:pPr>
        <w:spacing w:after="0" w:line="179" w:lineRule="exact"/>
        <w:rPr>
          <w:sz w:val="20"/>
          <w:szCs w:val="20"/>
          <w:color w:val="auto"/>
        </w:rPr>
      </w:pPr>
    </w:p>
    <w:p>
      <w:pPr>
        <w:ind w:left="1560" w:hanging="904"/>
        <w:spacing w:after="0"/>
        <w:tabs>
          <w:tab w:leader="none" w:pos="15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or;</w:t>
      </w:r>
    </w:p>
    <w:p>
      <w:pPr>
        <w:spacing w:after="0" w:line="179" w:lineRule="exact"/>
        <w:rPr>
          <w:rFonts w:ascii="Arial" w:cs="Arial" w:eastAsia="Arial" w:hAnsi="Arial"/>
          <w:sz w:val="22"/>
          <w:szCs w:val="22"/>
          <w:color w:val="auto"/>
        </w:rPr>
      </w:pPr>
    </w:p>
    <w:p>
      <w:pPr>
        <w:ind w:left="1560" w:hanging="904"/>
        <w:spacing w:after="0"/>
        <w:tabs>
          <w:tab w:leader="none" w:pos="15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Such [****].</w:t>
      </w:r>
    </w:p>
    <w:p>
      <w:pPr>
        <w:spacing w:after="0" w:line="179" w:lineRule="exact"/>
        <w:rPr>
          <w:sz w:val="20"/>
          <w:szCs w:val="20"/>
          <w:color w:val="auto"/>
        </w:rPr>
      </w:pPr>
    </w:p>
    <w:p>
      <w:pPr>
        <w:ind w:left="1040" w:hanging="384"/>
        <w:spacing w:after="0"/>
        <w:tabs>
          <w:tab w:leader="none" w:pos="104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Boeing’s [****]</w:t>
      </w:r>
      <w:r>
        <w:rPr>
          <w:rFonts w:ascii="Arial" w:cs="Arial" w:eastAsia="Arial" w:hAnsi="Arial"/>
          <w:sz w:val="22"/>
          <w:szCs w:val="22"/>
          <w:color w:val="auto"/>
        </w:rPr>
        <w:t>.</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Customer’s [****].</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color w:val="auto"/>
        </w:rPr>
        <w:t>If Boeing [****].</w:t>
      </w:r>
    </w:p>
    <w:p>
      <w:pPr>
        <w:spacing w:after="0" w:line="17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color w:val="auto"/>
        </w:rPr>
        <w:t>All of Boeing’s [****].</w:t>
      </w:r>
    </w:p>
    <w:p>
      <w:pPr>
        <w:spacing w:after="0" w:line="179" w:lineRule="exact"/>
        <w:rPr>
          <w:sz w:val="20"/>
          <w:szCs w:val="20"/>
          <w:color w:val="auto"/>
        </w:rPr>
      </w:pPr>
    </w:p>
    <w:p>
      <w:pPr>
        <w:jc w:val="right"/>
        <w:ind w:left="660" w:right="9640" w:hanging="4"/>
        <w:spacing w:after="0" w:line="429" w:lineRule="auto"/>
        <w:tabs>
          <w:tab w:leader="none" w:pos="1043"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The [****].</w:t>
      </w:r>
    </w:p>
    <w:p>
      <w:pPr>
        <w:ind w:left="1040" w:hanging="384"/>
        <w:spacing w:after="0"/>
        <w:tabs>
          <w:tab w:leader="none" w:pos="104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tabs>
          <w:tab w:leader="none" w:pos="2500" w:val="left"/>
          <w:tab w:leader="none" w:pos="4720" w:val="left"/>
        </w:tabs>
        <w:rPr>
          <w:sz w:val="20"/>
          <w:szCs w:val="20"/>
          <w:color w:val="auto"/>
        </w:rPr>
      </w:pPr>
      <w:r>
        <w:rPr>
          <w:rFonts w:ascii="Arial" w:cs="Arial" w:eastAsia="Arial" w:hAnsi="Arial"/>
          <w:sz w:val="18"/>
          <w:szCs w:val="18"/>
          <w:color w:val="auto"/>
        </w:rPr>
        <w:t>AAL-PA-03735 118070-1F.txt</w:t>
        <w:tab/>
        <w:t>BOEING PROPRIETARY</w:t>
      </w:r>
      <w:r>
        <w:rPr>
          <w:sz w:val="20"/>
          <w:szCs w:val="20"/>
          <w:color w:val="auto"/>
        </w:rPr>
        <w:tab/>
      </w:r>
      <w:r>
        <w:rPr>
          <w:rFonts w:ascii="Arial" w:cs="Arial" w:eastAsia="Arial" w:hAnsi="Arial"/>
          <w:sz w:val="17"/>
          <w:szCs w:val="17"/>
          <w:color w:val="auto"/>
        </w:rPr>
        <w:t>SA-22</w:t>
      </w:r>
    </w:p>
    <w:p>
      <w:pPr>
        <w:ind w:left="40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type w:val="continuous"/>
        </w:sectPr>
      </w:pPr>
    </w:p>
    <w:bookmarkStart w:id="158" w:name="page159"/>
    <w:bookmarkEnd w:id="158"/>
    <w:p>
      <w:pPr>
        <w:jc w:val="both"/>
        <w:ind w:firstLine="648"/>
        <w:spacing w:after="0" w:line="22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31290" cy="3771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431290" cy="377190"/>
                    </a:xfrm>
                    <a:prstGeom prst="rect">
                      <a:avLst/>
                    </a:prstGeom>
                    <a:noFill/>
                  </pic:spPr>
                </pic:pic>
              </a:graphicData>
            </a:graphic>
          </wp:anchor>
        </w:drawing>
        <w:t>Boeing and Customer will [****] into the Purchase Agreement. Boeing and Customer will [****] in accordance with Section 3.2, above. Upon the [****] pursuant to this Section 5, the [****] for purposes of this Letter Agreement and an “[****]” as defined in the Purchase Agreement and shall be governed by the Purchase Agreement.</w:t>
      </w:r>
    </w:p>
    <w:p>
      <w:pPr>
        <w:spacing w:after="0" w:line="14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jc w:val="both"/>
        <w:ind w:left="1180" w:right="20" w:hanging="517"/>
        <w:spacing w:after="0" w:line="226" w:lineRule="auto"/>
        <w:tabs>
          <w:tab w:leader="none" w:pos="1160" w:val="left"/>
        </w:tabs>
        <w:rPr>
          <w:sz w:val="20"/>
          <w:szCs w:val="20"/>
          <w:color w:val="auto"/>
        </w:rPr>
      </w:pPr>
      <w:r>
        <w:rPr>
          <w:rFonts w:ascii="Arial" w:cs="Arial" w:eastAsia="Arial" w:hAnsi="Arial"/>
          <w:sz w:val="22"/>
          <w:szCs w:val="22"/>
          <w:color w:val="auto"/>
        </w:rPr>
        <w:t>6.1</w:t>
        <w:tab/>
        <w:t>The [****] are set forth in Attachment A(R1) and Attachment B(R1), respectively, hereto. The [****] in accordance with the provisions of Supplemental Exhibit AE1. The [****] in accordance with the provisions of Supplemental Exhibit AE1.</w:t>
      </w:r>
    </w:p>
    <w:p>
      <w:pPr>
        <w:spacing w:after="0" w:line="14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color w:val="auto"/>
        </w:rPr>
        <w:t>Any [****] (the [****]) will be a[****]. [****]. If [****], then [****].</w:t>
      </w:r>
    </w:p>
    <w:p>
      <w:pPr>
        <w:spacing w:after="0" w:line="16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6.3</w:t>
        <w:tab/>
        <w:t>At the [****], Boeing will [****] pursuant to and in accordance with Letter Agreement AAL-PA-03735-LA-</w:t>
      </w:r>
    </w:p>
    <w:p>
      <w:pPr>
        <w:ind w:left="1180"/>
        <w:spacing w:after="0"/>
        <w:rPr>
          <w:sz w:val="20"/>
          <w:szCs w:val="20"/>
          <w:color w:val="auto"/>
        </w:rPr>
      </w:pPr>
      <w:r>
        <w:rPr>
          <w:rFonts w:ascii="Arial" w:cs="Arial" w:eastAsia="Arial" w:hAnsi="Arial"/>
          <w:sz w:val="22"/>
          <w:szCs w:val="22"/>
          <w:color w:val="auto"/>
        </w:rPr>
        <w:t>1106648R1 entitled “[****]”, as it may be subsequently amended.</w:t>
      </w:r>
    </w:p>
    <w:p>
      <w:pPr>
        <w:spacing w:after="0" w:line="200" w:lineRule="exact"/>
        <w:rPr>
          <w:sz w:val="20"/>
          <w:szCs w:val="20"/>
          <w:color w:val="auto"/>
        </w:rPr>
      </w:pPr>
    </w:p>
    <w:p>
      <w:pPr>
        <w:spacing w:after="0" w:line="202" w:lineRule="exact"/>
        <w:rPr>
          <w:sz w:val="20"/>
          <w:szCs w:val="20"/>
          <w:color w:val="auto"/>
        </w:rPr>
      </w:pPr>
    </w:p>
    <w:p>
      <w:pPr>
        <w:ind w:left="1040" w:hanging="384"/>
        <w:spacing w:after="0"/>
        <w:tabs>
          <w:tab w:leader="none" w:pos="104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w:t>
      </w:r>
    </w:p>
    <w:p>
      <w:pPr>
        <w:spacing w:after="0" w:line="149" w:lineRule="exact"/>
        <w:rPr>
          <w:sz w:val="20"/>
          <w:szCs w:val="20"/>
          <w:color w:val="auto"/>
        </w:rPr>
      </w:pPr>
    </w:p>
    <w:p>
      <w:pPr>
        <w:ind w:left="1040" w:hanging="384"/>
        <w:spacing w:after="0"/>
        <w:tabs>
          <w:tab w:leader="none" w:pos="10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ectPr>
          <w:pgSz w:w="11900" w:h="16838" w:orient="portrait"/>
          <w:cols w:equalWidth="0" w:num="1">
            <w:col w:w="11240"/>
          </w:cols>
          <w:pgMar w:left="320" w:top="1342" w:right="3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Very truly yours,</w:t>
      </w:r>
    </w:p>
    <w:p>
      <w:pPr>
        <w:spacing w:after="0" w:line="34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BOEING COMPANY</w:t>
      </w:r>
    </w:p>
    <w:p>
      <w:pPr>
        <w:spacing w:after="0" w:line="200" w:lineRule="exact"/>
        <w:rPr>
          <w:sz w:val="20"/>
          <w:szCs w:val="20"/>
          <w:color w:val="auto"/>
        </w:rPr>
      </w:pP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ind w:left="80"/>
              <w:spacing w:after="0"/>
              <w:rPr>
                <w:sz w:val="20"/>
                <w:szCs w:val="20"/>
                <w:color w:val="auto"/>
              </w:rPr>
            </w:pPr>
            <w:r>
              <w:rPr>
                <w:rFonts w:ascii="Arial" w:cs="Arial" w:eastAsia="Arial" w:hAnsi="Arial"/>
                <w:sz w:val="22"/>
                <w:szCs w:val="22"/>
                <w:color w:val="auto"/>
              </w:rPr>
              <w:t>/s/ The Boeing Company</w:t>
            </w:r>
          </w:p>
        </w:tc>
      </w:tr>
      <w:tr>
        <w:trPr>
          <w:trHeight w:val="80"/>
        </w:trPr>
        <w:tc>
          <w:tcPr>
            <w:tcW w:w="680" w:type="dxa"/>
            <w:vAlign w:val="bottom"/>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r>
      <w:tr>
        <w:trPr>
          <w:trHeight w:val="588"/>
        </w:trPr>
        <w:tc>
          <w:tcPr>
            <w:tcW w:w="6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80"/>
              <w:spacing w:after="0"/>
              <w:rPr>
                <w:sz w:val="20"/>
                <w:szCs w:val="20"/>
                <w:color w:val="auto"/>
              </w:rPr>
            </w:pPr>
            <w:r>
              <w:rPr>
                <w:rFonts w:ascii="Arial" w:cs="Arial" w:eastAsia="Arial" w:hAnsi="Arial"/>
                <w:sz w:val="22"/>
                <w:szCs w:val="22"/>
                <w:color w:val="auto"/>
              </w:rPr>
              <w:t>Attorney-In-Fact</w:t>
            </w:r>
          </w:p>
        </w:tc>
      </w:tr>
      <w:tr>
        <w:trPr>
          <w:trHeight w:val="80"/>
        </w:trPr>
        <w:tc>
          <w:tcPr>
            <w:tcW w:w="680" w:type="dxa"/>
            <w:vAlign w:val="bottom"/>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60" w:type="dxa"/>
        <w:tblCellMar>
          <w:top w:w="0" w:type="dxa"/>
          <w:left w:w="0" w:type="dxa"/>
          <w:bottom w:w="0" w:type="dxa"/>
          <w:right w:w="0" w:type="dxa"/>
        </w:tblCellMar>
      </w:tblPr>
      <w:tr>
        <w:trPr>
          <w:trHeight w:val="283"/>
        </w:trPr>
        <w:tc>
          <w:tcPr>
            <w:tcW w:w="680" w:type="dxa"/>
            <w:vAlign w:val="bottom"/>
          </w:tcPr>
          <w:p>
            <w:pPr>
              <w:spacing w:after="0"/>
              <w:rPr>
                <w:sz w:val="20"/>
                <w:szCs w:val="20"/>
                <w:color w:val="auto"/>
              </w:rPr>
            </w:pPr>
            <w:r>
              <w:rPr>
                <w:rFonts w:ascii="Arial" w:cs="Arial" w:eastAsia="Arial" w:hAnsi="Arial"/>
                <w:sz w:val="22"/>
                <w:szCs w:val="22"/>
                <w:color w:val="auto"/>
              </w:rPr>
              <w:t>Date:</w:t>
            </w:r>
          </w:p>
        </w:tc>
        <w:tc>
          <w:tcPr>
            <w:tcW w:w="118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Arial" w:cs="Arial" w:eastAsia="Arial" w:hAnsi="Arial"/>
                <w:sz w:val="22"/>
                <w:szCs w:val="22"/>
                <w:color w:val="auto"/>
              </w:rPr>
              <w:t>January 31, 2022</w:t>
            </w:r>
          </w:p>
        </w:tc>
      </w:tr>
      <w:tr>
        <w:trPr>
          <w:trHeight w:val="80"/>
        </w:trPr>
        <w:tc>
          <w:tcPr>
            <w:tcW w:w="1860" w:type="dxa"/>
            <w:vAlign w:val="bottom"/>
            <w:gridSpan w:val="2"/>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r>
        <w:trPr>
          <w:trHeight w:val="600"/>
        </w:trPr>
        <w:tc>
          <w:tcPr>
            <w:tcW w:w="5940" w:type="dxa"/>
            <w:vAlign w:val="bottom"/>
            <w:gridSpan w:val="3"/>
          </w:tcPr>
          <w:p>
            <w:pPr>
              <w:spacing w:after="0"/>
              <w:rPr>
                <w:sz w:val="20"/>
                <w:szCs w:val="20"/>
                <w:color w:val="auto"/>
              </w:rPr>
            </w:pPr>
            <w:r>
              <w:rPr>
                <w:rFonts w:ascii="Arial" w:cs="Arial" w:eastAsia="Arial" w:hAnsi="Arial"/>
                <w:sz w:val="22"/>
                <w:szCs w:val="22"/>
                <w:b w:val="1"/>
                <w:bCs w:val="1"/>
                <w:color w:val="auto"/>
              </w:rPr>
              <w:t>AMERICAN AIRLINES, INC.</w:t>
            </w:r>
          </w:p>
        </w:tc>
      </w:tr>
      <w:tr>
        <w:trPr>
          <w:trHeight w:val="650"/>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gridSpan w:val="2"/>
          </w:tcPr>
          <w:p>
            <w:pPr>
              <w:ind w:left="80"/>
              <w:spacing w:after="0"/>
              <w:rPr>
                <w:sz w:val="20"/>
                <w:szCs w:val="20"/>
                <w:color w:val="auto"/>
              </w:rPr>
            </w:pPr>
            <w:r>
              <w:rPr>
                <w:rFonts w:ascii="Arial" w:cs="Arial" w:eastAsia="Arial" w:hAnsi="Arial"/>
                <w:sz w:val="22"/>
                <w:szCs w:val="22"/>
                <w:color w:val="auto"/>
              </w:rPr>
              <w:t>/s/ American Airlines, Inc.</w:t>
            </w:r>
          </w:p>
        </w:tc>
      </w:tr>
      <w:tr>
        <w:trPr>
          <w:trHeight w:val="80"/>
        </w:trPr>
        <w:tc>
          <w:tcPr>
            <w:tcW w:w="6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r>
        <w:trPr>
          <w:trHeight w:val="588"/>
        </w:trPr>
        <w:tc>
          <w:tcPr>
            <w:tcW w:w="6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gridSpan w:val="2"/>
          </w:tcPr>
          <w:p>
            <w:pPr>
              <w:ind w:left="80"/>
              <w:spacing w:after="0"/>
              <w:rPr>
                <w:sz w:val="20"/>
                <w:szCs w:val="20"/>
                <w:color w:val="auto"/>
              </w:rPr>
            </w:pPr>
            <w:r>
              <w:rPr>
                <w:rFonts w:ascii="Arial" w:cs="Arial" w:eastAsia="Arial" w:hAnsi="Arial"/>
                <w:sz w:val="22"/>
                <w:szCs w:val="22"/>
                <w:color w:val="auto"/>
              </w:rPr>
              <w:t>VP, Treasurer</w:t>
            </w:r>
          </w:p>
        </w:tc>
      </w:tr>
      <w:tr>
        <w:trPr>
          <w:trHeight w:val="80"/>
        </w:trPr>
        <w:tc>
          <w:tcPr>
            <w:tcW w:w="68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right="4899" w:hanging="399"/>
        <w:spacing w:after="0" w:line="248" w:lineRule="auto"/>
        <w:rPr>
          <w:sz w:val="20"/>
          <w:szCs w:val="20"/>
          <w:color w:val="auto"/>
        </w:rPr>
      </w:pPr>
      <w:r>
        <w:rPr>
          <w:rFonts w:ascii="Arial" w:cs="Arial" w:eastAsia="Arial" w:hAnsi="Arial"/>
          <w:sz w:val="18"/>
          <w:szCs w:val="18"/>
          <w:color w:val="auto"/>
        </w:rPr>
        <w:t>AAL-PA-03735 118070-1F.txt</w:t>
      </w:r>
      <w:r>
        <w:rPr>
          <w:sz w:val="20"/>
          <w:szCs w:val="20"/>
          <w:color w:val="auto"/>
        </w:rPr>
        <w:t xml:space="preserve"> </w:t>
      </w:r>
      <w:r>
        <w:rPr>
          <w:rFonts w:ascii="Arial" w:cs="Arial" w:eastAsia="Arial" w:hAnsi="Arial"/>
          <w:sz w:val="18"/>
          <w:szCs w:val="18"/>
          <w:color w:val="auto"/>
        </w:rPr>
        <w:t>BOEING PROPRIETARY SA-22 Page 1</w:t>
      </w:r>
    </w:p>
    <w:p>
      <w:pPr>
        <w:sectPr>
          <w:pgSz w:w="11900" w:h="16838" w:orient="portrait"/>
          <w:cols w:equalWidth="0" w:num="1">
            <w:col w:w="10139"/>
          </w:cols>
          <w:pgMar w:left="320" w:top="775" w:right="1440"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911860</wp:posOffset>
            </wp:positionV>
            <wp:extent cx="6858000" cy="5349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534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899" w:hanging="399"/>
        <w:spacing w:after="0"/>
        <w:rPr>
          <w:sz w:val="20"/>
          <w:szCs w:val="20"/>
          <w:color w:val="auto"/>
        </w:rPr>
      </w:pPr>
      <w:r>
        <w:rPr>
          <w:rFonts w:ascii="Arial" w:cs="Arial" w:eastAsia="Arial" w:hAnsi="Arial"/>
          <w:sz w:val="18"/>
          <w:szCs w:val="18"/>
          <w:color w:val="auto"/>
        </w:rPr>
        <w:t>AAL-PA-03735 118070-1F.txt</w:t>
      </w:r>
      <w:r>
        <w:rPr>
          <w:sz w:val="20"/>
          <w:szCs w:val="20"/>
          <w:color w:val="auto"/>
        </w:rPr>
        <w:t xml:space="preserve"> </w:t>
      </w:r>
      <w:r>
        <w:rPr>
          <w:rFonts w:ascii="Arial" w:cs="Arial" w:eastAsia="Arial" w:hAnsi="Arial"/>
          <w:sz w:val="18"/>
          <w:szCs w:val="18"/>
          <w:color w:val="auto"/>
        </w:rPr>
        <w:t>BOEING PROPRIETARY SA-22 Page 1</w:t>
      </w:r>
    </w:p>
    <w:p>
      <w:pPr>
        <w:sectPr>
          <w:pgSz w:w="11900" w:h="16838" w:orient="portrait"/>
          <w:cols w:equalWidth="0" w:num="1">
            <w:col w:w="9739"/>
          </w:cols>
          <w:pgMar w:left="720" w:top="1440" w:right="1440" w:bottom="1440"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911860</wp:posOffset>
            </wp:positionV>
            <wp:extent cx="6951980" cy="5349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695198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911860</wp:posOffset>
            </wp:positionV>
            <wp:extent cx="6951980" cy="5349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695198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370840</wp:posOffset>
            </wp:positionH>
            <wp:positionV relativeFrom="page">
              <wp:posOffset>911860</wp:posOffset>
            </wp:positionV>
            <wp:extent cx="6815455" cy="5349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681545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911860</wp:posOffset>
            </wp:positionV>
            <wp:extent cx="6917690" cy="5349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691769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911860</wp:posOffset>
            </wp:positionV>
            <wp:extent cx="6849110" cy="5349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684911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911860</wp:posOffset>
            </wp:positionV>
            <wp:extent cx="6978015" cy="5349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697801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911860</wp:posOffset>
            </wp:positionV>
            <wp:extent cx="6840855" cy="5349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684085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911860</wp:posOffset>
            </wp:positionV>
            <wp:extent cx="6909435" cy="5349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6909435"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353695</wp:posOffset>
            </wp:positionH>
            <wp:positionV relativeFrom="page">
              <wp:posOffset>911860</wp:posOffset>
            </wp:positionV>
            <wp:extent cx="6849110" cy="5349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6849110" cy="5349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2022</w:t>
      </w:r>
    </w:p>
    <w:p>
      <w:pPr>
        <w:spacing w:after="0" w:line="17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17780</wp:posOffset>
            </wp:positionV>
            <wp:extent cx="23831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90"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2022</w:t>
      </w:r>
    </w:p>
    <w:p>
      <w:pPr>
        <w:spacing w:after="0" w:line="17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Derek J. Kerr</w:t>
      </w:r>
    </w:p>
    <w:p>
      <w:pPr>
        <w:spacing w:after="0" w:line="43"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120"/>
        <w:spacing w:after="0" w:line="287" w:lineRule="auto"/>
        <w:rPr>
          <w:sz w:val="20"/>
          <w:szCs w:val="20"/>
          <w:color w:val="auto"/>
        </w:rPr>
      </w:pPr>
      <w:r>
        <w:rPr>
          <w:rFonts w:ascii="Arial" w:cs="Arial" w:eastAsia="Arial" w:hAnsi="Arial"/>
          <w:sz w:val="18"/>
          <w:szCs w:val="18"/>
          <w:color w:val="auto"/>
        </w:rPr>
        <w:t>Vice Chair, Chief Financial Officer and President, American Eagle</w:t>
      </w:r>
    </w:p>
    <w:p>
      <w:pPr>
        <w:sectPr>
          <w:pgSz w:w="11900" w:h="16838" w:orient="portrait"/>
          <w:cols w:equalWidth="0" w:num="2">
            <w:col w:w="6760" w:space="320"/>
            <w:col w:w="4160"/>
          </w:cols>
          <w:pgMar w:left="320" w:top="890" w:right="339" w:bottom="1440" w:gutter="0" w:footer="0" w:header="0"/>
          <w:type w:val="continuous"/>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2" w:lineRule="exact"/>
        <w:rPr>
          <w:sz w:val="20"/>
          <w:szCs w:val="20"/>
          <w:color w:val="auto"/>
        </w:rPr>
      </w:pPr>
    </w:p>
    <w:p>
      <w:pPr>
        <w:ind w:left="640" w:hanging="308"/>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2022</w:t>
      </w:r>
    </w:p>
    <w:p>
      <w:pPr>
        <w:spacing w:after="0" w:line="17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17780</wp:posOffset>
            </wp:positionV>
            <wp:extent cx="23742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90"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52" w:lineRule="exact"/>
        <w:rPr>
          <w:sz w:val="20"/>
          <w:szCs w:val="20"/>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hanging="320"/>
        <w:spacing w:after="0" w:line="268"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hanging="320"/>
        <w:spacing w:after="0" w:line="287" w:lineRule="auto"/>
        <w:tabs>
          <w:tab w:leader="none" w:pos="129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2022</w:t>
      </w:r>
    </w:p>
    <w:p>
      <w:pPr>
        <w:spacing w:after="0" w:line="200" w:lineRule="exact"/>
        <w:rPr>
          <w:sz w:val="20"/>
          <w:szCs w:val="20"/>
          <w:color w:val="auto"/>
        </w:rPr>
      </w:pPr>
    </w:p>
    <w:p>
      <w:pPr>
        <w:spacing w:after="0" w:line="29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17780</wp:posOffset>
            </wp:positionV>
            <wp:extent cx="24599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Derek J. Kerr</w:t>
      </w:r>
    </w:p>
    <w:p>
      <w:pPr>
        <w:spacing w:after="0" w:line="43"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120"/>
        <w:spacing w:after="0" w:line="287" w:lineRule="auto"/>
        <w:rPr>
          <w:sz w:val="20"/>
          <w:szCs w:val="20"/>
          <w:color w:val="auto"/>
        </w:rPr>
      </w:pPr>
      <w:r>
        <w:rPr>
          <w:rFonts w:ascii="Arial" w:cs="Arial" w:eastAsia="Arial" w:hAnsi="Arial"/>
          <w:sz w:val="18"/>
          <w:szCs w:val="18"/>
          <w:color w:val="auto"/>
        </w:rPr>
        <w:t>Vice Chair, Chief Financial Officer and President, American Eagle</w:t>
      </w:r>
    </w:p>
    <w:p>
      <w:pPr>
        <w:sectPr>
          <w:pgSz w:w="11900" w:h="16838" w:orient="portrait"/>
          <w:cols w:equalWidth="0" w:num="2">
            <w:col w:w="6760" w:space="320"/>
            <w:col w:w="4160"/>
          </w:cols>
          <w:pgMar w:left="320" w:top="890" w:right="339" w:bottom="1440" w:gutter="0" w:footer="0" w:header="0"/>
          <w:type w:val="continuous"/>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March 31, 2022 (the “Report”), Robert D. Isom, as Chief Executive Officer and President of the Company, and Derek J. Kerr, as Vice Chair, Chief Financial Officer of the Company and President of American Eagle,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21, 2022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Chair, Chief Financial Officer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American Eagle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21, 2022</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90"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March 31, 2022 (the “Report”), Robert D. Isom, as Chief Executive Officer and President of the Company, and Derek J. Kerr, as Vice Chair, Chief Financial Officer of the Company and President of American Eagle, each hereby certifies, pursuant to 18 U.S.C. Section 1350, as adopted pursuant to Section 906 of the Sarbanes-Oxley Act of 2002, that, to the best of his knowledge:</w:t>
      </w:r>
    </w:p>
    <w:p>
      <w:pPr>
        <w:spacing w:after="0" w:line="203" w:lineRule="exact"/>
        <w:rPr>
          <w:sz w:val="20"/>
          <w:szCs w:val="20"/>
          <w:color w:val="auto"/>
        </w:rPr>
      </w:pPr>
    </w:p>
    <w:p>
      <w:pPr>
        <w:ind w:left="640" w:hanging="308"/>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21, 2022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0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Chair, Chief Financial Officer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American Eagle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21, 2022</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decimal"/>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1)"/>
      <w:numFmt w:val="decimal"/>
      <w:start w:val="1"/>
    </w:lvl>
  </w:abstractNum>
  <w:abstractNum w:abstractNumId="7">
    <w:nsid w:val="77AE35EB"/>
    <w:multiLevelType w:val="hybridMultilevel"/>
    <w:lvl w:ilvl="0">
      <w:lvlJc w:val="left"/>
      <w:lvlText w:val="%1."/>
      <w:numFmt w:val="decimal"/>
      <w:start w:val="1"/>
    </w:lvl>
    <w:lvl w:ilvl="1">
      <w:lvlJc w:val="left"/>
      <w:lvlText w:val="(%2)"/>
      <w:numFmt w:val="lowerLetter"/>
      <w:start w:val="1"/>
    </w:lvl>
  </w:abstractNum>
  <w:abstractNum w:abstractNumId="8">
    <w:nsid w:val="579BE4F1"/>
    <w:multiLevelType w:val="hybridMultilevel"/>
    <w:lvl w:ilvl="0">
      <w:lvlJc w:val="left"/>
      <w:lvlText w:val="(%1)"/>
      <w:numFmt w:val="decimal"/>
      <w:start w:val="1"/>
    </w:lvl>
  </w:abstractNum>
  <w:abstractNum w:abstractNumId="9">
    <w:nsid w:val="310C50B3"/>
    <w:multiLevelType w:val="hybridMultilevel"/>
    <w:lvl w:ilvl="0">
      <w:lvlJc w:val="left"/>
      <w:lvlText w:val="(%1)"/>
      <w:numFmt w:val="decimal"/>
      <w:start w:val="1"/>
    </w:lvl>
  </w:abstractNum>
  <w:abstractNum w:abstractNumId="10">
    <w:nsid w:val="5FF87E05"/>
    <w:multiLevelType w:val="hybridMultilevel"/>
    <w:lvl w:ilvl="0">
      <w:lvlJc w:val="left"/>
      <w:lvlText w:val="%1."/>
      <w:numFmt w:val="decimal"/>
      <w:start w:val="4"/>
    </w:lvl>
  </w:abstractNum>
  <w:abstractNum w:abstractNumId="11">
    <w:nsid w:val="2F305DEF"/>
    <w:multiLevelType w:val="hybridMultilevel"/>
    <w:lvl w:ilvl="0">
      <w:lvlJc w:val="left"/>
      <w:lvlText w:val="(%1)"/>
      <w:numFmt w:val="decimal"/>
      <w:start w:val="1"/>
    </w:lvl>
  </w:abstractNum>
  <w:abstractNum w:abstractNumId="12">
    <w:nsid w:val="25A70BF7"/>
    <w:multiLevelType w:val="hybridMultilevel"/>
    <w:lvl w:ilvl="0">
      <w:lvlJc w:val="left"/>
      <w:lvlText w:val="(%1)"/>
      <w:numFmt w:val="decimal"/>
      <w:start w:val="1"/>
    </w:lvl>
  </w:abstractNum>
  <w:abstractNum w:abstractNumId="13">
    <w:nsid w:val="1DBABF00"/>
    <w:multiLevelType w:val="hybridMultilevel"/>
    <w:lvl w:ilvl="0">
      <w:lvlJc w:val="left"/>
      <w:lvlText w:val="(%1)"/>
      <w:numFmt w:val="decimal"/>
      <w:start w:val="1"/>
    </w:lvl>
  </w:abstractNum>
  <w:abstractNum w:abstractNumId="14">
    <w:nsid w:val="4AD084E9"/>
    <w:multiLevelType w:val="hybridMultilevel"/>
    <w:lvl w:ilvl="0">
      <w:lvlJc w:val="left"/>
      <w:lvlText w:val="%1."/>
      <w:numFmt w:val="decimal"/>
      <w:start w:val="7"/>
    </w:lvl>
  </w:abstractNum>
  <w:abstractNum w:abstractNumId="15">
    <w:nsid w:val="1F48EAA1"/>
    <w:multiLevelType w:val="hybridMultilevel"/>
    <w:lvl w:ilvl="0">
      <w:lvlJc w:val="left"/>
      <w:lvlText w:val="(%1)"/>
      <w:numFmt w:val="decimal"/>
      <w:start w:val="1"/>
    </w:lvl>
  </w:abstractNum>
  <w:abstractNum w:abstractNumId="16">
    <w:nsid w:val="1381823A"/>
    <w:multiLevelType w:val="hybridMultilevel"/>
    <w:lvl w:ilvl="0">
      <w:lvlJc w:val="left"/>
      <w:lvlText w:val="(%1)"/>
      <w:numFmt w:val="decimal"/>
      <w:start w:val="1"/>
    </w:lvl>
  </w:abstractNum>
  <w:abstractNum w:abstractNumId="17">
    <w:nsid w:val="5DB70AE5"/>
    <w:multiLevelType w:val="hybridMultilevel"/>
    <w:lvl w:ilvl="0">
      <w:lvlJc w:val="left"/>
      <w:lvlText w:val="(%1)"/>
      <w:numFmt w:val="decimal"/>
      <w:start w:val="1"/>
    </w:lvl>
  </w:abstractNum>
  <w:abstractNum w:abstractNumId="18">
    <w:nsid w:val="100F8FCA"/>
    <w:multiLevelType w:val="hybridMultilevel"/>
    <w:lvl w:ilvl="0">
      <w:lvlJc w:val="left"/>
      <w:lvlText w:val="(%1)"/>
      <w:numFmt w:val="decimal"/>
      <w:start w:val="1"/>
    </w:lvl>
  </w:abstractNum>
  <w:abstractNum w:abstractNumId="19">
    <w:nsid w:val="6590700B"/>
    <w:multiLevelType w:val="hybridMultilevel"/>
    <w:lvl w:ilvl="0">
      <w:lvlJc w:val="left"/>
      <w:lvlText w:val="%1."/>
      <w:numFmt w:val="decimal"/>
      <w:start w:val="3"/>
    </w:lvl>
  </w:abstractNum>
  <w:abstractNum w:abstractNumId="20">
    <w:nsid w:val="15014ACB"/>
    <w:multiLevelType w:val="hybridMultilevel"/>
    <w:lvl w:ilvl="0">
      <w:lvlJc w:val="left"/>
      <w:lvlText w:val="(%1)"/>
      <w:numFmt w:val="decimal"/>
      <w:start w:val="1"/>
    </w:lvl>
  </w:abstractNum>
  <w:abstractNum w:abstractNumId="21">
    <w:nsid w:val="5F5E7FD0"/>
    <w:multiLevelType w:val="hybridMultilevel"/>
    <w:lvl w:ilvl="0">
      <w:lvlJc w:val="left"/>
      <w:lvlText w:val="(%1)"/>
      <w:numFmt w:val="decimal"/>
      <w:start w:val="1"/>
    </w:lvl>
  </w:abstractNum>
  <w:abstractNum w:abstractNumId="22">
    <w:nsid w:val="98A3148"/>
    <w:multiLevelType w:val="hybridMultilevel"/>
    <w:lvl w:ilvl="0">
      <w:lvlJc w:val="left"/>
      <w:lvlText w:val="(%1)"/>
      <w:numFmt w:val="decimal"/>
      <w:start w:val="1"/>
    </w:lvl>
  </w:abstractNum>
  <w:abstractNum w:abstractNumId="23">
    <w:nsid w:val="799D0247"/>
    <w:multiLevelType w:val="hybridMultilevel"/>
    <w:lvl w:ilvl="0">
      <w:lvlJc w:val="left"/>
      <w:lvlText w:val="%1."/>
      <w:numFmt w:val="decimal"/>
      <w:start w:val="6"/>
    </w:lvl>
  </w:abstractNum>
  <w:abstractNum w:abstractNumId="24">
    <w:nsid w:val="6B94764"/>
    <w:multiLevelType w:val="hybridMultilevel"/>
    <w:lvl w:ilvl="0">
      <w:lvlJc w:val="left"/>
      <w:lvlText w:val="(%1)"/>
      <w:numFmt w:val="decimal"/>
      <w:start w:val="1"/>
    </w:lvl>
  </w:abstractNum>
  <w:abstractNum w:abstractNumId="25">
    <w:nsid w:val="42C296BD"/>
    <w:multiLevelType w:val="hybridMultilevel"/>
    <w:lvl w:ilvl="0">
      <w:lvlJc w:val="left"/>
      <w:lvlText w:val="(%1)"/>
      <w:numFmt w:val="decimal"/>
      <w:start w:val="1"/>
    </w:lvl>
  </w:abstractNum>
  <w:abstractNum w:abstractNumId="26">
    <w:nsid w:val="168E121F"/>
    <w:multiLevelType w:val="hybridMultilevel"/>
    <w:lvl w:ilvl="0">
      <w:lvlJc w:val="left"/>
      <w:lvlText w:val="(%1)"/>
      <w:numFmt w:val="decimal"/>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1)"/>
      <w:numFmt w:val="decimal"/>
      <w:start w:val="1"/>
    </w:lvl>
  </w:abstractNum>
  <w:abstractNum w:abstractNumId="29">
    <w:nsid w:val="5DC79EA8"/>
    <w:multiLevelType w:val="hybridMultilevel"/>
    <w:lvl w:ilvl="0">
      <w:lvlJc w:val="left"/>
      <w:lvlText w:val="(%1)"/>
      <w:numFmt w:val="decimal"/>
      <w:start w:val="1"/>
    </w:lvl>
  </w:abstractNum>
  <w:abstractNum w:abstractNumId="30">
    <w:nsid w:val="540A471C"/>
    <w:multiLevelType w:val="hybridMultilevel"/>
    <w:lvl w:ilvl="0">
      <w:lvlJc w:val="left"/>
      <w:lvlText w:val="(%1)"/>
      <w:numFmt w:val="decimal"/>
      <w:start w:val="1"/>
    </w:lvl>
  </w:abstractNum>
  <w:abstractNum w:abstractNumId="31">
    <w:nsid w:val="7BD3EE7B"/>
    <w:multiLevelType w:val="hybridMultilevel"/>
    <w:lvl w:ilvl="0">
      <w:lvlJc w:val="left"/>
      <w:lvlText w:val="(%1)"/>
      <w:numFmt w:val="lowerLetter"/>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1)"/>
      <w:numFmt w:val="decimal"/>
      <w:start w:val="1"/>
    </w:lvl>
  </w:abstractNum>
  <w:abstractNum w:abstractNumId="34">
    <w:nsid w:val="BF72B14"/>
    <w:multiLevelType w:val="hybridMultilevel"/>
    <w:lvl w:ilvl="0">
      <w:lvlJc w:val="left"/>
      <w:lvlText w:val="(%1)"/>
      <w:numFmt w:val="decimal"/>
      <w:start w:val="1"/>
    </w:lvl>
  </w:abstractNum>
  <w:abstractNum w:abstractNumId="35">
    <w:nsid w:val="11447B73"/>
    <w:multiLevelType w:val="hybridMultilevel"/>
    <w:lvl w:ilvl="0">
      <w:lvlJc w:val="left"/>
      <w:lvlText w:val="(%1)"/>
      <w:numFmt w:val="lowerLetter"/>
      <w:start w:val="1"/>
    </w:lvl>
  </w:abstractNum>
  <w:abstractNum w:abstractNumId="36">
    <w:nsid w:val="42963E5A"/>
    <w:multiLevelType w:val="hybridMultilevel"/>
    <w:lvl w:ilvl="0">
      <w:lvlJc w:val="left"/>
      <w:lvlText w:val="(%1)"/>
      <w:numFmt w:val="lowerLetter"/>
      <w:start w:val="5"/>
    </w:lvl>
  </w:abstractNum>
  <w:abstractNum w:abstractNumId="37">
    <w:nsid w:val="A0382C5"/>
    <w:multiLevelType w:val="hybridMultilevel"/>
    <w:lvl w:ilvl="0">
      <w:lvlJc w:val="left"/>
      <w:lvlText w:val="•"/>
      <w:numFmt w:val="bullet"/>
      <w:start w:val="1"/>
    </w:lvl>
    <w:lvl w:ilvl="1">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1."/>
      <w:numFmt w:val="decimal"/>
      <w:start w:val="2"/>
    </w:lvl>
  </w:abstractNum>
  <w:abstractNum w:abstractNumId="46">
    <w:nsid w:val="7FFFCA11"/>
    <w:multiLevelType w:val="hybridMultilevel"/>
    <w:lvl w:ilvl="0">
      <w:lvlJc w:val="left"/>
      <w:lvlText w:val="%1."/>
      <w:numFmt w:val="decimal"/>
      <w:start w:val="3"/>
    </w:lvl>
  </w:abstractNum>
  <w:abstractNum w:abstractNumId="47">
    <w:nsid w:val="1A27709E"/>
    <w:multiLevelType w:val="hybridMultilevel"/>
    <w:lvl w:ilvl="0">
      <w:lvlJc w:val="left"/>
      <w:lvlText w:val="%1."/>
      <w:numFmt w:val="decimal"/>
      <w:start w:val="4"/>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1."/>
      <w:numFmt w:val="decimal"/>
      <w:start w:val="1"/>
    </w:lvl>
  </w:abstractNum>
  <w:abstractNum w:abstractNumId="50">
    <w:nsid w:val="7FB7E0AA"/>
    <w:multiLevelType w:val="hybridMultilevel"/>
    <w:lvl w:ilvl="0">
      <w:lvlJc w:val="left"/>
      <w:lvlText w:val="%1."/>
      <w:numFmt w:val="decimal"/>
      <w:start w:val="2"/>
    </w:lvl>
  </w:abstractNum>
  <w:abstractNum w:abstractNumId="51">
    <w:nsid w:val="6EB5BD4"/>
    <w:multiLevelType w:val="hybridMultilevel"/>
    <w:lvl w:ilvl="0">
      <w:lvlJc w:val="left"/>
      <w:lvlText w:val="%1."/>
      <w:numFmt w:val="decimal"/>
      <w:start w:val="3"/>
    </w:lvl>
  </w:abstractNum>
  <w:abstractNum w:abstractNumId="52">
    <w:nsid w:val="6F6DD9AC"/>
    <w:multiLevelType w:val="hybridMultilevel"/>
    <w:lvl w:ilvl="0">
      <w:lvlJc w:val="left"/>
      <w:lvlText w:val="%1."/>
      <w:numFmt w:val="decimal"/>
      <w:start w:val="4"/>
    </w:lvl>
  </w:abstractNum>
  <w:abstractNum w:abstractNumId="53">
    <w:nsid w:val="94211F2"/>
    <w:multiLevelType w:val="hybridMultilevel"/>
    <w:lvl w:ilvl="0">
      <w:lvlJc w:val="left"/>
      <w:lvlText w:val="%1."/>
      <w:numFmt w:val="decimal"/>
      <w:start w:val="5"/>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1."/>
      <w:numFmt w:val="decimal"/>
      <w:start w:val="3"/>
    </w:lvl>
  </w:abstractNum>
  <w:abstractNum w:abstractNumId="56">
    <w:nsid w:val="4C04A8AF"/>
    <w:multiLevelType w:val="hybridMultilevel"/>
    <w:lvl w:ilvl="0">
      <w:lvlJc w:val="left"/>
      <w:lvlText w:val="%1."/>
      <w:numFmt w:val="decimal"/>
      <w:start w:val="6"/>
    </w:lvl>
  </w:abstractNum>
  <w:abstractNum w:abstractNumId="57">
    <w:nsid w:val="1716703B"/>
    <w:multiLevelType w:val="hybridMultilevel"/>
    <w:lvl w:ilvl="0">
      <w:lvlJc w:val="left"/>
      <w:lvlText w:val="%1."/>
      <w:numFmt w:val="decimal"/>
      <w:start w:val="7"/>
    </w:lvl>
  </w:abstractNum>
  <w:abstractNum w:abstractNumId="58">
    <w:nsid w:val="14E17E33"/>
    <w:multiLevelType w:val="hybridMultilevel"/>
    <w:lvl w:ilvl="0">
      <w:lvlJc w:val="left"/>
      <w:lvlText w:val="%1."/>
      <w:numFmt w:val="decimal"/>
      <w:start w:val="1"/>
    </w:lvl>
  </w:abstractNum>
  <w:abstractNum w:abstractNumId="59">
    <w:nsid w:val="3222E7CD"/>
    <w:multiLevelType w:val="hybridMultilevel"/>
    <w:lvl w:ilvl="0">
      <w:lvlJc w:val="left"/>
      <w:lvlText w:val="%1."/>
      <w:numFmt w:val="decimal"/>
      <w:start w:val="2"/>
    </w:lvl>
  </w:abstractNum>
  <w:abstractNum w:abstractNumId="60">
    <w:nsid w:val="74DE0EE3"/>
    <w:multiLevelType w:val="hybridMultilevel"/>
    <w:lvl w:ilvl="0">
      <w:lvlJc w:val="left"/>
      <w:lvlText w:val="%1."/>
      <w:numFmt w:val="decimal"/>
      <w:start w:val="3"/>
    </w:lvl>
  </w:abstractNum>
  <w:abstractNum w:abstractNumId="61">
    <w:nsid w:val="68EBC550"/>
    <w:multiLevelType w:val="hybridMultilevel"/>
    <w:lvl w:ilvl="0">
      <w:lvlJc w:val="left"/>
      <w:lvlText w:val="(%1)"/>
      <w:numFmt w:val="lowerRoman"/>
      <w:start w:val="1"/>
    </w:lvl>
    <w:lvl w:ilvl="1">
      <w:lvlJc w:val="left"/>
      <w:lvlText w:val="(%2)"/>
      <w:numFmt w:val="lowerRoman"/>
      <w:start w:val="3"/>
    </w:lvl>
  </w:abstractNum>
  <w:abstractNum w:abstractNumId="62">
    <w:nsid w:val="2DF6D648"/>
    <w:multiLevelType w:val="hybridMultilevel"/>
    <w:lvl w:ilvl="0">
      <w:lvlJc w:val="left"/>
      <w:lvlText w:val="%1."/>
      <w:numFmt w:val="decimal"/>
      <w:start w:val="4"/>
    </w:lvl>
  </w:abstractNum>
  <w:abstractNum w:abstractNumId="63">
    <w:nsid w:val="46B7D447"/>
    <w:multiLevelType w:val="hybridMultilevel"/>
    <w:lvl w:ilvl="0">
      <w:lvlJc w:val="left"/>
      <w:lvlText w:val="%1."/>
      <w:numFmt w:val="decimal"/>
      <w:start w:val="5"/>
    </w:lvl>
  </w:abstractNum>
  <w:abstractNum w:abstractNumId="64">
    <w:nsid w:val="4A2AC315"/>
    <w:multiLevelType w:val="hybridMultilevel"/>
    <w:lvl w:ilvl="0">
      <w:lvlJc w:val="left"/>
      <w:lvlText w:val="%1."/>
      <w:numFmt w:val="decimal"/>
      <w:start w:val="6"/>
    </w:lvl>
  </w:abstractNum>
  <w:abstractNum w:abstractNumId="65">
    <w:nsid w:val="39EE015C"/>
    <w:multiLevelType w:val="hybridMultilevel"/>
    <w:lvl w:ilvl="0">
      <w:lvlJc w:val="left"/>
      <w:lvlText w:val="%1."/>
      <w:numFmt w:val="decimal"/>
      <w:start w:val="8"/>
    </w:lvl>
  </w:abstractNum>
  <w:abstractNum w:abstractNumId="66">
    <w:nsid w:val="57FC4FBB"/>
    <w:multiLevelType w:val="hybridMultilevel"/>
    <w:lvl w:ilvl="0">
      <w:lvlJc w:val="left"/>
      <w:lvlText w:val="%1."/>
      <w:numFmt w:val="decimal"/>
      <w:start w:val="9"/>
    </w:lvl>
  </w:abstractNum>
  <w:abstractNum w:abstractNumId="67">
    <w:nsid w:val="CC1016F"/>
    <w:multiLevelType w:val="hybridMultilevel"/>
    <w:lvl w:ilvl="0">
      <w:lvlJc w:val="left"/>
      <w:lvlText w:val="%1."/>
      <w:numFmt w:val="decimal"/>
      <w:start w:val="10"/>
    </w:lvl>
  </w:abstractNum>
  <w:abstractNum w:abstractNumId="68">
    <w:nsid w:val="43F18422"/>
    <w:multiLevelType w:val="hybridMultilevel"/>
    <w:lvl w:ilvl="0">
      <w:lvlJc w:val="left"/>
      <w:lvlText w:val="%1."/>
      <w:numFmt w:val="decimal"/>
      <w:start w:val="1"/>
    </w:lvl>
  </w:abstractNum>
  <w:abstractNum w:abstractNumId="69">
    <w:nsid w:val="60EF0119"/>
    <w:multiLevelType w:val="hybridMultilevel"/>
    <w:lvl w:ilvl="0">
      <w:lvlJc w:val="left"/>
      <w:lvlText w:val="%1."/>
      <w:numFmt w:val="decimal"/>
      <w:start w:val="2"/>
    </w:lvl>
  </w:abstractNum>
  <w:abstractNum w:abstractNumId="70">
    <w:nsid w:val="26F324BA"/>
    <w:multiLevelType w:val="hybridMultilevel"/>
    <w:lvl w:ilvl="0">
      <w:lvlJc w:val="left"/>
      <w:lvlText w:val="%1."/>
      <w:numFmt w:val="decimal"/>
      <w:start w:val="3"/>
    </w:lvl>
  </w:abstractNum>
  <w:abstractNum w:abstractNumId="71">
    <w:nsid w:val="7F01579B"/>
    <w:multiLevelType w:val="hybridMultilevel"/>
    <w:lvl w:ilvl="0">
      <w:lvlJc w:val="left"/>
      <w:lvlText w:val="(%1)"/>
      <w:numFmt w:val="lowerRoman"/>
      <w:start w:val="1"/>
    </w:lvl>
    <w:lvl w:ilvl="1">
      <w:lvlJc w:val="left"/>
      <w:lvlText w:val="(%2)"/>
      <w:numFmt w:val="lowerRoman"/>
      <w:start w:val="3"/>
    </w:lvl>
  </w:abstractNum>
  <w:abstractNum w:abstractNumId="72">
    <w:nsid w:val="49DA307D"/>
    <w:multiLevelType w:val="hybridMultilevel"/>
    <w:lvl w:ilvl="0">
      <w:lvlJc w:val="left"/>
      <w:lvlText w:val="%1."/>
      <w:numFmt w:val="decimal"/>
      <w:start w:val="4"/>
    </w:lvl>
  </w:abstractNum>
  <w:abstractNum w:abstractNumId="73">
    <w:nsid w:val="7055A5F5"/>
    <w:multiLevelType w:val="hybridMultilevel"/>
    <w:lvl w:ilvl="0">
      <w:lvlJc w:val="left"/>
      <w:lvlText w:val="%1."/>
      <w:numFmt w:val="decimal"/>
      <w:start w:val="5"/>
    </w:lvl>
  </w:abstractNum>
  <w:abstractNum w:abstractNumId="74">
    <w:nsid w:val="5FB8370B"/>
    <w:multiLevelType w:val="hybridMultilevel"/>
    <w:lvl w:ilvl="0">
      <w:lvlJc w:val="left"/>
      <w:lvlText w:val="%1."/>
      <w:numFmt w:val="decimal"/>
      <w:start w:val="6"/>
    </w:lvl>
  </w:abstractNum>
  <w:abstractNum w:abstractNumId="75">
    <w:nsid w:val="50801EE1"/>
    <w:multiLevelType w:val="hybridMultilevel"/>
    <w:lvl w:ilvl="0">
      <w:lvlJc w:val="left"/>
      <w:lvlText w:val="%1."/>
      <w:numFmt w:val="decimal"/>
      <w:start w:val="8"/>
    </w:lvl>
  </w:abstractNum>
  <w:abstractNum w:abstractNumId="76">
    <w:nsid w:val="488AC1A"/>
    <w:multiLevelType w:val="hybridMultilevel"/>
    <w:lvl w:ilvl="0">
      <w:lvlJc w:val="left"/>
      <w:lvlText w:val="%1."/>
      <w:numFmt w:val="decimal"/>
      <w:start w:val="9"/>
    </w:lvl>
  </w:abstractNum>
  <w:abstractNum w:abstractNumId="77">
    <w:nsid w:val="5FB8011C"/>
    <w:multiLevelType w:val="hybridMultilevel"/>
    <w:lvl w:ilvl="0">
      <w:lvlJc w:val="left"/>
      <w:lvlText w:val="%1."/>
      <w:numFmt w:val="decimal"/>
      <w:start w:val="10"/>
    </w:lvl>
  </w:abstractNum>
  <w:abstractNum w:abstractNumId="78">
    <w:nsid w:val="6AA78F7F"/>
    <w:multiLevelType w:val="hybridMultilevel"/>
    <w:lvl w:ilvl="0">
      <w:lvlJc w:val="left"/>
      <w:lvlText w:val="%1."/>
      <w:numFmt w:val="decimal"/>
      <w:start w:val="11"/>
    </w:lvl>
  </w:abstractNum>
  <w:abstractNum w:abstractNumId="79">
    <w:nsid w:val="7672BD23"/>
    <w:multiLevelType w:val="hybridMultilevel"/>
    <w:lvl w:ilvl="0">
      <w:lvlJc w:val="left"/>
      <w:lvlText w:val="%1."/>
      <w:numFmt w:val="decimal"/>
      <w:start w:val="12"/>
    </w:lvl>
  </w:abstractNum>
  <w:abstractNum w:abstractNumId="80">
    <w:nsid w:val="6FC75AF8"/>
    <w:multiLevelType w:val="hybridMultilevel"/>
    <w:lvl w:ilvl="0">
      <w:lvlJc w:val="left"/>
      <w:lvlText w:val="%1."/>
      <w:numFmt w:val="decimal"/>
      <w:start w:val="13"/>
    </w:lvl>
  </w:abstractNum>
  <w:abstractNum w:abstractNumId="81">
    <w:nsid w:val="6A5F7029"/>
    <w:multiLevelType w:val="hybridMultilevel"/>
    <w:lvl w:ilvl="0">
      <w:lvlJc w:val="left"/>
      <w:lvlText w:val="%1."/>
      <w:numFmt w:val="decimal"/>
      <w:start w:val="15"/>
    </w:lvl>
  </w:abstractNum>
  <w:abstractNum w:abstractNumId="82">
    <w:nsid w:val="7D5E18F8"/>
    <w:multiLevelType w:val="hybridMultilevel"/>
    <w:lvl w:ilvl="0">
      <w:lvlJc w:val="left"/>
      <w:lvlText w:val="%1."/>
      <w:numFmt w:val="decimal"/>
      <w:start w:val="16"/>
    </w:lvl>
  </w:abstractNum>
  <w:abstractNum w:abstractNumId="83">
    <w:nsid w:val="5F3534A4"/>
    <w:multiLevelType w:val="hybridMultilevel"/>
    <w:lvl w:ilvl="0">
      <w:lvlJc w:val="left"/>
      <w:lvlText w:val="%1."/>
      <w:numFmt w:val="decimal"/>
      <w:start w:val="17"/>
    </w:lvl>
  </w:abstractNum>
  <w:abstractNum w:abstractNumId="84">
    <w:nsid w:val="73A1821B"/>
    <w:multiLevelType w:val="hybridMultilevel"/>
    <w:lvl w:ilvl="0">
      <w:lvlJc w:val="left"/>
      <w:lvlText w:val="%1."/>
      <w:numFmt w:val="decimal"/>
      <w:start w:val="1"/>
    </w:lvl>
  </w:abstractNum>
  <w:abstractNum w:abstractNumId="85">
    <w:nsid w:val="7DE67713"/>
    <w:multiLevelType w:val="hybridMultilevel"/>
    <w:lvl w:ilvl="0">
      <w:lvlJc w:val="left"/>
      <w:lvlText w:val="%1."/>
      <w:numFmt w:val="decimal"/>
      <w:start w:val="2"/>
    </w:lvl>
  </w:abstractNum>
  <w:abstractNum w:abstractNumId="86">
    <w:nsid w:val="555C55B5"/>
    <w:multiLevelType w:val="hybridMultilevel"/>
    <w:lvl w:ilvl="0">
      <w:lvlJc w:val="left"/>
      <w:lvlText w:val="%1."/>
      <w:numFmt w:val="decimal"/>
      <w:start w:val="3"/>
    </w:lvl>
  </w:abstractNum>
  <w:abstractNum w:abstractNumId="87">
    <w:nsid w:val="3FA62ACA"/>
    <w:multiLevelType w:val="hybridMultilevel"/>
    <w:lvl w:ilvl="0">
      <w:lvlJc w:val="left"/>
      <w:lvlText w:val="%1."/>
      <w:numFmt w:val="decimal"/>
      <w:start w:val="4"/>
    </w:lvl>
  </w:abstractNum>
  <w:abstractNum w:abstractNumId="88">
    <w:nsid w:val="14FCE74E"/>
    <w:multiLevelType w:val="hybridMultilevel"/>
    <w:lvl w:ilvl="0">
      <w:lvlJc w:val="left"/>
      <w:lvlText w:val="%1."/>
      <w:numFmt w:val="decimal"/>
      <w:start w:val="5"/>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1."/>
      <w:numFmt w:val="decimal"/>
      <w:start w:val="3"/>
    </w:lvl>
  </w:abstractNum>
  <w:abstractNum w:abstractNumId="91">
    <w:nsid w:val="9DAF632"/>
    <w:multiLevelType w:val="hybridMultilevel"/>
    <w:lvl w:ilvl="0">
      <w:lvlJc w:val="left"/>
      <w:lvlText w:val="%1."/>
      <w:numFmt w:val="decimal"/>
      <w:start w:val="6"/>
    </w:lvl>
  </w:abstractNum>
  <w:abstractNum w:abstractNumId="92">
    <w:nsid w:val="53299938"/>
    <w:multiLevelType w:val="hybridMultilevel"/>
    <w:lvl w:ilvl="0">
      <w:lvlJc w:val="left"/>
      <w:lvlText w:val="%1."/>
      <w:numFmt w:val="decimal"/>
      <w:start w:val="7"/>
    </w:lvl>
  </w:abstractNum>
  <w:abstractNum w:abstractNumId="93">
    <w:nsid w:val="1FBFE8E0"/>
    <w:multiLevelType w:val="hybridMultilevel"/>
    <w:lvl w:ilvl="0">
      <w:lvlJc w:val="left"/>
      <w:lvlText w:val="%1."/>
      <w:numFmt w:val="decimal"/>
      <w:start w:val="8"/>
    </w:lvl>
  </w:abstractNum>
  <w:abstractNum w:abstractNumId="94">
    <w:nsid w:val="5092CA79"/>
    <w:multiLevelType w:val="hybridMultilevel"/>
    <w:lvl w:ilvl="0">
      <w:lvlJc w:val="left"/>
      <w:lvlText w:val="%1."/>
      <w:numFmt w:val="decimal"/>
      <w:start w:val="1"/>
    </w:lvl>
  </w:abstractNum>
  <w:abstractNum w:abstractNumId="95">
    <w:nsid w:val="1D545C4D"/>
    <w:multiLevelType w:val="hybridMultilevel"/>
    <w:lvl w:ilvl="0">
      <w:lvlJc w:val="left"/>
      <w:lvlText w:val="%1."/>
      <w:numFmt w:val="decimal"/>
      <w:start w:val="2"/>
    </w:lvl>
  </w:abstractNum>
  <w:abstractNum w:abstractNumId="96">
    <w:nsid w:val="59ADEA3D"/>
    <w:multiLevelType w:val="hybridMultilevel"/>
    <w:lvl w:ilvl="0">
      <w:lvlJc w:val="left"/>
      <w:lvlText w:val="%1."/>
      <w:numFmt w:val="decimal"/>
      <w:start w:val="3"/>
    </w:lvl>
  </w:abstractNum>
  <w:abstractNum w:abstractNumId="97">
    <w:nsid w:val="288F1A34"/>
    <w:multiLevelType w:val="hybridMultilevel"/>
    <w:lvl w:ilvl="0">
      <w:lvlJc w:val="left"/>
      <w:lvlText w:val="(%1)"/>
      <w:numFmt w:val="lowerRoman"/>
      <w:start w:val="1"/>
    </w:lvl>
  </w:abstractNum>
  <w:abstractNum w:abstractNumId="98">
    <w:nsid w:val="2A155DBC"/>
    <w:multiLevelType w:val="hybridMultilevel"/>
    <w:lvl w:ilvl="0">
      <w:lvlJc w:val="left"/>
      <w:lvlText w:val="(%1)"/>
      <w:numFmt w:val="lowerRoman"/>
      <w:start w:val="3"/>
    </w:lvl>
  </w:abstractNum>
  <w:abstractNum w:abstractNumId="99">
    <w:nsid w:val="1D9F6E5F"/>
    <w:multiLevelType w:val="hybridMultilevel"/>
    <w:lvl w:ilvl="0">
      <w:lvlJc w:val="left"/>
      <w:lvlText w:val="%1."/>
      <w:numFmt w:val="decimal"/>
      <w:start w:val="4"/>
    </w:lvl>
  </w:abstractNum>
  <w:abstractNum w:abstractNumId="100">
    <w:nsid w:val="97E1B4E"/>
    <w:multiLevelType w:val="hybridMultilevel"/>
    <w:lvl w:ilvl="0">
      <w:lvlJc w:val="left"/>
      <w:lvlText w:val="%1."/>
      <w:numFmt w:val="decimal"/>
      <w:start w:val="5"/>
    </w:lvl>
  </w:abstractNum>
  <w:abstractNum w:abstractNumId="101">
    <w:nsid w:val="51088277"/>
    <w:multiLevelType w:val="hybridMultilevel"/>
    <w:lvl w:ilvl="0">
      <w:lvlJc w:val="left"/>
      <w:lvlText w:val="%1."/>
      <w:numFmt w:val="decimal"/>
      <w:start w:val="6"/>
    </w:lvl>
  </w:abstractNum>
  <w:abstractNum w:abstractNumId="102">
    <w:nsid w:val="1CA0C5FA"/>
    <w:multiLevelType w:val="hybridMultilevel"/>
    <w:lvl w:ilvl="0">
      <w:lvlJc w:val="left"/>
      <w:lvlText w:val="%1."/>
      <w:numFmt w:val="decimal"/>
      <w:start w:val="8"/>
    </w:lvl>
  </w:abstractNum>
  <w:abstractNum w:abstractNumId="103">
    <w:nsid w:val="53584BCB"/>
    <w:multiLevelType w:val="hybridMultilevel"/>
    <w:lvl w:ilvl="0">
      <w:lvlJc w:val="left"/>
      <w:lvlText w:val="%1."/>
      <w:numFmt w:val="decimal"/>
      <w:start w:val="9"/>
    </w:lvl>
  </w:abstractNum>
  <w:abstractNum w:abstractNumId="104">
    <w:nsid w:val="415E286C"/>
    <w:multiLevelType w:val="hybridMultilevel"/>
    <w:lvl w:ilvl="0">
      <w:lvlJc w:val="left"/>
      <w:lvlText w:val="%1."/>
      <w:numFmt w:val="decimal"/>
      <w:start w:val="10"/>
    </w:lvl>
  </w:abstractNum>
  <w:abstractNum w:abstractNumId="105">
    <w:nsid w:val="7C58FD05"/>
    <w:multiLevelType w:val="hybridMultilevel"/>
    <w:lvl w:ilvl="0">
      <w:lvlJc w:val="left"/>
      <w:lvlText w:val="%1."/>
      <w:numFmt w:val="decimal"/>
      <w:start w:val="1"/>
    </w:lvl>
  </w:abstractNum>
  <w:abstractNum w:abstractNumId="106">
    <w:nsid w:val="23D86AAC"/>
    <w:multiLevelType w:val="hybridMultilevel"/>
    <w:lvl w:ilvl="0">
      <w:lvlJc w:val="left"/>
      <w:lvlText w:val="%1."/>
      <w:numFmt w:val="decimal"/>
      <w:start w:val="2"/>
    </w:lvl>
  </w:abstractNum>
  <w:abstractNum w:abstractNumId="107">
    <w:nsid w:val="45E6D486"/>
    <w:multiLevelType w:val="hybridMultilevel"/>
    <w:lvl w:ilvl="0">
      <w:lvlJc w:val="left"/>
      <w:lvlText w:val="(%1)"/>
      <w:numFmt w:val="lowerRoman"/>
      <w:start w:val="1"/>
    </w:lvl>
  </w:abstractNum>
  <w:abstractNum w:abstractNumId="108">
    <w:nsid w:val="5C10FE21"/>
    <w:multiLevelType w:val="hybridMultilevel"/>
    <w:lvl w:ilvl="0">
      <w:lvlJc w:val="left"/>
      <w:lvlText w:val="%1."/>
      <w:numFmt w:val="decimal"/>
      <w:start w:val="3"/>
    </w:lvl>
  </w:abstractNum>
  <w:abstractNum w:abstractNumId="109">
    <w:nsid w:val="E7FFA2B"/>
    <w:multiLevelType w:val="hybridMultilevel"/>
    <w:lvl w:ilvl="0">
      <w:lvlJc w:val="left"/>
      <w:lvlText w:val="%1."/>
      <w:numFmt w:val="decimal"/>
      <w:start w:val="4"/>
    </w:lvl>
  </w:abstractNum>
  <w:abstractNum w:abstractNumId="110">
    <w:nsid w:val="3C5991AA"/>
    <w:multiLevelType w:val="hybridMultilevel"/>
    <w:lvl w:ilvl="0">
      <w:lvlJc w:val="left"/>
      <w:lvlText w:val="%1."/>
      <w:numFmt w:val="decimal"/>
      <w:start w:val="7"/>
    </w:lvl>
  </w:abstractNum>
  <w:abstractNum w:abstractNumId="111">
    <w:nsid w:val="4BD8591A"/>
    <w:multiLevelType w:val="hybridMultilevel"/>
    <w:lvl w:ilvl="0">
      <w:lvlJc w:val="left"/>
      <w:lvlText w:val="%1."/>
      <w:numFmt w:val="decimal"/>
      <w:start w:val="8"/>
    </w:lvl>
  </w:abstractNum>
  <w:abstractNum w:abstractNumId="112">
    <w:nsid w:val="78DF6A55"/>
    <w:multiLevelType w:val="hybridMultilevel"/>
    <w:lvl w:ilvl="0">
      <w:lvlJc w:val="left"/>
      <w:lvlText w:val="%1."/>
      <w:numFmt w:val="decimal"/>
      <w:start w:val="1"/>
    </w:lvl>
    <w:lvl w:ilvl="1">
      <w:lvlJc w:val="left"/>
      <w:lvlText w:val="(%2)"/>
      <w:numFmt w:val="lowerLetter"/>
      <w:start w:val="1"/>
    </w:lvl>
  </w:abstractNum>
  <w:abstractNum w:abstractNumId="113">
    <w:nsid w:val="39B7AAA2"/>
    <w:multiLevelType w:val="hybridMultilevel"/>
    <w:lvl w:ilvl="0">
      <w:lvlJc w:val="left"/>
      <w:lvlText w:val="%1."/>
      <w:numFmt w:val="decimal"/>
      <w:start w:val="1"/>
    </w:lvl>
    <w:lvl w:ilvl="1">
      <w:lvlJc w:val="left"/>
      <w:lvlText w:val="(%2)"/>
      <w:numFmt w:val="lowerLetter"/>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2022-04-21T06:11:12Z</dcterms:created>
  <dcterms:modified xsi:type="dcterms:W3CDTF">2022-04-21T06:11:12Z</dcterms:modified>
</cp:coreProperties>
</file>