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10, 2026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9"/>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274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1-8400</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rPr>
              <w:t>75-1825172</w:t>
            </w:r>
          </w:p>
        </w:tc>
        <w:tc>
          <w:tcPr>
            <w:tcW w:w="220" w:type="dxa"/>
            <w:vAlign w:val="bottom"/>
            <w:tcBorders>
              <w:bottom w:val="single" w:sz="8" w:color="auto"/>
            </w:tcBorders>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704"/>
        </w:trPr>
        <w:tc>
          <w:tcPr>
            <w:tcW w:w="240" w:type="dxa"/>
            <w:vAlign w:val="bottom"/>
          </w:tcPr>
          <w:p>
            <w:pPr>
              <w:spacing w:after="0"/>
              <w:rPr>
                <w:sz w:val="24"/>
                <w:szCs w:val="24"/>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  Texas</w:t>
            </w:r>
          </w:p>
        </w:tc>
        <w:tc>
          <w:tcPr>
            <w:tcW w:w="400" w:type="dxa"/>
            <w:vAlign w:val="bottom"/>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3380" w:type="dxa"/>
            <w:vAlign w:val="bottom"/>
            <w:tcBorders>
              <w:bottom w:val="single" w:sz="8" w:color="auto"/>
            </w:tcBorders>
          </w:tcPr>
          <w:p>
            <w:pPr>
              <w:jc w:val="right"/>
              <w:ind w:right="1579"/>
              <w:spacing w:after="0"/>
              <w:rPr>
                <w:sz w:val="20"/>
                <w:szCs w:val="20"/>
                <w:color w:val="auto"/>
              </w:rPr>
            </w:pPr>
            <w:r>
              <w:rPr>
                <w:rFonts w:ascii="Arial" w:cs="Arial" w:eastAsia="Arial" w:hAnsi="Arial"/>
                <w:sz w:val="18"/>
                <w:szCs w:val="18"/>
                <w:b w:val="1"/>
                <w:bCs w:val="1"/>
                <w:color w:val="auto"/>
              </w:rPr>
              <w:t>76155</w:t>
            </w:r>
          </w:p>
        </w:tc>
        <w:tc>
          <w:tcPr>
            <w:tcW w:w="220" w:type="dxa"/>
            <w:vAlign w:val="bottom"/>
          </w:tcPr>
          <w:p>
            <w:pPr>
              <w:spacing w:after="0"/>
              <w:rPr>
                <w:sz w:val="24"/>
                <w:szCs w:val="24"/>
                <w:color w:val="auto"/>
              </w:rPr>
            </w:pPr>
          </w:p>
        </w:tc>
      </w:tr>
      <w:tr>
        <w:trPr>
          <w:trHeight w:val="194"/>
        </w:trPr>
        <w:tc>
          <w:tcPr>
            <w:tcW w:w="240" w:type="dxa"/>
            <w:vAlign w:val="bottom"/>
          </w:tcPr>
          <w:p>
            <w:pPr>
              <w:spacing w:after="0"/>
              <w:rPr>
                <w:sz w:val="16"/>
                <w:szCs w:val="16"/>
                <w:color w:val="auto"/>
              </w:rPr>
            </w:pPr>
          </w:p>
        </w:tc>
        <w:tc>
          <w:tcPr>
            <w:tcW w:w="7360" w:type="dxa"/>
            <w:vAlign w:val="bottom"/>
            <w:gridSpan w:val="6"/>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(682) 278-9000</w:t>
      </w:r>
    </w:p>
    <w:p>
      <w:pPr>
        <w:spacing w:after="0" w:line="109" w:lineRule="exact"/>
        <w:rPr>
          <w:sz w:val="24"/>
          <w:szCs w:val="24"/>
          <w:color w:val="auto"/>
        </w:rPr>
      </w:pPr>
    </w:p>
    <w:p>
      <w:pPr>
        <w:ind w:right="40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73"/>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224"/>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70" w:lineRule="exact"/>
        <w:rPr>
          <w:sz w:val="24"/>
          <w:szCs w:val="24"/>
          <w:color w:val="auto"/>
        </w:rPr>
      </w:pPr>
    </w:p>
    <w:p>
      <w:pPr>
        <w:spacing w:after="0" w:line="32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95" w:lineRule="exact"/>
        <w:rPr>
          <w:sz w:val="24"/>
          <w:szCs w:val="24"/>
          <w:color w:val="auto"/>
        </w:rPr>
      </w:pPr>
    </w:p>
    <w:p>
      <w:pPr>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1" w:name="page2"/>
    <w:bookmarkEnd w:id="1"/>
    <w:p>
      <w:pPr>
        <w:ind w:left="1580" w:right="1360" w:hanging="1551"/>
        <w:spacing w:after="0" w:line="281" w:lineRule="auto"/>
        <w:tabs>
          <w:tab w:leader="none" w:pos="15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Approval of the Amended and Restated 2023 Incentive Award Plan</w:t>
      </w:r>
      <w:r>
        <w:rPr>
          <w:rFonts w:ascii="Arial" w:cs="Arial" w:eastAsia="Arial" w:hAnsi="Arial"/>
          <w:sz w:val="18"/>
          <w:szCs w:val="18"/>
          <w:color w:val="auto"/>
          <w:highlight w:val="white"/>
        </w:rPr>
        <w:t>. The Board of Directors (the “Board”) of American Airlines Group Inc. (the</w:t>
      </w:r>
      <w:r>
        <w:rPr>
          <w:rFonts w:ascii="Arial" w:cs="Arial" w:eastAsia="Arial" w:hAnsi="Arial"/>
          <w:sz w:val="18"/>
          <w:szCs w:val="18"/>
          <w:color w:val="auto"/>
        </w:rPr>
        <w:t xml:space="preserve"> “Company”) previously adopted, subject to stockholder approval, an amendment and restatement of the American Airlines Group Inc. 2023 Incentive Award Plan (as amended and restated, the “Amended 2023 Plan”).</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Amended 2023 Plan (i) increases the shares reserved for issuance under the plan by 16,500,000 shares of the Company’s common stock, $0.01 par value per share (the “Common Stock”); and (ii) provides that shares tendered by a participant or withheld to satisfy any tax withholding obligation with respect to awards that are not options or stock appreciation rights will be again available for future grants under the plan.</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At the Company’s 2026 Annual Meeting of Stockholders held on June 10, 2026 (the “2026 Annual Meeting”), the Company’s stockholders approved the Amended 2023 Plan.</w:t>
      </w:r>
    </w:p>
    <w:p>
      <w:pPr>
        <w:spacing w:after="0" w:line="9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foregoing description of the Amended 2023 Plan is qualified in its entirety by reference to the text of the Amended 2023 Plan, attached as Appendix B to the Company’s Definitive Proxy Statement on Schedule 14A filed with the Securities and Exchange Commission on April 28, 2026 (the “Proxy Statement”) and is incorporated herein by reference.</w:t>
      </w:r>
    </w:p>
    <w:p>
      <w:pPr>
        <w:spacing w:after="0" w:line="238"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the 2026 Annual Meeting, the stockholders of the Company voted on the following proposals, each of which is described in the Company’s Proxy Statement. Fractional shares have been rounded to the nearest whole number. There were 661,385,137 shares of Common Stock issued, outstanding and entitled to be voted at the 2026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elected the following individuals to the Company’s Board of Directors: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gridSpan w:val="2"/>
          </w:tcPr>
          <w:p>
            <w:pPr>
              <w:ind w:left="40"/>
              <w:spacing w:after="0"/>
              <w:rPr>
                <w:sz w:val="20"/>
                <w:szCs w:val="20"/>
                <w:color w:val="auto"/>
              </w:rPr>
            </w:pPr>
            <w:r>
              <w:rPr>
                <w:rFonts w:ascii="Arial" w:cs="Arial" w:eastAsia="Arial" w:hAnsi="Arial"/>
                <w:sz w:val="14"/>
                <w:szCs w:val="14"/>
                <w:color w:val="auto"/>
              </w:rPr>
              <w:t>Nominee</w:t>
            </w:r>
          </w:p>
        </w:tc>
        <w:tc>
          <w:tcPr>
            <w:tcW w:w="1560" w:type="dxa"/>
            <w:vAlign w:val="bottom"/>
            <w:gridSpan w:val="2"/>
          </w:tcPr>
          <w:p>
            <w:pPr>
              <w:ind w:left="620"/>
              <w:spacing w:after="0"/>
              <w:rPr>
                <w:sz w:val="20"/>
                <w:szCs w:val="20"/>
                <w:color w:val="auto"/>
              </w:rPr>
            </w:pPr>
            <w:r>
              <w:rPr>
                <w:rFonts w:ascii="Arial" w:cs="Arial" w:eastAsia="Arial" w:hAnsi="Arial"/>
                <w:sz w:val="14"/>
                <w:szCs w:val="14"/>
                <w:color w:val="auto"/>
              </w:rPr>
              <w:t>For</w:t>
            </w:r>
          </w:p>
        </w:tc>
        <w:tc>
          <w:tcPr>
            <w:tcW w:w="1580" w:type="dxa"/>
            <w:vAlign w:val="bottom"/>
            <w:gridSpan w:val="2"/>
          </w:tcPr>
          <w:p>
            <w:pPr>
              <w:ind w:left="500"/>
              <w:spacing w:after="0"/>
              <w:rPr>
                <w:sz w:val="20"/>
                <w:szCs w:val="20"/>
                <w:color w:val="auto"/>
              </w:rPr>
            </w:pPr>
            <w:r>
              <w:rPr>
                <w:rFonts w:ascii="Arial" w:cs="Arial" w:eastAsia="Arial" w:hAnsi="Arial"/>
                <w:sz w:val="14"/>
                <w:szCs w:val="14"/>
                <w:color w:val="auto"/>
              </w:rPr>
              <w:t>Against</w:t>
            </w:r>
          </w:p>
        </w:tc>
        <w:tc>
          <w:tcPr>
            <w:tcW w:w="1560" w:type="dxa"/>
            <w:vAlign w:val="bottom"/>
            <w:gridSpan w:val="2"/>
          </w:tcPr>
          <w:p>
            <w:pPr>
              <w:ind w:left="480"/>
              <w:spacing w:after="0"/>
              <w:rPr>
                <w:sz w:val="20"/>
                <w:szCs w:val="20"/>
                <w:color w:val="auto"/>
              </w:rPr>
            </w:pPr>
            <w:r>
              <w:rPr>
                <w:rFonts w:ascii="Arial" w:cs="Arial" w:eastAsia="Arial" w:hAnsi="Arial"/>
                <w:sz w:val="14"/>
                <w:szCs w:val="14"/>
                <w:color w:val="auto"/>
              </w:rPr>
              <w:t>Abstain</w:t>
            </w:r>
          </w:p>
        </w:tc>
        <w:tc>
          <w:tcPr>
            <w:tcW w:w="1460" w:type="dxa"/>
            <w:vAlign w:val="bottom"/>
          </w:tcPr>
          <w:p>
            <w:pPr>
              <w:jc w:val="right"/>
              <w:ind w:right="71"/>
              <w:spacing w:after="0"/>
              <w:rPr>
                <w:sz w:val="20"/>
                <w:szCs w:val="20"/>
                <w:color w:val="auto"/>
              </w:rPr>
            </w:pPr>
            <w:r>
              <w:rPr>
                <w:rFonts w:ascii="Arial" w:cs="Arial" w:eastAsia="Arial" w:hAnsi="Arial"/>
                <w:sz w:val="14"/>
                <w:szCs w:val="14"/>
                <w:color w:val="auto"/>
              </w:rPr>
              <w:t>Broker Non-Votes</w:t>
            </w:r>
          </w:p>
        </w:tc>
      </w:tr>
      <w:tr>
        <w:trPr>
          <w:trHeight w:val="227"/>
        </w:trPr>
        <w:tc>
          <w:tcPr>
            <w:tcW w:w="4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Adriane M. Brown</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287,388,107</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5,445,241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738,350</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John T. Cahill</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286,807,827</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6,073,419</w:t>
            </w:r>
          </w:p>
        </w:tc>
        <w:tc>
          <w:tcPr>
            <w:tcW w:w="12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690,451</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155,803,612</w:t>
            </w:r>
          </w:p>
        </w:tc>
      </w:tr>
      <w:tr>
        <w:trPr>
          <w:trHeight w:val="229"/>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 N. Dillon</w:t>
            </w: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289,120,591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3,786,476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664,630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Kathryn M. Farmer</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289,539,876</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3,356,726</w:t>
            </w:r>
          </w:p>
        </w:tc>
        <w:tc>
          <w:tcPr>
            <w:tcW w:w="12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675,095</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Matthew J. Hart</w:t>
            </w: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287,483,742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5,400,043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687,912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Robert D. Isom</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288,576,041</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4,340,402</w:t>
            </w:r>
          </w:p>
        </w:tc>
        <w:tc>
          <w:tcPr>
            <w:tcW w:w="12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655,254</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155,803,612</w:t>
            </w:r>
          </w:p>
        </w:tc>
      </w:tr>
      <w:tr>
        <w:trPr>
          <w:trHeight w:val="229"/>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Susan D. Kronick</w:t>
            </w: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286,576,786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6,246,343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748,569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Martin H. Nesbitt</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260,060,698</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32,817,804</w:t>
            </w:r>
          </w:p>
        </w:tc>
        <w:tc>
          <w:tcPr>
            <w:tcW w:w="12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693,195</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Vicente Reynal</w:t>
            </w: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288,816,054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4,169,798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585,845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155,803,612</w:t>
            </w:r>
          </w:p>
        </w:tc>
      </w:tr>
      <w:tr>
        <w:trPr>
          <w:trHeight w:val="230"/>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Gregory D. Smith</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289,064,062</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3,804,834</w:t>
            </w:r>
          </w:p>
        </w:tc>
        <w:tc>
          <w:tcPr>
            <w:tcW w:w="12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702,801</w:t>
            </w:r>
          </w:p>
        </w:tc>
        <w:tc>
          <w:tcPr>
            <w:tcW w:w="1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155,803,612</w:t>
            </w:r>
          </w:p>
        </w:tc>
      </w:tr>
      <w:tr>
        <w:trPr>
          <w:trHeight w:val="229"/>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Douglas M. Steenland</w:t>
            </w: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287,816,678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4,974,143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780,876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155,803,612</w:t>
            </w:r>
          </w:p>
        </w:tc>
      </w:tr>
      <w:tr>
        <w:trPr>
          <w:trHeight w:val="239"/>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Howard I. Ungerleider</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288,612,245</w:t>
            </w:r>
          </w:p>
        </w:tc>
        <w:tc>
          <w:tcPr>
            <w:tcW w:w="1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4,252,964</w:t>
            </w:r>
          </w:p>
        </w:tc>
        <w:tc>
          <w:tcPr>
            <w:tcW w:w="12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706,488</w:t>
            </w:r>
          </w:p>
        </w:tc>
        <w:tc>
          <w:tcPr>
            <w:tcW w:w="1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155,803,612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stockholders ratified the appointment of KPMG LLP as the Company’s independent registered public accounting firm for the fiscal year ending December 31,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gridSpan w:val="2"/>
          </w:tcPr>
          <w:p>
            <w:pPr>
              <w:jc w:val="center"/>
              <w:ind w:right="1600"/>
              <w:spacing w:after="0"/>
              <w:rPr>
                <w:sz w:val="20"/>
                <w:szCs w:val="20"/>
                <w:color w:val="auto"/>
              </w:rPr>
            </w:pPr>
            <w:r>
              <w:rPr>
                <w:rFonts w:ascii="Arial" w:cs="Arial" w:eastAsia="Arial" w:hAnsi="Arial"/>
                <w:sz w:val="14"/>
                <w:szCs w:val="14"/>
                <w:color w:val="auto"/>
              </w:rPr>
              <w:t>For</w:t>
            </w:r>
          </w:p>
        </w:tc>
        <w:tc>
          <w:tcPr>
            <w:tcW w:w="3240" w:type="dxa"/>
            <w:vAlign w:val="bottom"/>
            <w:gridSpan w:val="2"/>
          </w:tcPr>
          <w:p>
            <w:pPr>
              <w:jc w:val="center"/>
              <w:ind w:right="1600"/>
              <w:spacing w:after="0"/>
              <w:rPr>
                <w:sz w:val="20"/>
                <w:szCs w:val="20"/>
                <w:color w:val="auto"/>
              </w:rPr>
            </w:pPr>
            <w:r>
              <w:rPr>
                <w:rFonts w:ascii="Arial" w:cs="Arial" w:eastAsia="Arial" w:hAnsi="Arial"/>
                <w:sz w:val="14"/>
                <w:szCs w:val="14"/>
                <w:color w:val="auto"/>
              </w:rPr>
              <w:t>Against</w:t>
            </w:r>
          </w:p>
        </w:tc>
        <w:tc>
          <w:tcPr>
            <w:tcW w:w="4780" w:type="dxa"/>
            <w:vAlign w:val="bottom"/>
            <w:gridSpan w:val="2"/>
          </w:tcPr>
          <w:p>
            <w:pPr>
              <w:jc w:val="center"/>
              <w:ind w:right="3140"/>
              <w:spacing w:after="0"/>
              <w:rPr>
                <w:sz w:val="20"/>
                <w:szCs w:val="20"/>
                <w:color w:val="auto"/>
              </w:rPr>
            </w:pPr>
            <w:r>
              <w:rPr>
                <w:rFonts w:ascii="Arial" w:cs="Arial" w:eastAsia="Arial" w:hAnsi="Arial"/>
                <w:sz w:val="14"/>
                <w:szCs w:val="14"/>
                <w:color w:val="auto"/>
              </w:rPr>
              <w:t>Abstain</w:t>
            </w:r>
          </w:p>
        </w:tc>
      </w:tr>
      <w:tr>
        <w:trPr>
          <w:trHeight w:val="227"/>
        </w:trPr>
        <w:tc>
          <w:tcPr>
            <w:tcW w:w="16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438,670,632</w:t>
            </w:r>
          </w:p>
        </w:tc>
        <w:tc>
          <w:tcPr>
            <w:tcW w:w="16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9,494,939</w:t>
            </w:r>
          </w:p>
        </w:tc>
        <w:tc>
          <w:tcPr>
            <w:tcW w:w="16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1,209,738</w:t>
            </w:r>
          </w:p>
        </w:tc>
        <w:tc>
          <w:tcPr>
            <w:tcW w:w="3160" w:type="dxa"/>
            <w:vAlign w:val="bottom"/>
          </w:tcPr>
          <w:p>
            <w:pPr>
              <w:spacing w:after="0"/>
              <w:rPr>
                <w:sz w:val="19"/>
                <w:szCs w:val="19"/>
                <w:color w:val="auto"/>
              </w:rPr>
            </w:pPr>
          </w:p>
        </w:tc>
      </w:tr>
      <w:tr>
        <w:trPr>
          <w:trHeight w:val="1073"/>
        </w:trPr>
        <w:tc>
          <w:tcPr>
            <w:tcW w:w="1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3: Advisory Vote to Approve Executive Compensation.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stockholders approved, on a non-binding, advisory basis, the compensation of the Company’s named executive officers as disclosed in the Proxy Statement.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gridSpan w:val="2"/>
          </w:tcPr>
          <w:p>
            <w:pPr>
              <w:jc w:val="center"/>
              <w:ind w:right="1580"/>
              <w:spacing w:after="0"/>
              <w:rPr>
                <w:sz w:val="20"/>
                <w:szCs w:val="20"/>
                <w:color w:val="auto"/>
              </w:rPr>
            </w:pPr>
            <w:r>
              <w:rPr>
                <w:rFonts w:ascii="Arial" w:cs="Arial" w:eastAsia="Arial" w:hAnsi="Arial"/>
                <w:sz w:val="14"/>
                <w:szCs w:val="14"/>
                <w:color w:val="auto"/>
              </w:rPr>
              <w:t>For</w:t>
            </w:r>
          </w:p>
        </w:tc>
        <w:tc>
          <w:tcPr>
            <w:tcW w:w="3200" w:type="dxa"/>
            <w:vAlign w:val="bottom"/>
            <w:gridSpan w:val="2"/>
          </w:tcPr>
          <w:p>
            <w:pPr>
              <w:jc w:val="center"/>
              <w:ind w:right="1600"/>
              <w:spacing w:after="0"/>
              <w:rPr>
                <w:sz w:val="20"/>
                <w:szCs w:val="20"/>
                <w:color w:val="auto"/>
              </w:rPr>
            </w:pPr>
            <w:r>
              <w:rPr>
                <w:rFonts w:ascii="Arial" w:cs="Arial" w:eastAsia="Arial" w:hAnsi="Arial"/>
                <w:sz w:val="14"/>
                <w:szCs w:val="14"/>
                <w:color w:val="auto"/>
              </w:rPr>
              <w:t>Against</w:t>
            </w:r>
          </w:p>
        </w:tc>
        <w:tc>
          <w:tcPr>
            <w:tcW w:w="3220" w:type="dxa"/>
            <w:vAlign w:val="bottom"/>
            <w:gridSpan w:val="2"/>
          </w:tcPr>
          <w:p>
            <w:pPr>
              <w:jc w:val="center"/>
              <w:ind w:right="1620"/>
              <w:spacing w:after="0"/>
              <w:rPr>
                <w:sz w:val="20"/>
                <w:szCs w:val="20"/>
                <w:color w:val="auto"/>
              </w:rPr>
            </w:pPr>
            <w:r>
              <w:rPr>
                <w:rFonts w:ascii="Arial" w:cs="Arial" w:eastAsia="Arial" w:hAnsi="Arial"/>
                <w:sz w:val="14"/>
                <w:szCs w:val="14"/>
                <w:color w:val="auto"/>
              </w:rPr>
              <w:t>Abstain</w:t>
            </w:r>
          </w:p>
        </w:tc>
        <w:tc>
          <w:tcPr>
            <w:tcW w:w="1620" w:type="dxa"/>
            <w:vAlign w:val="bottom"/>
          </w:tcPr>
          <w:p>
            <w:pPr>
              <w:jc w:val="center"/>
              <w:spacing w:after="0"/>
              <w:rPr>
                <w:sz w:val="20"/>
                <w:szCs w:val="20"/>
                <w:color w:val="auto"/>
              </w:rPr>
            </w:pPr>
            <w:r>
              <w:rPr>
                <w:rFonts w:ascii="Arial" w:cs="Arial" w:eastAsia="Arial" w:hAnsi="Arial"/>
                <w:sz w:val="14"/>
                <w:szCs w:val="14"/>
                <w:color w:val="auto"/>
              </w:rPr>
              <w:t>Broker Non-Votes</w:t>
            </w:r>
          </w:p>
        </w:tc>
      </w:tr>
      <w:tr>
        <w:trPr>
          <w:trHeight w:val="227"/>
        </w:trPr>
        <w:tc>
          <w:tcPr>
            <w:tcW w:w="15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284,141,512</w:t>
            </w:r>
          </w:p>
        </w:tc>
        <w:tc>
          <w:tcPr>
            <w:tcW w:w="16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8,637,705</w:t>
            </w:r>
          </w:p>
        </w:tc>
        <w:tc>
          <w:tcPr>
            <w:tcW w:w="16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792,480</w:t>
            </w:r>
          </w:p>
        </w:tc>
        <w:tc>
          <w:tcPr>
            <w:tcW w:w="16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155,803,612</w:t>
            </w:r>
          </w:p>
        </w:tc>
      </w:tr>
    </w:tbl>
    <w:p>
      <w:pPr>
        <w:spacing w:after="0" w:line="319"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auto"/>
        </w:rPr>
        <w:t>Proposal 4: Approve an Amendment to the Company’s Restated Certificate of Incorporation to Limit the Liability of the Company’s Officers.</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stockholders did not approve the proposed amendment to the Company’s Restated Certificate of Incorporation to limit the liability of the Company’s officers, as the proposal did not receive the affirmative vote of at least a majority of the shares outstanding and entitled to vote for the election of directors for the 2026 Annual Meeting.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gridSpan w:val="2"/>
          </w:tcPr>
          <w:p>
            <w:pPr>
              <w:jc w:val="center"/>
              <w:ind w:right="1580"/>
              <w:spacing w:after="0"/>
              <w:rPr>
                <w:sz w:val="20"/>
                <w:szCs w:val="20"/>
                <w:color w:val="auto"/>
              </w:rPr>
            </w:pPr>
            <w:r>
              <w:rPr>
                <w:rFonts w:ascii="Arial" w:cs="Arial" w:eastAsia="Arial" w:hAnsi="Arial"/>
                <w:sz w:val="14"/>
                <w:szCs w:val="14"/>
                <w:color w:val="auto"/>
              </w:rPr>
              <w:t>For</w:t>
            </w:r>
          </w:p>
        </w:tc>
        <w:tc>
          <w:tcPr>
            <w:tcW w:w="3200" w:type="dxa"/>
            <w:vAlign w:val="bottom"/>
            <w:gridSpan w:val="2"/>
          </w:tcPr>
          <w:p>
            <w:pPr>
              <w:jc w:val="center"/>
              <w:ind w:right="1600"/>
              <w:spacing w:after="0"/>
              <w:rPr>
                <w:sz w:val="20"/>
                <w:szCs w:val="20"/>
                <w:color w:val="auto"/>
              </w:rPr>
            </w:pPr>
            <w:r>
              <w:rPr>
                <w:rFonts w:ascii="Arial" w:cs="Arial" w:eastAsia="Arial" w:hAnsi="Arial"/>
                <w:sz w:val="14"/>
                <w:szCs w:val="14"/>
                <w:color w:val="auto"/>
              </w:rPr>
              <w:t>Against</w:t>
            </w:r>
          </w:p>
        </w:tc>
        <w:tc>
          <w:tcPr>
            <w:tcW w:w="3220" w:type="dxa"/>
            <w:vAlign w:val="bottom"/>
            <w:gridSpan w:val="2"/>
          </w:tcPr>
          <w:p>
            <w:pPr>
              <w:jc w:val="center"/>
              <w:ind w:right="1620"/>
              <w:spacing w:after="0"/>
              <w:rPr>
                <w:sz w:val="20"/>
                <w:szCs w:val="20"/>
                <w:color w:val="auto"/>
              </w:rPr>
            </w:pPr>
            <w:r>
              <w:rPr>
                <w:rFonts w:ascii="Arial" w:cs="Arial" w:eastAsia="Arial" w:hAnsi="Arial"/>
                <w:sz w:val="14"/>
                <w:szCs w:val="14"/>
                <w:color w:val="auto"/>
              </w:rPr>
              <w:t>Abstain</w:t>
            </w:r>
          </w:p>
        </w:tc>
        <w:tc>
          <w:tcPr>
            <w:tcW w:w="1620" w:type="dxa"/>
            <w:vAlign w:val="bottom"/>
          </w:tcPr>
          <w:p>
            <w:pPr>
              <w:jc w:val="center"/>
              <w:spacing w:after="0"/>
              <w:rPr>
                <w:sz w:val="20"/>
                <w:szCs w:val="20"/>
                <w:color w:val="auto"/>
              </w:rPr>
            </w:pPr>
            <w:r>
              <w:rPr>
                <w:rFonts w:ascii="Arial" w:cs="Arial" w:eastAsia="Arial" w:hAnsi="Arial"/>
                <w:sz w:val="14"/>
                <w:szCs w:val="14"/>
                <w:color w:val="auto"/>
              </w:rPr>
              <w:t>Broker Non-Votes</w:t>
            </w:r>
          </w:p>
        </w:tc>
      </w:tr>
      <w:tr>
        <w:trPr>
          <w:trHeight w:val="227"/>
        </w:trPr>
        <w:tc>
          <w:tcPr>
            <w:tcW w:w="15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270,464,196</w:t>
            </w:r>
          </w:p>
        </w:tc>
        <w:tc>
          <w:tcPr>
            <w:tcW w:w="16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22,139,185</w:t>
            </w:r>
          </w:p>
        </w:tc>
        <w:tc>
          <w:tcPr>
            <w:tcW w:w="16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968,316</w:t>
            </w:r>
          </w:p>
        </w:tc>
        <w:tc>
          <w:tcPr>
            <w:tcW w:w="16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155,803,612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Approve the Amended 2023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approved the Company’s Amended 2023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gridSpan w:val="2"/>
          </w:tcPr>
          <w:p>
            <w:pPr>
              <w:jc w:val="center"/>
              <w:ind w:right="1580"/>
              <w:spacing w:after="0"/>
              <w:rPr>
                <w:sz w:val="20"/>
                <w:szCs w:val="20"/>
                <w:color w:val="auto"/>
              </w:rPr>
            </w:pPr>
            <w:r>
              <w:rPr>
                <w:rFonts w:ascii="Arial" w:cs="Arial" w:eastAsia="Arial" w:hAnsi="Arial"/>
                <w:sz w:val="14"/>
                <w:szCs w:val="14"/>
                <w:color w:val="auto"/>
              </w:rPr>
              <w:t>For</w:t>
            </w:r>
          </w:p>
        </w:tc>
        <w:tc>
          <w:tcPr>
            <w:tcW w:w="3200" w:type="dxa"/>
            <w:vAlign w:val="bottom"/>
            <w:gridSpan w:val="2"/>
          </w:tcPr>
          <w:p>
            <w:pPr>
              <w:jc w:val="center"/>
              <w:ind w:right="1600"/>
              <w:spacing w:after="0"/>
              <w:rPr>
                <w:sz w:val="20"/>
                <w:szCs w:val="20"/>
                <w:color w:val="auto"/>
              </w:rPr>
            </w:pPr>
            <w:r>
              <w:rPr>
                <w:rFonts w:ascii="Arial" w:cs="Arial" w:eastAsia="Arial" w:hAnsi="Arial"/>
                <w:sz w:val="14"/>
                <w:szCs w:val="14"/>
                <w:color w:val="auto"/>
              </w:rPr>
              <w:t>Against</w:t>
            </w:r>
          </w:p>
        </w:tc>
        <w:tc>
          <w:tcPr>
            <w:tcW w:w="3220" w:type="dxa"/>
            <w:vAlign w:val="bottom"/>
            <w:gridSpan w:val="2"/>
          </w:tcPr>
          <w:p>
            <w:pPr>
              <w:jc w:val="center"/>
              <w:ind w:right="1620"/>
              <w:spacing w:after="0"/>
              <w:rPr>
                <w:sz w:val="20"/>
                <w:szCs w:val="20"/>
                <w:color w:val="auto"/>
              </w:rPr>
            </w:pPr>
            <w:r>
              <w:rPr>
                <w:rFonts w:ascii="Arial" w:cs="Arial" w:eastAsia="Arial" w:hAnsi="Arial"/>
                <w:sz w:val="14"/>
                <w:szCs w:val="14"/>
                <w:color w:val="auto"/>
              </w:rPr>
              <w:t>Abstain</w:t>
            </w:r>
          </w:p>
        </w:tc>
        <w:tc>
          <w:tcPr>
            <w:tcW w:w="1620" w:type="dxa"/>
            <w:vAlign w:val="bottom"/>
          </w:tcPr>
          <w:p>
            <w:pPr>
              <w:jc w:val="center"/>
              <w:spacing w:after="0"/>
              <w:rPr>
                <w:sz w:val="20"/>
                <w:szCs w:val="20"/>
                <w:color w:val="auto"/>
              </w:rPr>
            </w:pPr>
            <w:r>
              <w:rPr>
                <w:rFonts w:ascii="Arial" w:cs="Arial" w:eastAsia="Arial" w:hAnsi="Arial"/>
                <w:sz w:val="14"/>
                <w:szCs w:val="14"/>
                <w:color w:val="auto"/>
              </w:rPr>
              <w:t>Broker Non-Votes</w:t>
            </w:r>
          </w:p>
        </w:tc>
      </w:tr>
      <w:tr>
        <w:trPr>
          <w:trHeight w:val="227"/>
        </w:trPr>
        <w:tc>
          <w:tcPr>
            <w:tcW w:w="15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282,870,232</w:t>
            </w:r>
          </w:p>
        </w:tc>
        <w:tc>
          <w:tcPr>
            <w:tcW w:w="16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9,920,906</w:t>
            </w:r>
          </w:p>
        </w:tc>
        <w:tc>
          <w:tcPr>
            <w:tcW w:w="16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780,559</w:t>
            </w:r>
          </w:p>
        </w:tc>
        <w:tc>
          <w:tcPr>
            <w:tcW w:w="16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155,803,612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Advisory Vote on Stockholder Proposal for Stockholder Right to Act by Written Consent.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did not approve a stockholder proposal that the Board consider a stockholder right to act by written consent.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gridSpan w:val="2"/>
          </w:tcPr>
          <w:p>
            <w:pPr>
              <w:jc w:val="center"/>
              <w:ind w:right="1580"/>
              <w:spacing w:after="0"/>
              <w:rPr>
                <w:sz w:val="20"/>
                <w:szCs w:val="20"/>
                <w:color w:val="auto"/>
              </w:rPr>
            </w:pPr>
            <w:r>
              <w:rPr>
                <w:rFonts w:ascii="Arial" w:cs="Arial" w:eastAsia="Arial" w:hAnsi="Arial"/>
                <w:sz w:val="14"/>
                <w:szCs w:val="14"/>
                <w:color w:val="auto"/>
              </w:rPr>
              <w:t>For</w:t>
            </w:r>
          </w:p>
        </w:tc>
        <w:tc>
          <w:tcPr>
            <w:tcW w:w="3200" w:type="dxa"/>
            <w:vAlign w:val="bottom"/>
            <w:gridSpan w:val="2"/>
          </w:tcPr>
          <w:p>
            <w:pPr>
              <w:jc w:val="center"/>
              <w:ind w:right="1600"/>
              <w:spacing w:after="0"/>
              <w:rPr>
                <w:sz w:val="20"/>
                <w:szCs w:val="20"/>
                <w:color w:val="auto"/>
              </w:rPr>
            </w:pPr>
            <w:r>
              <w:rPr>
                <w:rFonts w:ascii="Arial" w:cs="Arial" w:eastAsia="Arial" w:hAnsi="Arial"/>
                <w:sz w:val="14"/>
                <w:szCs w:val="14"/>
                <w:color w:val="auto"/>
              </w:rPr>
              <w:t>Against</w:t>
            </w:r>
          </w:p>
        </w:tc>
        <w:tc>
          <w:tcPr>
            <w:tcW w:w="3220" w:type="dxa"/>
            <w:vAlign w:val="bottom"/>
            <w:gridSpan w:val="2"/>
          </w:tcPr>
          <w:p>
            <w:pPr>
              <w:jc w:val="center"/>
              <w:ind w:right="1620"/>
              <w:spacing w:after="0"/>
              <w:rPr>
                <w:sz w:val="20"/>
                <w:szCs w:val="20"/>
                <w:color w:val="auto"/>
              </w:rPr>
            </w:pPr>
            <w:r>
              <w:rPr>
                <w:rFonts w:ascii="Arial" w:cs="Arial" w:eastAsia="Arial" w:hAnsi="Arial"/>
                <w:sz w:val="14"/>
                <w:szCs w:val="14"/>
                <w:color w:val="auto"/>
              </w:rPr>
              <w:t>Abstain</w:t>
            </w:r>
          </w:p>
        </w:tc>
        <w:tc>
          <w:tcPr>
            <w:tcW w:w="1620" w:type="dxa"/>
            <w:vAlign w:val="bottom"/>
          </w:tcPr>
          <w:p>
            <w:pPr>
              <w:jc w:val="center"/>
              <w:spacing w:after="0"/>
              <w:rPr>
                <w:sz w:val="20"/>
                <w:szCs w:val="20"/>
                <w:color w:val="auto"/>
              </w:rPr>
            </w:pPr>
            <w:r>
              <w:rPr>
                <w:rFonts w:ascii="Arial" w:cs="Arial" w:eastAsia="Arial" w:hAnsi="Arial"/>
                <w:sz w:val="14"/>
                <w:szCs w:val="14"/>
                <w:color w:val="auto"/>
              </w:rPr>
              <w:t>Broker Non-Votes</w:t>
            </w:r>
          </w:p>
        </w:tc>
      </w:tr>
      <w:tr>
        <w:trPr>
          <w:trHeight w:val="227"/>
        </w:trPr>
        <w:tc>
          <w:tcPr>
            <w:tcW w:w="15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59,402,069</w:t>
            </w:r>
          </w:p>
        </w:tc>
        <w:tc>
          <w:tcPr>
            <w:tcW w:w="16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232,549,168</w:t>
            </w:r>
          </w:p>
        </w:tc>
        <w:tc>
          <w:tcPr>
            <w:tcW w:w="16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1,620,459</w:t>
            </w:r>
          </w:p>
        </w:tc>
        <w:tc>
          <w:tcPr>
            <w:tcW w:w="16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155,803,612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7: Advisory Vote on Stockholder Proposal for Cumulative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did not approve a stockholder proposal that the Board consider cumulative voting.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60" w:type="dxa"/>
            <w:vAlign w:val="bottom"/>
          </w:tcPr>
          <w:p>
            <w:pPr>
              <w:ind w:left="680"/>
              <w:spacing w:after="0"/>
              <w:rPr>
                <w:sz w:val="20"/>
                <w:szCs w:val="20"/>
                <w:color w:val="auto"/>
              </w:rPr>
            </w:pPr>
            <w:r>
              <w:rPr>
                <w:rFonts w:ascii="Arial" w:cs="Arial" w:eastAsia="Arial" w:hAnsi="Arial"/>
                <w:sz w:val="14"/>
                <w:szCs w:val="14"/>
                <w:color w:val="auto"/>
              </w:rPr>
              <w:t>For</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0" w:type="dxa"/>
            <w:vAlign w:val="bottom"/>
            <w:gridSpan w:val="2"/>
          </w:tcPr>
          <w:p>
            <w:pPr>
              <w:jc w:val="center"/>
              <w:ind w:right="1600"/>
              <w:spacing w:after="0"/>
              <w:rPr>
                <w:sz w:val="20"/>
                <w:szCs w:val="20"/>
                <w:color w:val="auto"/>
              </w:rPr>
            </w:pPr>
            <w:r>
              <w:rPr>
                <w:rFonts w:ascii="Arial" w:cs="Arial" w:eastAsia="Arial" w:hAnsi="Arial"/>
                <w:sz w:val="14"/>
                <w:szCs w:val="14"/>
                <w:color w:val="auto"/>
              </w:rPr>
              <w:t>Against</w:t>
            </w:r>
          </w:p>
        </w:tc>
        <w:tc>
          <w:tcPr>
            <w:tcW w:w="540" w:type="dxa"/>
            <w:vAlign w:val="bottom"/>
          </w:tcPr>
          <w:p>
            <w:pPr>
              <w:spacing w:after="0"/>
              <w:rPr>
                <w:sz w:val="16"/>
                <w:szCs w:val="16"/>
                <w:color w:val="auto"/>
              </w:rPr>
            </w:pPr>
          </w:p>
        </w:tc>
        <w:tc>
          <w:tcPr>
            <w:tcW w:w="2680" w:type="dxa"/>
            <w:vAlign w:val="bottom"/>
            <w:gridSpan w:val="2"/>
          </w:tcPr>
          <w:p>
            <w:pPr>
              <w:jc w:val="center"/>
              <w:ind w:right="2160"/>
              <w:spacing w:after="0"/>
              <w:rPr>
                <w:sz w:val="20"/>
                <w:szCs w:val="20"/>
                <w:color w:val="auto"/>
              </w:rPr>
            </w:pPr>
            <w:r>
              <w:rPr>
                <w:rFonts w:ascii="Arial" w:cs="Arial" w:eastAsia="Arial" w:hAnsi="Arial"/>
                <w:sz w:val="14"/>
                <w:szCs w:val="14"/>
                <w:color w:val="auto"/>
              </w:rPr>
              <w:t>Abstain</w:t>
            </w:r>
          </w:p>
        </w:tc>
        <w:tc>
          <w:tcPr>
            <w:tcW w:w="1660" w:type="dxa"/>
            <w:vAlign w:val="bottom"/>
            <w:gridSpan w:val="4"/>
          </w:tcPr>
          <w:p>
            <w:pPr>
              <w:jc w:val="center"/>
              <w:ind w:right="40"/>
              <w:spacing w:after="0"/>
              <w:rPr>
                <w:sz w:val="20"/>
                <w:szCs w:val="20"/>
                <w:color w:val="auto"/>
              </w:rPr>
            </w:pPr>
            <w:r>
              <w:rPr>
                <w:rFonts w:ascii="Arial" w:cs="Arial" w:eastAsia="Arial" w:hAnsi="Arial"/>
                <w:sz w:val="14"/>
                <w:szCs w:val="14"/>
                <w:color w:val="auto"/>
              </w:rPr>
              <w:t>Broker Non-Votes</w:t>
            </w:r>
          </w:p>
        </w:tc>
      </w:tr>
      <w:tr>
        <w:trPr>
          <w:trHeight w:val="227"/>
        </w:trPr>
        <w:tc>
          <w:tcPr>
            <w:tcW w:w="1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10,018,677</w:t>
            </w:r>
          </w:p>
        </w:tc>
        <w:tc>
          <w:tcPr>
            <w:tcW w:w="7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281,843,732</w:t>
            </w:r>
          </w:p>
        </w:tc>
        <w:tc>
          <w:tcPr>
            <w:tcW w:w="16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1,709,287</w:t>
            </w:r>
          </w:p>
        </w:tc>
        <w:tc>
          <w:tcPr>
            <w:tcW w:w="16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155,803,612</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822"/>
        </w:trPr>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4800" w:type="dxa"/>
            <w:vAlign w:val="bottom"/>
            <w:gridSpan w:val="4"/>
          </w:tcPr>
          <w:p>
            <w:pPr>
              <w:ind w:left="20"/>
              <w:spacing w:after="0"/>
              <w:rPr>
                <w:sz w:val="20"/>
                <w:szCs w:val="20"/>
                <w:color w:val="auto"/>
              </w:rPr>
            </w:pPr>
            <w:r>
              <w:rPr>
                <w:rFonts w:ascii="Arial" w:cs="Arial" w:eastAsia="Arial" w:hAnsi="Arial"/>
                <w:sz w:val="18"/>
                <w:szCs w:val="18"/>
                <w:b w:val="1"/>
                <w:bCs w:val="1"/>
                <w:color w:val="auto"/>
              </w:rPr>
              <w:t>FINANCIAL STATEMENTS AND EXHIBITS.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(d) Exhibits.</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78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1"/>
        </w:trPr>
        <w:tc>
          <w:tcPr>
            <w:tcW w:w="1560" w:type="dxa"/>
            <w:vAlign w:val="bottom"/>
          </w:tcPr>
          <w:p>
            <w:pPr>
              <w:ind w:left="360"/>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0"/>
                <w:szCs w:val="20"/>
                <w:color w:val="auto"/>
              </w:rPr>
            </w:pPr>
          </w:p>
        </w:tc>
        <w:tc>
          <w:tcPr>
            <w:tcW w:w="8900" w:type="dxa"/>
            <w:vAlign w:val="bottom"/>
            <w:gridSpan w:val="10"/>
          </w:tcPr>
          <w:p>
            <w:pPr>
              <w:spacing w:after="0"/>
              <w:rPr>
                <w:rFonts w:ascii="Arial" w:cs="Arial" w:eastAsia="Arial" w:hAnsi="Arial"/>
                <w:sz w:val="18"/>
                <w:szCs w:val="18"/>
                <w:color w:val="0000FF"/>
              </w:rPr>
            </w:pPr>
            <w:hyperlink r:id="rId15">
              <w:r>
                <w:rPr>
                  <w:rFonts w:ascii="Arial" w:cs="Arial" w:eastAsia="Arial" w:hAnsi="Arial"/>
                  <w:sz w:val="18"/>
                  <w:szCs w:val="18"/>
                  <w:color w:val="0000FF"/>
                </w:rPr>
                <w:t>American Airlines Group Inc. Amended and Restated 2023 Incentive Award Plan (incorporated by reference to</w:t>
              </w:r>
            </w:hyperlink>
          </w:p>
        </w:tc>
      </w:tr>
      <w:tr>
        <w:trPr>
          <w:trHeight w:val="156"/>
        </w:trPr>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5">
              <w:r>
                <w:rPr>
                  <w:rFonts w:ascii="Arial" w:cs="Arial" w:eastAsia="Arial" w:hAnsi="Arial"/>
                  <w:sz w:val="18"/>
                  <w:szCs w:val="18"/>
                  <w:color w:val="0000FF"/>
                </w:rPr>
                <w:t>Appendix B to American Airlines Group Inc.'s Definitive Proxy Statement on Schedule 14A filed with the</w:t>
              </w:r>
            </w:hyperlink>
          </w:p>
        </w:tc>
        <w:tc>
          <w:tcPr>
            <w:tcW w:w="120" w:type="dxa"/>
            <w:vAlign w:val="bottom"/>
            <w:gridSpan w:val="2"/>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5">
              <w:r>
                <w:rPr>
                  <w:rFonts w:ascii="Arial" w:cs="Arial" w:eastAsia="Arial" w:hAnsi="Arial"/>
                  <w:sz w:val="18"/>
                  <w:szCs w:val="18"/>
                  <w:color w:val="0000FF"/>
                  <w:w w:val="99"/>
                </w:rPr>
                <w:t>Securities and Exchange Commission on April 28, 2026).</w:t>
              </w:r>
            </w:hyperlink>
          </w:p>
        </w:tc>
        <w:tc>
          <w:tcPr>
            <w:tcW w:w="2680" w:type="dxa"/>
            <w:vAlign w:val="bottom"/>
            <w:tcBorders>
              <w:top w:val="single" w:sz="8" w:color="0000FF"/>
            </w:tcBorders>
            <w:gridSpan w:val="2"/>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1"/>
        </w:trPr>
        <w:tc>
          <w:tcPr>
            <w:tcW w:w="1560" w:type="dxa"/>
            <w:vAlign w:val="bottom"/>
          </w:tcPr>
          <w:p>
            <w:pPr>
              <w:ind w:left="360"/>
              <w:spacing w:after="0"/>
              <w:rPr>
                <w:sz w:val="20"/>
                <w:szCs w:val="20"/>
                <w:color w:val="auto"/>
              </w:rPr>
            </w:pPr>
            <w:r>
              <w:rPr>
                <w:rFonts w:ascii="Arial" w:cs="Arial" w:eastAsia="Arial" w:hAnsi="Arial"/>
                <w:sz w:val="18"/>
                <w:szCs w:val="18"/>
                <w:color w:val="auto"/>
              </w:rPr>
              <w:t>104.1</w:t>
            </w:r>
          </w:p>
        </w:tc>
        <w:tc>
          <w:tcPr>
            <w:tcW w:w="78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0"/>
        </w:trPr>
        <w:tc>
          <w:tcPr>
            <w:tcW w:w="1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40" w:type="dxa"/>
            <w:vAlign w:val="bottom"/>
          </w:tcPr>
          <w:p>
            <w:pPr>
              <w:spacing w:after="0"/>
              <w:rPr>
                <w:sz w:val="21"/>
                <w:szCs w:val="21"/>
                <w:color w:val="auto"/>
              </w:rPr>
            </w:pPr>
          </w:p>
        </w:tc>
        <w:tc>
          <w:tcPr>
            <w:tcW w:w="7260" w:type="dxa"/>
            <w:vAlign w:val="bottom"/>
            <w:gridSpan w:val="2"/>
          </w:tcPr>
          <w:p>
            <w:pPr>
              <w:ind w:left="2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88"/>
        </w:trPr>
        <w:tc>
          <w:tcPr>
            <w:tcW w:w="3940" w:type="dxa"/>
            <w:vAlign w:val="bottom"/>
          </w:tcPr>
          <w:p>
            <w:pPr>
              <w:spacing w:after="0"/>
              <w:rPr>
                <w:sz w:val="20"/>
                <w:szCs w:val="20"/>
                <w:color w:val="auto"/>
              </w:rPr>
            </w:pPr>
            <w:r>
              <w:rPr>
                <w:rFonts w:ascii="Arial" w:cs="Arial" w:eastAsia="Arial" w:hAnsi="Arial"/>
                <w:sz w:val="18"/>
                <w:szCs w:val="18"/>
                <w:color w:val="auto"/>
              </w:rPr>
              <w:t>Date: June 10, 2026</w:t>
            </w:r>
          </w:p>
        </w:tc>
        <w:tc>
          <w:tcPr>
            <w:tcW w:w="2880" w:type="dxa"/>
            <w:vAlign w:val="bottom"/>
          </w:tcPr>
          <w:p>
            <w:pPr>
              <w:ind w:left="23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Earley</w:t>
            </w:r>
          </w:p>
        </w:tc>
      </w:tr>
      <w:tr>
        <w:trPr>
          <w:trHeight w:val="231"/>
        </w:trPr>
        <w:tc>
          <w:tcPr>
            <w:tcW w:w="3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Michelle Earley</w:t>
            </w:r>
          </w:p>
        </w:tc>
      </w:tr>
      <w:tr>
        <w:trPr>
          <w:trHeight w:val="239"/>
        </w:trPr>
        <w:tc>
          <w:tcPr>
            <w:tcW w:w="3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Corporate Secretary</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5" Type="http://schemas.openxmlformats.org/officeDocument/2006/relationships/hyperlink" Target="https://www.sec.gov/Archives/edgar/data/0000006201/000119312526187096/d83928ddef14a.htm#toc83928_99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2026-06-10T16:15:20Z</dcterms:created>
  <dcterms:modified xsi:type="dcterms:W3CDTF">2026-06-10T16:15:20Z</dcterms:modified>
</cp:coreProperties>
</file>